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C35070">
              <w:rPr>
                <w:rFonts w:ascii="Times New Roman" w:eastAsia="Times New Roman" w:hAnsi="Times New Roman" w:cs="Times New Roman"/>
                <w:sz w:val="24"/>
                <w:szCs w:val="24"/>
                <w:lang w:eastAsia="ru-RU"/>
              </w:rPr>
              <w:t>пгт</w:t>
            </w:r>
            <w:proofErr w:type="spellEnd"/>
            <w:r w:rsidRPr="00C35070">
              <w:rPr>
                <w:rFonts w:ascii="Times New Roman" w:eastAsia="Times New Roman" w:hAnsi="Times New Roman" w:cs="Times New Roman"/>
                <w:sz w:val="24"/>
                <w:szCs w:val="24"/>
                <w:lang w:eastAsia="ru-RU"/>
              </w:rPr>
              <w:t xml:space="preserve">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w:t>
              </w:r>
              <w:proofErr w:type="spellStart"/>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proofErr w:type="spellEnd"/>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3E4731" w:rsidP="003E4731">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3E4731"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proofErr w:type="gramStart"/>
      <w:r w:rsidR="00C35070" w:rsidRPr="00C35070">
        <w:rPr>
          <w:rFonts w:ascii="Times New Roman" w:eastAsia="Times New Roman" w:hAnsi="Times New Roman" w:cs="Times New Roman"/>
          <w:b/>
          <w:sz w:val="28"/>
          <w:szCs w:val="28"/>
        </w:rPr>
        <w:t>ННЦ»</w:t>
      </w:r>
      <w:r w:rsid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05673A">
        <w:rPr>
          <w:rFonts w:ascii="Times New Roman" w:eastAsia="Times New Roman" w:hAnsi="Times New Roman" w:cs="Times New Roman"/>
          <w:b/>
          <w:sz w:val="28"/>
          <w:szCs w:val="28"/>
        </w:rPr>
        <w:t xml:space="preserve"> «17</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 мясо домашних животных и субпродукты</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3E473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18</w:t>
        </w:r>
        <w:r w:rsidR="00C35070" w:rsidRPr="00C35070">
          <w:rPr>
            <w:rFonts w:ascii="Times New Roman" w:eastAsia="Times New Roman" w:hAnsi="Times New Roman" w:cs="Times New Roman"/>
            <w:b/>
            <w:noProof/>
            <w:webHidden/>
            <w:sz w:val="24"/>
            <w:szCs w:val="24"/>
          </w:rPr>
          <w:fldChar w:fldCharType="end"/>
        </w:r>
      </w:hyperlink>
    </w:p>
    <w:p w:rsidR="00C35070" w:rsidRPr="00C35070" w:rsidRDefault="003E473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3A3003">
        <w:rPr>
          <w:rFonts w:ascii="Times New Roman" w:eastAsia="Times New Roman" w:hAnsi="Times New Roman" w:cs="Times New Roman"/>
          <w:b/>
          <w:noProof/>
          <w:sz w:val="24"/>
          <w:szCs w:val="24"/>
        </w:rPr>
        <w:t>4</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0"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3A3003">
        <w:rPr>
          <w:rFonts w:ascii="Times New Roman" w:eastAsia="Times New Roman" w:hAnsi="Times New Roman" w:cs="Times New Roman"/>
          <w:b/>
          <w:noProof/>
          <w:sz w:val="24"/>
          <w:szCs w:val="24"/>
        </w:rPr>
        <w:t>40</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proofErr w:type="gramStart"/>
      <w:r w:rsidRPr="00C35070">
        <w:rPr>
          <w:rFonts w:ascii="Times New Roman" w:eastAsia="Times New Roman" w:hAnsi="Times New Roman" w:cs="Times New Roman"/>
          <w:sz w:val="24"/>
          <w:szCs w:val="24"/>
        </w:rPr>
        <w:t>учитывать</w:t>
      </w:r>
      <w:proofErr w:type="gramEnd"/>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proofErr w:type="spellStart"/>
      <w:r w:rsidRPr="00C35070">
        <w:rPr>
          <w:rFonts w:ascii="Times New Roman" w:eastAsia="Times New Roman" w:hAnsi="Times New Roman" w:cs="Times New Roman"/>
          <w:sz w:val="24"/>
          <w:szCs w:val="24"/>
          <w:lang w:val="en-US"/>
        </w:rPr>
        <w:t>zakupki</w:t>
      </w:r>
      <w:proofErr w:type="spellEnd"/>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proofErr w:type="gramStart"/>
      <w:r w:rsidRPr="00C35070">
        <w:rPr>
          <w:rFonts w:ascii="Times New Roman" w:eastAsia="Times New Roman" w:hAnsi="Times New Roman" w:cs="Times New Roman"/>
          <w:sz w:val="24"/>
          <w:szCs w:val="24"/>
        </w:rPr>
        <w:t>Комиссией</w:t>
      </w:r>
      <w:proofErr w:type="gramEnd"/>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gov</w:t>
        </w:r>
        <w:proofErr w:type="spellEnd"/>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ru</w:t>
        </w:r>
        <w:proofErr w:type="spellEnd"/>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proofErr w:type="gramStart"/>
      <w:r w:rsidRPr="00C35070">
        <w:rPr>
          <w:rFonts w:ascii="Times New Roman" w:eastAsia="Times New Roman" w:hAnsi="Times New Roman" w:cs="Times New Roman"/>
          <w:sz w:val="24"/>
          <w:szCs w:val="24"/>
        </w:rPr>
        <w:t>котировок</w:t>
      </w:r>
      <w:proofErr w:type="gramEnd"/>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proofErr w:type="gramStart"/>
      <w:r w:rsidRPr="00C35070">
        <w:rPr>
          <w:rFonts w:ascii="Times New Roman" w:eastAsia="Times New Roman" w:hAnsi="Times New Roman" w:cs="Times New Roman"/>
          <w:sz w:val="24"/>
          <w:szCs w:val="24"/>
        </w:rPr>
        <w:t>непредставления</w:t>
      </w:r>
      <w:proofErr w:type="gramEnd"/>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proofErr w:type="spellStart"/>
        <w:r w:rsidRPr="00C35070">
          <w:rPr>
            <w:rFonts w:ascii="Times New Roman" w:eastAsia="Times New Roman" w:hAnsi="Times New Roman" w:cs="Times New Roman"/>
            <w:color w:val="0067D5"/>
            <w:sz w:val="24"/>
            <w:szCs w:val="24"/>
            <w:u w:val="single"/>
            <w:lang w:val="en-US"/>
          </w:rPr>
          <w:t>zakupki</w:t>
        </w:r>
        <w:proofErr w:type="spellEnd"/>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r>
      <w:proofErr w:type="spellStart"/>
      <w:r w:rsidRPr="00C35070">
        <w:rPr>
          <w:rFonts w:ascii="Times New Roman" w:eastAsia="Times New Roman" w:hAnsi="Times New Roman" w:cs="Times New Roman"/>
          <w:sz w:val="24"/>
          <w:szCs w:val="24"/>
        </w:rPr>
        <w:t>непроведение</w:t>
      </w:r>
      <w:proofErr w:type="spellEnd"/>
      <w:r w:rsidRPr="00C3507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r>
      <w:proofErr w:type="spellStart"/>
      <w:r w:rsidRPr="00C35070">
        <w:rPr>
          <w:rFonts w:ascii="Times New Roman" w:eastAsia="Times New Roman" w:hAnsi="Times New Roman" w:cs="Times New Roman"/>
          <w:sz w:val="24"/>
          <w:szCs w:val="24"/>
        </w:rPr>
        <w:t>неприостановление</w:t>
      </w:r>
      <w:proofErr w:type="spellEnd"/>
      <w:r w:rsidRPr="00C3507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C35070">
        <w:rPr>
          <w:rFonts w:ascii="Times New Roman" w:eastAsia="Times New Roman" w:hAnsi="Times New Roman" w:cs="Times New Roman"/>
          <w:sz w:val="24"/>
          <w:szCs w:val="24"/>
        </w:rPr>
        <w:t>т.ч</w:t>
      </w:r>
      <w:proofErr w:type="spellEnd"/>
      <w:r w:rsidRPr="00C35070">
        <w:rPr>
          <w:rFonts w:ascii="Times New Roman" w:eastAsia="Times New Roman" w:hAnsi="Times New Roman" w:cs="Times New Roman"/>
          <w:sz w:val="24"/>
          <w:szCs w:val="24"/>
        </w:rPr>
        <w:t>.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C35070">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Поставка продуктов питания: мясо домашних животных и субпродукты</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w:t>
            </w:r>
            <w:proofErr w:type="spellStart"/>
            <w:r w:rsidRPr="0052171B">
              <w:rPr>
                <w:rFonts w:ascii="Times New Roman" w:eastAsia="Times New Roman" w:hAnsi="Times New Roman" w:cs="Times New Roman"/>
                <w:sz w:val="24"/>
                <w:szCs w:val="24"/>
              </w:rPr>
              <w:t>Роспотребнадзора</w:t>
            </w:r>
            <w:proofErr w:type="spellEnd"/>
            <w:r w:rsidRPr="0052171B">
              <w:rPr>
                <w:rFonts w:ascii="Times New Roman" w:eastAsia="Times New Roman" w:hAnsi="Times New Roman" w:cs="Times New Roman"/>
                <w:sz w:val="24"/>
                <w:szCs w:val="24"/>
              </w:rPr>
              <w:t>.</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6732B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841B45">
              <w:rPr>
                <w:rFonts w:ascii="Times New Roman" w:eastAsia="Times New Roman" w:hAnsi="Times New Roman" w:cs="Times New Roman"/>
                <w:color w:val="000000"/>
                <w:sz w:val="24"/>
                <w:szCs w:val="24"/>
                <w:lang w:eastAsia="ru-RU"/>
              </w:rPr>
              <w:t>261 401</w:t>
            </w:r>
            <w:r w:rsidRPr="0052171B">
              <w:rPr>
                <w:rFonts w:ascii="Times New Roman" w:eastAsia="Calibri" w:hAnsi="Times New Roman" w:cs="Times New Roman"/>
                <w:color w:val="000000"/>
                <w:sz w:val="24"/>
                <w:szCs w:val="24"/>
                <w:lang w:eastAsia="zh-CN"/>
              </w:rPr>
              <w:t> (</w:t>
            </w:r>
            <w:r w:rsidR="006732B6">
              <w:rPr>
                <w:rFonts w:ascii="Times New Roman" w:eastAsia="Calibri" w:hAnsi="Times New Roman" w:cs="Times New Roman"/>
                <w:color w:val="000000"/>
                <w:sz w:val="24"/>
                <w:szCs w:val="24"/>
                <w:lang w:eastAsia="zh-CN"/>
              </w:rPr>
              <w:t>двести шестьдесят одна тысяча четыреста один) рубль</w:t>
            </w:r>
            <w:r w:rsidRPr="0052171B">
              <w:rPr>
                <w:rFonts w:ascii="Times New Roman" w:eastAsia="Calibri" w:hAnsi="Times New Roman" w:cs="Times New Roman"/>
                <w:color w:val="000000"/>
                <w:sz w:val="24"/>
                <w:szCs w:val="24"/>
                <w:lang w:eastAsia="zh-CN"/>
              </w:rPr>
              <w:t xml:space="preserve"> 00 копеек,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proofErr w:type="spellStart"/>
            <w:r w:rsidRPr="0052171B">
              <w:rPr>
                <w:rFonts w:ascii="Times New Roman" w:eastAsia="Times New Roman" w:hAnsi="Times New Roman" w:cs="Times New Roman"/>
                <w:sz w:val="24"/>
                <w:szCs w:val="24"/>
                <w:lang w:val="en-US"/>
              </w:rPr>
              <w:t>zakupki</w:t>
            </w:r>
            <w:proofErr w:type="spellEnd"/>
            <w:r w:rsidRPr="0052171B">
              <w:rPr>
                <w:rFonts w:ascii="Times New Roman" w:eastAsia="Times New Roman" w:hAnsi="Times New Roman" w:cs="Times New Roman"/>
                <w:sz w:val="24"/>
                <w:szCs w:val="24"/>
              </w:rPr>
              <w:t>.</w:t>
            </w:r>
            <w:proofErr w:type="spellStart"/>
            <w:r w:rsidRPr="0052171B">
              <w:rPr>
                <w:rFonts w:ascii="Times New Roman" w:eastAsia="Times New Roman" w:hAnsi="Times New Roman" w:cs="Times New Roman"/>
                <w:sz w:val="24"/>
                <w:szCs w:val="24"/>
                <w:lang w:val="en-US"/>
              </w:rPr>
              <w:t>gov</w:t>
            </w:r>
            <w:proofErr w:type="spellEnd"/>
            <w:r w:rsidRPr="0052171B">
              <w:rPr>
                <w:rFonts w:ascii="Times New Roman" w:eastAsia="Times New Roman" w:hAnsi="Times New Roman" w:cs="Times New Roman"/>
                <w:sz w:val="24"/>
                <w:szCs w:val="24"/>
              </w:rPr>
              <w:t>.</w:t>
            </w:r>
            <w:proofErr w:type="spellStart"/>
            <w:r w:rsidRPr="0052171B">
              <w:rPr>
                <w:rFonts w:ascii="Times New Roman" w:eastAsia="Times New Roman" w:hAnsi="Times New Roman" w:cs="Times New Roman"/>
                <w:sz w:val="24"/>
                <w:szCs w:val="24"/>
                <w:lang w:val="en-US"/>
              </w:rPr>
              <w:t>ru</w:t>
            </w:r>
            <w:proofErr w:type="spellEnd"/>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proofErr w:type="spellStart"/>
              <w:r w:rsidRPr="0052171B">
                <w:rPr>
                  <w:rFonts w:ascii="Times New Roman" w:eastAsia="Times New Roman" w:hAnsi="Times New Roman" w:cs="Times New Roman"/>
                  <w:color w:val="0067D5"/>
                  <w:sz w:val="24"/>
                  <w:szCs w:val="24"/>
                  <w:u w:val="single"/>
                  <w:lang w:val="en-US"/>
                </w:rPr>
                <w:t>torgi</w:t>
              </w:r>
              <w:proofErr w:type="spellEnd"/>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proofErr w:type="spellStart"/>
              <w:r w:rsidRPr="0052171B">
                <w:rPr>
                  <w:rFonts w:ascii="Times New Roman" w:eastAsia="Times New Roman" w:hAnsi="Times New Roman" w:cs="Times New Roman"/>
                  <w:color w:val="0067D5"/>
                  <w:sz w:val="24"/>
                  <w:szCs w:val="24"/>
                  <w:u w:val="single"/>
                  <w:lang w:val="en-US"/>
                </w:rPr>
                <w:t>torgi</w:t>
              </w:r>
              <w:proofErr w:type="spellEnd"/>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801238" w:rsidP="00801238">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17</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16:2</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801238">
              <w:rPr>
                <w:rFonts w:ascii="Times New Roman" w:eastAsia="Times New Roman" w:hAnsi="Times New Roman" w:cs="Times New Roman"/>
                <w:iCs/>
                <w:sz w:val="24"/>
                <w:szCs w:val="24"/>
              </w:rPr>
              <w:t>17</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 года 16</w:t>
            </w:r>
            <w:r w:rsidR="0052171B" w:rsidRPr="0052171B">
              <w:rPr>
                <w:rFonts w:ascii="Times New Roman" w:eastAsia="Times New Roman" w:hAnsi="Times New Roman" w:cs="Times New Roman"/>
                <w:sz w:val="24"/>
                <w:szCs w:val="24"/>
              </w:rPr>
              <w:t>:</w:t>
            </w:r>
            <w:r w:rsidR="006635F2">
              <w:rPr>
                <w:rFonts w:ascii="Times New Roman" w:eastAsia="Times New Roman" w:hAnsi="Times New Roman" w:cs="Times New Roman"/>
                <w:sz w:val="24"/>
                <w:szCs w:val="24"/>
              </w:rPr>
              <w:t>2</w:t>
            </w:r>
            <w:bookmarkStart w:id="11" w:name="_GoBack"/>
            <w:bookmarkEnd w:id="11"/>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D350A8">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851F41">
              <w:rPr>
                <w:rFonts w:ascii="Times New Roman" w:eastAsia="Times New Roman" w:hAnsi="Times New Roman" w:cs="Times New Roman"/>
                <w:iCs/>
                <w:sz w:val="24"/>
                <w:szCs w:val="24"/>
              </w:rPr>
              <w:t>24</w:t>
            </w:r>
            <w:r w:rsidR="0052171B" w:rsidRPr="0052171B">
              <w:rPr>
                <w:rFonts w:ascii="Times New Roman" w:eastAsia="Times New Roman" w:hAnsi="Times New Roman" w:cs="Times New Roman"/>
                <w:iCs/>
                <w:sz w:val="24"/>
                <w:szCs w:val="24"/>
              </w:rPr>
              <w:t> </w:t>
            </w:r>
            <w:r w:rsidR="00D350A8" w:rsidRPr="0052171B">
              <w:rPr>
                <w:rFonts w:ascii="Times New Roman" w:eastAsia="Times New Roman" w:hAnsi="Times New Roman" w:cs="Times New Roman"/>
                <w:iCs/>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8165C0">
              <w:rPr>
                <w:rFonts w:ascii="Times New Roman" w:eastAsia="Times New Roman" w:hAnsi="Times New Roman" w:cs="Times New Roman"/>
                <w:sz w:val="24"/>
                <w:szCs w:val="24"/>
              </w:rPr>
              <w:t>6:0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8165C0"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28</w:t>
            </w:r>
            <w:r w:rsidR="0052171B" w:rsidRPr="0052171B">
              <w:rPr>
                <w:rFonts w:ascii="Times New Roman" w:eastAsia="Times New Roman" w:hAnsi="Times New Roman" w:cs="Times New Roman"/>
                <w:iCs/>
                <w:sz w:val="24"/>
                <w:szCs w:val="24"/>
              </w:rPr>
              <w:t> марта</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xml:space="preserve">. Никита, спуск Никитский, д. 52, </w:t>
            </w:r>
            <w:proofErr w:type="spellStart"/>
            <w:r w:rsidRPr="0052171B">
              <w:rPr>
                <w:rFonts w:ascii="Times New Roman" w:eastAsia="Times New Roman" w:hAnsi="Times New Roman" w:cs="Times New Roman"/>
                <w:sz w:val="24"/>
                <w:szCs w:val="24"/>
              </w:rPr>
              <w:t>каб</w:t>
            </w:r>
            <w:proofErr w:type="spellEnd"/>
            <w:r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13</w:t>
            </w:r>
          </w:p>
          <w:p w:rsidR="00C35070" w:rsidRPr="0052171B" w:rsidRDefault="0052171B" w:rsidP="00D54772">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sidRPr="0052171B">
              <w:rPr>
                <w:rFonts w:ascii="Times New Roman" w:eastAsia="Times New Roman" w:hAnsi="Times New Roman" w:cs="Times New Roman"/>
                <w:sz w:val="24"/>
                <w:szCs w:val="24"/>
              </w:rPr>
              <w:t>2</w:t>
            </w:r>
            <w:r w:rsidR="00851F41">
              <w:rPr>
                <w:rFonts w:ascii="Times New Roman" w:eastAsia="Times New Roman" w:hAnsi="Times New Roman" w:cs="Times New Roman"/>
                <w:sz w:val="24"/>
                <w:szCs w:val="24"/>
              </w:rPr>
              <w:t>9</w:t>
            </w:r>
            <w:r w:rsidRPr="0052171B">
              <w:rPr>
                <w:rFonts w:ascii="Times New Roman" w:eastAsia="Times New Roman" w:hAnsi="Times New Roman" w:cs="Times New Roman"/>
                <w:sz w:val="24"/>
                <w:szCs w:val="24"/>
              </w:rPr>
              <w:t> марта</w:t>
            </w:r>
            <w:r w:rsidR="00C35070" w:rsidRPr="0052171B">
              <w:rPr>
                <w:rFonts w:ascii="Times New Roman" w:eastAsia="Times New Roman" w:hAnsi="Times New Roman" w:cs="Times New Roman"/>
                <w:sz w:val="24"/>
                <w:szCs w:val="24"/>
              </w:rPr>
              <w:t xml:space="preserve"> </w:t>
            </w:r>
            <w:bookmarkEnd w:id="12"/>
            <w:bookmarkEnd w:id="13"/>
            <w:r w:rsidRPr="0052171B">
              <w:rPr>
                <w:rFonts w:ascii="Times New Roman" w:eastAsia="Times New Roman" w:hAnsi="Times New Roman" w:cs="Times New Roman"/>
                <w:sz w:val="24"/>
                <w:szCs w:val="24"/>
              </w:rPr>
              <w:t>2017 года в 1</w:t>
            </w:r>
            <w:r w:rsidR="008165C0">
              <w:rPr>
                <w:rFonts w:ascii="Times New Roman" w:eastAsia="Times New Roman" w:hAnsi="Times New Roman" w:cs="Times New Roman"/>
                <w:sz w:val="24"/>
                <w:szCs w:val="24"/>
              </w:rPr>
              <w:t>1</w:t>
            </w:r>
            <w:r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w:t>
            </w:r>
            <w:proofErr w:type="spellStart"/>
            <w:r w:rsidRPr="0052171B">
              <w:rPr>
                <w:rFonts w:ascii="Times New Roman" w:eastAsia="Times New Roman" w:hAnsi="Times New Roman" w:cs="Times New Roman"/>
                <w:sz w:val="24"/>
                <w:szCs w:val="24"/>
              </w:rPr>
              <w:t>пгт</w:t>
            </w:r>
            <w:proofErr w:type="spellEnd"/>
            <w:r w:rsidRPr="0052171B">
              <w:rPr>
                <w:rFonts w:ascii="Times New Roman" w:eastAsia="Times New Roman" w:hAnsi="Times New Roman" w:cs="Times New Roman"/>
                <w:sz w:val="24"/>
                <w:szCs w:val="24"/>
              </w:rPr>
              <w:t xml:space="preserve">. Никита, спуск Никитский, д. 52, </w:t>
            </w:r>
            <w:proofErr w:type="spellStart"/>
            <w:r w:rsidRPr="0052171B">
              <w:rPr>
                <w:rFonts w:ascii="Times New Roman" w:eastAsia="Times New Roman" w:hAnsi="Times New Roman" w:cs="Times New Roman"/>
                <w:sz w:val="24"/>
                <w:szCs w:val="24"/>
              </w:rPr>
              <w:t>каб</w:t>
            </w:r>
            <w:proofErr w:type="spellEnd"/>
            <w:r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851F41" w:rsidP="00851F41">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29</w:t>
            </w:r>
            <w:r w:rsidR="0052171B" w:rsidRPr="0052171B">
              <w:rPr>
                <w:rFonts w:ascii="Times New Roman" w:eastAsia="Times New Roman" w:hAnsi="Times New Roman" w:cs="Times New Roman"/>
                <w:sz w:val="24"/>
                <w:szCs w:val="24"/>
              </w:rPr>
              <w:t> марта</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 xml:space="preserve"> года в 11</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3E4731">
          <w:footerReference w:type="default" r:id="rId21"/>
          <w:footerReference w:type="first" r:id="rId22"/>
          <w:pgSz w:w="11906" w:h="16838"/>
          <w:pgMar w:top="1134" w:right="849" w:bottom="1134" w:left="1134" w:header="720" w:footer="708"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Default="00D3466C" w:rsidP="008165C0">
      <w:pPr>
        <w:spacing w:after="0" w:line="240" w:lineRule="auto"/>
        <w:contextualSpacing/>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582D9A" w:rsidRPr="00D3466C" w:rsidRDefault="00582D9A" w:rsidP="008165C0">
      <w:pPr>
        <w:spacing w:after="0" w:line="240" w:lineRule="auto"/>
        <w:contextualSpacing/>
        <w:jc w:val="center"/>
        <w:rPr>
          <w:rFonts w:ascii="Times New Roman" w:eastAsia="Times New Roman" w:hAnsi="Times New Roman" w:cs="Times New Roman"/>
          <w:b/>
          <w:sz w:val="24"/>
          <w:szCs w:val="24"/>
        </w:rPr>
      </w:pP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w:t>
      </w:r>
      <w:proofErr w:type="spellStart"/>
      <w:r w:rsidRPr="00316A19">
        <w:rPr>
          <w:rFonts w:ascii="Times New Roman" w:eastAsia="Calibri" w:hAnsi="Times New Roman" w:cs="Times New Roman"/>
          <w:color w:val="000000"/>
          <w:sz w:val="24"/>
          <w:szCs w:val="24"/>
          <w:shd w:val="clear" w:color="auto" w:fill="FFFFFF"/>
          <w:lang w:eastAsia="zh-CN"/>
        </w:rPr>
        <w:t>СанПин</w:t>
      </w:r>
      <w:proofErr w:type="spellEnd"/>
      <w:r w:rsidRPr="00316A19">
        <w:rPr>
          <w:rFonts w:ascii="Times New Roman" w:eastAsia="Calibri" w:hAnsi="Times New Roman" w:cs="Times New Roman"/>
          <w:color w:val="000000"/>
          <w:sz w:val="24"/>
          <w:szCs w:val="24"/>
          <w:shd w:val="clear" w:color="auto" w:fill="FFFFFF"/>
          <w:lang w:eastAsia="zh-CN"/>
        </w:rPr>
        <w:t xml:space="preserve">,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xml:space="preserve"> Риск утраты и порчи товара в процессе его доставки до места нахождения Заказчика (298648, Республика Крым, г. Ялта, </w:t>
      </w:r>
      <w:proofErr w:type="spellStart"/>
      <w:r w:rsidRPr="00316A19">
        <w:rPr>
          <w:rFonts w:ascii="Times New Roman" w:eastAsia="Calibri" w:hAnsi="Times New Roman" w:cs="Times New Roman"/>
          <w:sz w:val="24"/>
          <w:szCs w:val="24"/>
          <w:lang w:eastAsia="zh-CN"/>
        </w:rPr>
        <w:t>пгт</w:t>
      </w:r>
      <w:proofErr w:type="spellEnd"/>
      <w:r w:rsidRPr="00316A19">
        <w:rPr>
          <w:rFonts w:ascii="Times New Roman" w:eastAsia="Calibri" w:hAnsi="Times New Roman" w:cs="Times New Roman"/>
          <w:sz w:val="24"/>
          <w:szCs w:val="24"/>
          <w:lang w:eastAsia="zh-CN"/>
        </w:rPr>
        <w:t>. Никита, спуск Никитский, д. 52) несет Поставщик.</w:t>
      </w:r>
    </w:p>
    <w:p w:rsidR="00582D9A" w:rsidRPr="00582D9A" w:rsidRDefault="00316A19"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pPr>
      <w:r w:rsidRPr="00316A19">
        <w:rPr>
          <w:rFonts w:ascii="Times New Roman" w:eastAsia="Calibri" w:hAnsi="Times New Roman" w:cs="Times New Roman"/>
          <w:b/>
          <w:sz w:val="24"/>
          <w:szCs w:val="24"/>
          <w:lang w:eastAsia="zh-CN"/>
        </w:rPr>
        <w:t>6.</w:t>
      </w:r>
      <w:r w:rsidR="008165C0">
        <w:rPr>
          <w:rFonts w:ascii="Times New Roman" w:eastAsia="Calibri" w:hAnsi="Times New Roman" w:cs="Times New Roman"/>
          <w:sz w:val="24"/>
          <w:szCs w:val="24"/>
          <w:lang w:eastAsia="zh-CN"/>
        </w:rPr>
        <w:t> Информация о Товаре:</w:t>
      </w:r>
      <w:r w:rsidR="002A23AB" w:rsidRPr="002A23AB">
        <w:rPr>
          <w:rFonts w:ascii="Calibri" w:eastAsia="SimSun" w:hAnsi="Calibri" w:cs="Tahoma"/>
          <w:kern w:val="3"/>
          <w:lang w:eastAsia="zh-CN"/>
        </w:rPr>
        <w:tab/>
      </w:r>
    </w:p>
    <w:p w:rsidR="002A23AB" w:rsidRPr="002A23AB" w:rsidRDefault="002A23AB" w:rsidP="008165C0">
      <w:pPr>
        <w:widowControl w:val="0"/>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4"/>
          <w:lang w:eastAsia="zh-CN"/>
        </w:rPr>
      </w:pP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2187"/>
        <w:gridCol w:w="6626"/>
        <w:gridCol w:w="976"/>
        <w:gridCol w:w="851"/>
        <w:gridCol w:w="708"/>
        <w:gridCol w:w="709"/>
        <w:gridCol w:w="851"/>
        <w:gridCol w:w="1559"/>
      </w:tblGrid>
      <w:tr w:rsidR="00007FD7" w:rsidRPr="002A23AB" w:rsidTr="00582D9A">
        <w:trPr>
          <w:trHeight w:val="515"/>
        </w:trPr>
        <w:tc>
          <w:tcPr>
            <w:tcW w:w="610"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w:t>
            </w: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п/п</w:t>
            </w:r>
          </w:p>
        </w:tc>
        <w:tc>
          <w:tcPr>
            <w:tcW w:w="2187" w:type="dxa"/>
            <w:shd w:val="clear" w:color="auto" w:fill="auto"/>
            <w:tcMar>
              <w:top w:w="0" w:type="dxa"/>
              <w:left w:w="108" w:type="dxa"/>
              <w:bottom w:w="0" w:type="dxa"/>
              <w:right w:w="108" w:type="dxa"/>
            </w:tcMa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Наименование объекта закупки</w:t>
            </w:r>
          </w:p>
        </w:tc>
        <w:tc>
          <w:tcPr>
            <w:tcW w:w="6626" w:type="dxa"/>
            <w:shd w:val="clear" w:color="auto" w:fill="auto"/>
            <w:tcMar>
              <w:top w:w="0" w:type="dxa"/>
              <w:left w:w="108" w:type="dxa"/>
              <w:bottom w:w="0" w:type="dxa"/>
              <w:right w:w="108" w:type="dxa"/>
            </w:tcMa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Описание объекта закупки</w:t>
            </w:r>
          </w:p>
        </w:tc>
        <w:tc>
          <w:tcPr>
            <w:tcW w:w="976" w:type="dxa"/>
            <w:shd w:val="clear" w:color="auto" w:fill="auto"/>
            <w:tcMar>
              <w:top w:w="0" w:type="dxa"/>
              <w:left w:w="108" w:type="dxa"/>
              <w:bottom w:w="0" w:type="dxa"/>
              <w:right w:w="108" w:type="dxa"/>
            </w:tcMa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Ед. изм.</w:t>
            </w:r>
          </w:p>
        </w:tc>
        <w:tc>
          <w:tcPr>
            <w:tcW w:w="851" w:type="dxa"/>
            <w:shd w:val="clear" w:color="auto" w:fill="auto"/>
            <w:tcMar>
              <w:top w:w="0" w:type="dxa"/>
              <w:left w:w="10" w:type="dxa"/>
              <w:bottom w:w="0" w:type="dxa"/>
              <w:right w:w="10"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 кв.</w:t>
            </w:r>
          </w:p>
        </w:tc>
        <w:tc>
          <w:tcPr>
            <w:tcW w:w="708" w:type="dxa"/>
            <w:shd w:val="clear" w:color="auto" w:fill="auto"/>
            <w:tcMar>
              <w:top w:w="0" w:type="dxa"/>
              <w:left w:w="10" w:type="dxa"/>
              <w:bottom w:w="0" w:type="dxa"/>
              <w:right w:w="10"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roofErr w:type="gramStart"/>
            <w:r w:rsidRPr="002A23AB">
              <w:rPr>
                <w:rFonts w:ascii="Times New Roman" w:eastAsia="Calibri" w:hAnsi="Times New Roman" w:cs="Times New Roman"/>
                <w:kern w:val="3"/>
                <w:sz w:val="24"/>
                <w:szCs w:val="24"/>
                <w:lang w:eastAsia="zh-CN"/>
              </w:rPr>
              <w:t>II  кв.</w:t>
            </w:r>
            <w:proofErr w:type="gramEnd"/>
          </w:p>
        </w:tc>
        <w:tc>
          <w:tcPr>
            <w:tcW w:w="709" w:type="dxa"/>
            <w:shd w:val="clear" w:color="auto" w:fill="auto"/>
            <w:tcMar>
              <w:top w:w="0" w:type="dxa"/>
              <w:left w:w="10" w:type="dxa"/>
              <w:bottom w:w="0" w:type="dxa"/>
              <w:right w:w="10"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III кв.</w:t>
            </w:r>
          </w:p>
        </w:tc>
        <w:tc>
          <w:tcPr>
            <w:tcW w:w="851" w:type="dxa"/>
            <w:shd w:val="clear" w:color="auto" w:fill="auto"/>
            <w:tcMar>
              <w:top w:w="0" w:type="dxa"/>
              <w:left w:w="10" w:type="dxa"/>
              <w:bottom w:w="0" w:type="dxa"/>
              <w:right w:w="10"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roofErr w:type="gramStart"/>
            <w:r w:rsidRPr="002A23AB">
              <w:rPr>
                <w:rFonts w:ascii="Times New Roman" w:eastAsia="Calibri" w:hAnsi="Times New Roman" w:cs="Times New Roman"/>
                <w:kern w:val="3"/>
                <w:sz w:val="24"/>
                <w:szCs w:val="24"/>
                <w:lang w:eastAsia="zh-CN"/>
              </w:rPr>
              <w:t>IV  кв.</w:t>
            </w:r>
            <w:proofErr w:type="gramEnd"/>
          </w:p>
        </w:tc>
        <w:tc>
          <w:tcPr>
            <w:tcW w:w="1559" w:type="dxa"/>
            <w:shd w:val="clear" w:color="auto" w:fill="auto"/>
            <w:tcMar>
              <w:top w:w="0" w:type="dxa"/>
              <w:left w:w="108" w:type="dxa"/>
              <w:bottom w:w="0" w:type="dxa"/>
              <w:right w:w="108" w:type="dxa"/>
            </w:tcMa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Общее кол-во</w:t>
            </w:r>
          </w:p>
        </w:tc>
      </w:tr>
      <w:tr w:rsidR="00007FD7" w:rsidRPr="002A23AB" w:rsidTr="00582D9A">
        <w:trPr>
          <w:trHeight w:val="2500"/>
        </w:trPr>
        <w:tc>
          <w:tcPr>
            <w:tcW w:w="610"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1</w:t>
            </w:r>
          </w:p>
        </w:tc>
        <w:tc>
          <w:tcPr>
            <w:tcW w:w="2187"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Мякоть (яблоко) свиная замороженная</w:t>
            </w:r>
          </w:p>
        </w:tc>
        <w:tc>
          <w:tcPr>
            <w:tcW w:w="6626"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Тазобедренный отруб свинины без голяшки бескостный замороженный, получаемый после обвалки тазобедренного отруба без голяшки. Цвет поверхности отруба – бледно-розового цвета. На разрезе мясо плотное, упругое; образующаяся при надавливании пальцем ямка быстро выравнивается. Запах специфический, свойственный свежему мясу. Жир мягкий, эластичный, имеет белый цвет. Соответствует ГОСТ 31778-2012.</w:t>
            </w: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Упакован в ящики из гофр</w:t>
            </w:r>
            <w:r w:rsidR="00582D9A">
              <w:rPr>
                <w:rFonts w:ascii="Times New Roman" w:eastAsia="Calibri" w:hAnsi="Times New Roman" w:cs="Times New Roman"/>
                <w:kern w:val="3"/>
                <w:sz w:val="24"/>
                <w:szCs w:val="24"/>
                <w:lang w:eastAsia="zh-CN"/>
              </w:rPr>
              <w:t>ированного картона массой 20</w:t>
            </w:r>
            <w:proofErr w:type="gramStart"/>
            <w:r w:rsidR="00582D9A">
              <w:rPr>
                <w:rFonts w:ascii="Times New Roman" w:eastAsia="Calibri" w:hAnsi="Times New Roman" w:cs="Times New Roman"/>
                <w:kern w:val="3"/>
                <w:sz w:val="24"/>
                <w:szCs w:val="24"/>
                <w:lang w:eastAsia="zh-CN"/>
              </w:rPr>
              <w:t>кг.</w:t>
            </w:r>
            <w:r w:rsidR="00582D9A">
              <w:rPr>
                <w:rFonts w:ascii="Times New Roman" w:eastAsia="Calibri" w:hAnsi="Times New Roman" w:cs="Times New Roman"/>
                <w:sz w:val="24"/>
                <w:szCs w:val="24"/>
                <w:lang w:eastAsia="zh-CN"/>
              </w:rPr>
              <w:tab/>
            </w:r>
            <w:proofErr w:type="gramEnd"/>
          </w:p>
        </w:tc>
        <w:tc>
          <w:tcPr>
            <w:tcW w:w="976" w:type="dxa"/>
            <w:shd w:val="clear" w:color="auto" w:fill="auto"/>
            <w:tcMar>
              <w:top w:w="0" w:type="dxa"/>
              <w:left w:w="108" w:type="dxa"/>
              <w:bottom w:w="0" w:type="dxa"/>
              <w:right w:w="108" w:type="dxa"/>
            </w:tcMar>
            <w:vAlign w:val="center"/>
          </w:tcPr>
          <w:p w:rsidR="00A1486F"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кг.</w:t>
            </w:r>
          </w:p>
        </w:tc>
        <w:tc>
          <w:tcPr>
            <w:tcW w:w="851" w:type="dxa"/>
            <w:shd w:val="clear" w:color="auto" w:fill="auto"/>
            <w:tcMar>
              <w:top w:w="0" w:type="dxa"/>
              <w:left w:w="10" w:type="dxa"/>
              <w:bottom w:w="0" w:type="dxa"/>
              <w:right w:w="10" w:type="dxa"/>
            </w:tcMar>
          </w:tcPr>
          <w:p w:rsidR="00582D9A" w:rsidRDefault="00582D9A"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582D9A" w:rsidRDefault="00582D9A" w:rsidP="00582D9A">
            <w:pPr>
              <w:rPr>
                <w:rFonts w:ascii="Times New Roman" w:eastAsia="Calibri" w:hAnsi="Times New Roman" w:cs="Times New Roman"/>
                <w:sz w:val="24"/>
                <w:szCs w:val="24"/>
                <w:lang w:eastAsia="zh-CN"/>
              </w:rPr>
            </w:pPr>
          </w:p>
          <w:p w:rsidR="00007FD7" w:rsidRPr="00582D9A" w:rsidRDefault="00007FD7" w:rsidP="00582D9A">
            <w:pPr>
              <w:rPr>
                <w:rFonts w:ascii="Times New Roman" w:eastAsia="Calibri" w:hAnsi="Times New Roman" w:cs="Times New Roman"/>
                <w:sz w:val="24"/>
                <w:szCs w:val="24"/>
                <w:lang w:eastAsia="zh-CN"/>
              </w:rPr>
            </w:pPr>
          </w:p>
        </w:tc>
        <w:tc>
          <w:tcPr>
            <w:tcW w:w="708"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200</w:t>
            </w:r>
          </w:p>
        </w:tc>
        <w:tc>
          <w:tcPr>
            <w:tcW w:w="709"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400</w:t>
            </w:r>
          </w:p>
        </w:tc>
        <w:tc>
          <w:tcPr>
            <w:tcW w:w="851"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105</w:t>
            </w:r>
          </w:p>
        </w:tc>
        <w:tc>
          <w:tcPr>
            <w:tcW w:w="1559"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b/>
                <w:kern w:val="3"/>
                <w:sz w:val="24"/>
                <w:szCs w:val="24"/>
                <w:lang w:eastAsia="zh-CN"/>
              </w:rPr>
            </w:pPr>
            <w:r w:rsidRPr="002A23AB">
              <w:rPr>
                <w:rFonts w:ascii="Times New Roman" w:eastAsia="Calibri" w:hAnsi="Times New Roman" w:cs="Times New Roman"/>
                <w:b/>
                <w:kern w:val="3"/>
                <w:sz w:val="24"/>
                <w:szCs w:val="24"/>
                <w:lang w:eastAsia="zh-CN"/>
              </w:rPr>
              <w:t>705</w:t>
            </w:r>
          </w:p>
        </w:tc>
      </w:tr>
      <w:tr w:rsidR="00007FD7" w:rsidRPr="002A23AB" w:rsidTr="00582D9A">
        <w:trPr>
          <w:trHeight w:val="1408"/>
        </w:trPr>
        <w:tc>
          <w:tcPr>
            <w:tcW w:w="610"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lastRenderedPageBreak/>
              <w:t>2</w:t>
            </w:r>
          </w:p>
        </w:tc>
        <w:tc>
          <w:tcPr>
            <w:tcW w:w="2187"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Говядина блочная высший сорт замороженная</w:t>
            </w:r>
          </w:p>
        </w:tc>
        <w:tc>
          <w:tcPr>
            <w:tcW w:w="6626"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Замороженные блоки из говядины высшего сорта (</w:t>
            </w:r>
            <w:proofErr w:type="spellStart"/>
            <w:r w:rsidRPr="002A23AB">
              <w:rPr>
                <w:rFonts w:ascii="Times New Roman" w:eastAsia="Calibri" w:hAnsi="Times New Roman" w:cs="Times New Roman"/>
                <w:kern w:val="3"/>
                <w:sz w:val="24"/>
                <w:szCs w:val="24"/>
                <w:lang w:eastAsia="zh-CN"/>
              </w:rPr>
              <w:t>жилованная</w:t>
            </w:r>
            <w:proofErr w:type="spellEnd"/>
            <w:r w:rsidRPr="002A23AB">
              <w:rPr>
                <w:rFonts w:ascii="Times New Roman" w:eastAsia="Calibri" w:hAnsi="Times New Roman" w:cs="Times New Roman"/>
                <w:kern w:val="3"/>
                <w:sz w:val="24"/>
                <w:szCs w:val="24"/>
                <w:lang w:eastAsia="zh-CN"/>
              </w:rPr>
              <w:t xml:space="preserve"> говядина без видимых включений соединительной и жировой тканей).</w:t>
            </w:r>
          </w:p>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 xml:space="preserve">Замороженная продукция упакована в обертку из полиэтиленовой пленки и уложена в ящики из </w:t>
            </w:r>
            <w:proofErr w:type="spellStart"/>
            <w:r w:rsidRPr="002A23AB">
              <w:rPr>
                <w:rFonts w:ascii="Times New Roman" w:eastAsia="Calibri" w:hAnsi="Times New Roman" w:cs="Times New Roman"/>
                <w:kern w:val="3"/>
                <w:sz w:val="24"/>
                <w:szCs w:val="24"/>
                <w:lang w:eastAsia="zh-CN"/>
              </w:rPr>
              <w:t>гофрокартона</w:t>
            </w:r>
            <w:proofErr w:type="spellEnd"/>
            <w:r w:rsidRPr="002A23AB">
              <w:rPr>
                <w:rFonts w:ascii="Times New Roman" w:eastAsia="Calibri" w:hAnsi="Times New Roman" w:cs="Times New Roman"/>
                <w:kern w:val="3"/>
                <w:sz w:val="24"/>
                <w:szCs w:val="24"/>
                <w:lang w:eastAsia="zh-CN"/>
              </w:rPr>
              <w:t xml:space="preserve"> с массой нетто 25кг. С</w:t>
            </w:r>
            <w:r w:rsidR="00582D9A">
              <w:rPr>
                <w:rFonts w:ascii="Times New Roman" w:eastAsia="Calibri" w:hAnsi="Times New Roman" w:cs="Times New Roman"/>
                <w:kern w:val="3"/>
                <w:sz w:val="24"/>
                <w:szCs w:val="24"/>
                <w:lang w:eastAsia="zh-CN"/>
              </w:rPr>
              <w:t>оответствует ГОСТ Р 54704-2011.</w:t>
            </w:r>
          </w:p>
        </w:tc>
        <w:tc>
          <w:tcPr>
            <w:tcW w:w="976"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кг</w:t>
            </w:r>
          </w:p>
        </w:tc>
        <w:tc>
          <w:tcPr>
            <w:tcW w:w="851"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tc>
        <w:tc>
          <w:tcPr>
            <w:tcW w:w="708"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6</w:t>
            </w:r>
          </w:p>
        </w:tc>
        <w:tc>
          <w:tcPr>
            <w:tcW w:w="709"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10</w:t>
            </w:r>
          </w:p>
        </w:tc>
        <w:tc>
          <w:tcPr>
            <w:tcW w:w="851"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5</w:t>
            </w:r>
          </w:p>
        </w:tc>
        <w:tc>
          <w:tcPr>
            <w:tcW w:w="1559"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b/>
                <w:kern w:val="3"/>
                <w:sz w:val="24"/>
                <w:szCs w:val="24"/>
                <w:lang w:eastAsia="zh-CN"/>
              </w:rPr>
            </w:pPr>
          </w:p>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b/>
                <w:kern w:val="3"/>
                <w:sz w:val="24"/>
                <w:szCs w:val="24"/>
                <w:lang w:eastAsia="zh-CN"/>
              </w:rPr>
            </w:pPr>
            <w:r>
              <w:rPr>
                <w:rFonts w:ascii="Times New Roman" w:eastAsia="Calibri" w:hAnsi="Times New Roman" w:cs="Times New Roman"/>
                <w:b/>
                <w:kern w:val="3"/>
                <w:sz w:val="24"/>
                <w:szCs w:val="24"/>
                <w:lang w:eastAsia="zh-CN"/>
              </w:rPr>
              <w:t>21</w:t>
            </w:r>
          </w:p>
        </w:tc>
      </w:tr>
      <w:tr w:rsidR="00007FD7" w:rsidRPr="002A23AB" w:rsidTr="00582D9A">
        <w:trPr>
          <w:trHeight w:val="979"/>
        </w:trPr>
        <w:tc>
          <w:tcPr>
            <w:tcW w:w="610"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3</w:t>
            </w:r>
          </w:p>
        </w:tc>
        <w:tc>
          <w:tcPr>
            <w:tcW w:w="2187"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Печень говяжья</w:t>
            </w:r>
          </w:p>
        </w:tc>
        <w:tc>
          <w:tcPr>
            <w:tcW w:w="6626" w:type="dxa"/>
            <w:shd w:val="clear" w:color="auto" w:fill="auto"/>
            <w:tcMar>
              <w:top w:w="0" w:type="dxa"/>
              <w:left w:w="108" w:type="dxa"/>
              <w:bottom w:w="0" w:type="dxa"/>
              <w:right w:w="108" w:type="dxa"/>
            </w:tcMa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Чистая, без кровяных сгустков, лимфатических узлов, остатков связок, жира, патологических изменений и посторонних запахов. Масса нетто не должна превышать 10 кг в картонных ящиках. Соответствует ГОСТ 19342-73.</w:t>
            </w:r>
          </w:p>
        </w:tc>
        <w:tc>
          <w:tcPr>
            <w:tcW w:w="976"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кг</w:t>
            </w:r>
          </w:p>
        </w:tc>
        <w:tc>
          <w:tcPr>
            <w:tcW w:w="851"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p>
        </w:tc>
        <w:tc>
          <w:tcPr>
            <w:tcW w:w="708"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10</w:t>
            </w:r>
          </w:p>
        </w:tc>
        <w:tc>
          <w:tcPr>
            <w:tcW w:w="709"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12</w:t>
            </w:r>
          </w:p>
        </w:tc>
        <w:tc>
          <w:tcPr>
            <w:tcW w:w="851" w:type="dxa"/>
            <w:shd w:val="clear" w:color="auto" w:fill="auto"/>
            <w:tcMar>
              <w:top w:w="0" w:type="dxa"/>
              <w:left w:w="10" w:type="dxa"/>
              <w:bottom w:w="0" w:type="dxa"/>
              <w:right w:w="10"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5</w:t>
            </w:r>
          </w:p>
        </w:tc>
        <w:tc>
          <w:tcPr>
            <w:tcW w:w="1559"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b/>
                <w:kern w:val="3"/>
                <w:sz w:val="24"/>
                <w:szCs w:val="24"/>
                <w:lang w:eastAsia="zh-CN"/>
              </w:rPr>
            </w:pPr>
            <w:r>
              <w:rPr>
                <w:rFonts w:ascii="Times New Roman" w:eastAsia="Calibri" w:hAnsi="Times New Roman" w:cs="Times New Roman"/>
                <w:b/>
                <w:kern w:val="3"/>
                <w:sz w:val="24"/>
                <w:szCs w:val="24"/>
                <w:lang w:eastAsia="zh-CN"/>
              </w:rPr>
              <w:t>27</w:t>
            </w:r>
          </w:p>
        </w:tc>
      </w:tr>
    </w:tbl>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8165C0">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1134" w:bottom="1274" w:left="1134" w:header="720" w:footer="708"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w:t>
      </w:r>
      <w:proofErr w:type="gramStart"/>
      <w:r w:rsidRPr="00D3253D">
        <w:rPr>
          <w:rFonts w:ascii="Times New Roman" w:eastAsia="Times New Roman" w:hAnsi="Times New Roman" w:cs="Times New Roman"/>
          <w:b/>
          <w:sz w:val="24"/>
          <w:szCs w:val="24"/>
          <w:lang w:eastAsia="zh-CN"/>
        </w:rPr>
        <w:t xml:space="preserve">   «</w:t>
      </w:r>
      <w:proofErr w:type="gramEnd"/>
      <w:r w:rsidRPr="00D3253D">
        <w:rPr>
          <w:rFonts w:ascii="Times New Roman" w:eastAsia="Times New Roman" w:hAnsi="Times New Roman" w:cs="Times New Roman"/>
          <w:b/>
          <w:sz w:val="24"/>
          <w:szCs w:val="24"/>
          <w:lang w:eastAsia="zh-CN"/>
        </w:rPr>
        <w:t>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385580" w:rsidRPr="00385580">
        <w:rPr>
          <w:rFonts w:ascii="Times New Roman" w:eastAsia="Times New Roman" w:hAnsi="Times New Roman" w:cs="Times New Roman"/>
          <w:b/>
          <w:sz w:val="24"/>
          <w:szCs w:val="24"/>
        </w:rPr>
        <w:t>мясо домашних животных и субпродукты</w:t>
      </w:r>
      <w:r w:rsidR="00385580" w:rsidRPr="00D3253D">
        <w:rPr>
          <w:rFonts w:ascii="Times New Roman" w:eastAsia="Times New Roman" w:hAnsi="Times New Roman" w:cs="Times New Roman"/>
          <w:sz w:val="24"/>
          <w:szCs w:val="24"/>
          <w:lang w:eastAsia="zh-CN"/>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w:t>
      </w:r>
      <w:proofErr w:type="spellStart"/>
      <w:r w:rsidRPr="00D3253D">
        <w:rPr>
          <w:rFonts w:ascii="Times New Roman" w:eastAsia="Times New Roman" w:hAnsi="Times New Roman" w:cs="Times New Roman"/>
          <w:b/>
          <w:sz w:val="24"/>
          <w:szCs w:val="24"/>
          <w:lang w:eastAsia="zh-CN"/>
        </w:rPr>
        <w:t>т.ч</w:t>
      </w:r>
      <w:proofErr w:type="spellEnd"/>
      <w:r w:rsidRPr="00D3253D">
        <w:rPr>
          <w:rFonts w:ascii="Times New Roman" w:eastAsia="Times New Roman" w:hAnsi="Times New Roman" w:cs="Times New Roman"/>
          <w:b/>
          <w:sz w:val="24"/>
          <w:szCs w:val="24"/>
          <w:lang w:eastAsia="zh-CN"/>
        </w:rPr>
        <w:t xml:space="preserve">.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w:t>
      </w:r>
      <w:proofErr w:type="spellStart"/>
      <w:r w:rsidRPr="00D3253D">
        <w:rPr>
          <w:rFonts w:ascii="Times New Roman" w:eastAsia="Times New Roman" w:hAnsi="Times New Roman" w:cs="Times New Roman"/>
          <w:sz w:val="24"/>
          <w:szCs w:val="24"/>
          <w:lang w:eastAsia="zh-CN"/>
        </w:rPr>
        <w:t>пгт</w:t>
      </w:r>
      <w:proofErr w:type="spellEnd"/>
      <w:r w:rsidRPr="00D3253D">
        <w:rPr>
          <w:rFonts w:ascii="Times New Roman" w:eastAsia="Times New Roman" w:hAnsi="Times New Roman" w:cs="Times New Roman"/>
          <w:sz w:val="24"/>
          <w:szCs w:val="24"/>
          <w:lang w:eastAsia="zh-CN"/>
        </w:rPr>
        <w:t>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3.4. Датой поставки отдельной партии и всего Товара в целом является дата получения Товара 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 имеющем действующий санитарный паспорт.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w:t>
      </w:r>
      <w:r w:rsidRPr="00D3253D">
        <w:rPr>
          <w:rFonts w:ascii="Times New Roman" w:eastAsia="Times New Roman" w:hAnsi="Times New Roman" w:cs="Times New Roman"/>
          <w:sz w:val="24"/>
          <w:szCs w:val="24"/>
          <w:lang w:eastAsia="zh-CN"/>
        </w:rPr>
        <w:lastRenderedPageBreak/>
        <w:t>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w:t>
      </w:r>
      <w:r w:rsidRPr="00D3253D">
        <w:rPr>
          <w:rFonts w:ascii="Times New Roman" w:eastAsia="Times New Roman" w:hAnsi="Times New Roman" w:cs="Times New Roman"/>
          <w:sz w:val="24"/>
          <w:szCs w:val="24"/>
          <w:lang w:eastAsia="zh-CN"/>
        </w:rPr>
        <w:lastRenderedPageBreak/>
        <w:t>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Размер ставки определяется по формуле С = </w:t>
      </w:r>
      <w:proofErr w:type="spellStart"/>
      <w:r w:rsidRPr="00D3253D">
        <w:rPr>
          <w:rFonts w:ascii="Times New Roman" w:eastAsia="Times New Roman" w:hAnsi="Times New Roman" w:cs="Times New Roman"/>
          <w:sz w:val="24"/>
          <w:szCs w:val="24"/>
          <w:lang w:eastAsia="zh-CN"/>
        </w:rPr>
        <w:t>Сцб</w:t>
      </w:r>
      <w:proofErr w:type="spellEnd"/>
      <w:r w:rsidRPr="00D3253D">
        <w:rPr>
          <w:rFonts w:ascii="Times New Roman" w:eastAsia="Times New Roman" w:hAnsi="Times New Roman" w:cs="Times New Roman"/>
          <w:sz w:val="24"/>
          <w:szCs w:val="24"/>
          <w:lang w:eastAsia="zh-CN"/>
        </w:rPr>
        <w:t xml:space="preserve"> х </w:t>
      </w:r>
      <w:proofErr w:type="gramStart"/>
      <w:r w:rsidRPr="00D3253D">
        <w:rPr>
          <w:rFonts w:ascii="Times New Roman" w:eastAsia="Times New Roman" w:hAnsi="Times New Roman" w:cs="Times New Roman"/>
          <w:sz w:val="24"/>
          <w:szCs w:val="24"/>
          <w:lang w:eastAsia="zh-CN"/>
        </w:rPr>
        <w:t>Д :</w:t>
      </w:r>
      <w:proofErr w:type="gramEnd"/>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xml:space="preserve">(где </w:t>
      </w:r>
      <w:proofErr w:type="spellStart"/>
      <w:r w:rsidRPr="00D3253D">
        <w:rPr>
          <w:rFonts w:ascii="Times New Roman" w:eastAsia="Times New Roman" w:hAnsi="Times New Roman" w:cs="Times New Roman"/>
          <w:sz w:val="24"/>
          <w:szCs w:val="24"/>
          <w:lang w:eastAsia="zh-CN"/>
        </w:rPr>
        <w:t>Сцб</w:t>
      </w:r>
      <w:proofErr w:type="spellEnd"/>
      <w:r w:rsidRPr="00D3253D">
        <w:rPr>
          <w:rFonts w:ascii="Times New Roman" w:eastAsia="Times New Roman" w:hAnsi="Times New Roman" w:cs="Times New Roman"/>
          <w:sz w:val="24"/>
          <w:szCs w:val="24"/>
          <w:lang w:eastAsia="zh-C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 xml:space="preserve">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w:t>
      </w:r>
      <w:r w:rsidRPr="00D3253D">
        <w:rPr>
          <w:rFonts w:ascii="Times New Roman" w:eastAsia="Times New Roman" w:hAnsi="Times New Roman" w:cs="Times New Roman"/>
          <w:sz w:val="24"/>
          <w:szCs w:val="24"/>
          <w:lang w:eastAsia="zh-CN"/>
        </w:rPr>
        <w:lastRenderedPageBreak/>
        <w:t>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lastRenderedPageBreak/>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proofErr w:type="spellStart"/>
      <w:r w:rsidRPr="00D3253D">
        <w:rPr>
          <w:rFonts w:ascii="Times New Roman" w:eastAsia="Times New Roman" w:hAnsi="Times New Roman" w:cs="Times New Roman"/>
          <w:b/>
          <w:sz w:val="24"/>
          <w:szCs w:val="24"/>
          <w:lang w:val="x-none" w:eastAsia="x-none"/>
        </w:rPr>
        <w:t>торон</w:t>
      </w:r>
      <w:proofErr w:type="spellEnd"/>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proofErr w:type="spellStart"/>
            <w:r w:rsidRPr="00D3253D">
              <w:rPr>
                <w:rFonts w:ascii="Times New Roman" w:eastAsia="Times New Roman" w:hAnsi="Times New Roman" w:cs="Times New Roman"/>
                <w:sz w:val="24"/>
                <w:szCs w:val="24"/>
                <w:lang w:val="uk-UA" w:eastAsia="zh-CN"/>
              </w:rPr>
              <w:t>Федеральное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государственное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бюджетное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учреждение</w:t>
            </w:r>
            <w:proofErr w:type="spellEnd"/>
            <w:r w:rsidRPr="00D3253D">
              <w:rPr>
                <w:rFonts w:ascii="Times New Roman" w:eastAsia="Times New Roman" w:hAnsi="Times New Roman" w:cs="Times New Roman"/>
                <w:sz w:val="24"/>
                <w:szCs w:val="24"/>
                <w:lang w:val="uk-UA" w:eastAsia="zh-CN"/>
              </w:rPr>
              <w:t xml:space="preserve"> науки «Ордена Трудового Красного </w:t>
            </w:r>
            <w:proofErr w:type="spellStart"/>
            <w:r w:rsidRPr="00D3253D">
              <w:rPr>
                <w:rFonts w:ascii="Times New Roman" w:eastAsia="Times New Roman" w:hAnsi="Times New Roman" w:cs="Times New Roman"/>
                <w:sz w:val="24"/>
                <w:szCs w:val="24"/>
                <w:lang w:val="uk-UA" w:eastAsia="zh-CN"/>
              </w:rPr>
              <w:t>Знамени</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Никитский</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ботанический</w:t>
            </w:r>
            <w:proofErr w:type="spellEnd"/>
            <w:r w:rsidRPr="00D3253D">
              <w:rPr>
                <w:rFonts w:ascii="Times New Roman" w:eastAsia="Times New Roman" w:hAnsi="Times New Roman" w:cs="Times New Roman"/>
                <w:sz w:val="24"/>
                <w:szCs w:val="24"/>
                <w:lang w:val="uk-UA" w:eastAsia="zh-CN"/>
              </w:rPr>
              <w:t xml:space="preserve"> сад – </w:t>
            </w:r>
            <w:proofErr w:type="spellStart"/>
            <w:r w:rsidRPr="00D3253D">
              <w:rPr>
                <w:rFonts w:ascii="Times New Roman" w:eastAsia="Times New Roman" w:hAnsi="Times New Roman" w:cs="Times New Roman"/>
                <w:sz w:val="24"/>
                <w:szCs w:val="24"/>
                <w:lang w:val="uk-UA" w:eastAsia="zh-CN"/>
              </w:rPr>
              <w:t>Национальный</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научный</w:t>
            </w:r>
            <w:proofErr w:type="spellEnd"/>
            <w:r w:rsidRPr="00D3253D">
              <w:rPr>
                <w:rFonts w:ascii="Times New Roman" w:eastAsia="Times New Roman" w:hAnsi="Times New Roman" w:cs="Times New Roman"/>
                <w:sz w:val="24"/>
                <w:szCs w:val="24"/>
                <w:lang w:val="uk-UA" w:eastAsia="zh-CN"/>
              </w:rPr>
              <w:t xml:space="preserve">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адрес: 298648, </w:t>
            </w:r>
            <w:proofErr w:type="spellStart"/>
            <w:r w:rsidRPr="00D3253D">
              <w:rPr>
                <w:rFonts w:ascii="Times New Roman" w:eastAsia="Times New Roman" w:hAnsi="Times New Roman" w:cs="Times New Roman"/>
                <w:sz w:val="24"/>
                <w:szCs w:val="24"/>
                <w:lang w:val="uk-UA" w:eastAsia="zh-CN"/>
              </w:rPr>
              <w:t>Российская</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Федерация</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Республика</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Крым</w:t>
            </w:r>
            <w:proofErr w:type="spellEnd"/>
            <w:r w:rsidRPr="00D3253D">
              <w:rPr>
                <w:rFonts w:ascii="Times New Roman" w:eastAsia="Times New Roman" w:hAnsi="Times New Roman" w:cs="Times New Roman"/>
                <w:sz w:val="24"/>
                <w:szCs w:val="24"/>
                <w:lang w:val="uk-UA" w:eastAsia="zh-CN"/>
              </w:rPr>
              <w:t xml:space="preserve">, г. Ялта, </w:t>
            </w:r>
            <w:proofErr w:type="spellStart"/>
            <w:r w:rsidRPr="00D3253D">
              <w:rPr>
                <w:rFonts w:ascii="Times New Roman" w:eastAsia="Times New Roman" w:hAnsi="Times New Roman" w:cs="Times New Roman"/>
                <w:sz w:val="24"/>
                <w:szCs w:val="24"/>
                <w:lang w:val="uk-UA" w:eastAsia="zh-CN"/>
              </w:rPr>
              <w:t>пгт</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Никита</w:t>
            </w:r>
            <w:proofErr w:type="spellEnd"/>
            <w:r w:rsidRPr="00D3253D">
              <w:rPr>
                <w:rFonts w:ascii="Times New Roman" w:eastAsia="Times New Roman" w:hAnsi="Times New Roman" w:cs="Times New Roman"/>
                <w:sz w:val="24"/>
                <w:szCs w:val="24"/>
                <w:lang w:val="uk-UA" w:eastAsia="zh-CN"/>
              </w:rPr>
              <w:t xml:space="preserve">, спуск </w:t>
            </w:r>
            <w:proofErr w:type="spellStart"/>
            <w:r w:rsidRPr="00D3253D">
              <w:rPr>
                <w:rFonts w:ascii="Times New Roman" w:eastAsia="Times New Roman" w:hAnsi="Times New Roman" w:cs="Times New Roman"/>
                <w:sz w:val="24"/>
                <w:szCs w:val="24"/>
                <w:lang w:val="uk-UA" w:eastAsia="zh-CN"/>
              </w:rPr>
              <w:t>Никитский</w:t>
            </w:r>
            <w:proofErr w:type="spellEnd"/>
            <w:r w:rsidRPr="00D3253D">
              <w:rPr>
                <w:rFonts w:ascii="Times New Roman" w:eastAsia="Times New Roman" w:hAnsi="Times New Roman" w:cs="Times New Roman"/>
                <w:sz w:val="24"/>
                <w:szCs w:val="24"/>
                <w:lang w:val="uk-UA" w:eastAsia="zh-CN"/>
              </w:rPr>
              <w:t>,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proofErr w:type="spellStart"/>
            <w:r w:rsidRPr="00D3253D">
              <w:rPr>
                <w:rFonts w:ascii="Times New Roman" w:eastAsia="Times New Roman" w:hAnsi="Times New Roman" w:cs="Times New Roman"/>
                <w:sz w:val="24"/>
                <w:szCs w:val="24"/>
                <w:lang w:val="uk-UA" w:eastAsia="zh-CN"/>
              </w:rPr>
              <w:t>тел</w:t>
            </w:r>
            <w:proofErr w:type="spellEnd"/>
            <w:r w:rsidRPr="00D3253D">
              <w:rPr>
                <w:rFonts w:ascii="Times New Roman" w:eastAsia="Times New Roman" w:hAnsi="Times New Roman" w:cs="Times New Roman"/>
                <w:sz w:val="24"/>
                <w:szCs w:val="24"/>
                <w:lang w:val="uk-UA" w:eastAsia="zh-CN"/>
              </w:rPr>
              <w:t xml:space="preserve">.: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w:t>
            </w:r>
            <w:proofErr w:type="spellStart"/>
            <w:r w:rsidRPr="00D3253D">
              <w:rPr>
                <w:rFonts w:ascii="Times New Roman" w:eastAsia="Times New Roman" w:hAnsi="Times New Roman" w:cs="Times New Roman"/>
                <w:sz w:val="24"/>
                <w:szCs w:val="24"/>
                <w:lang w:val="uk-UA" w:eastAsia="zh-CN"/>
              </w:rPr>
              <w:t>mail</w:t>
            </w:r>
            <w:proofErr w:type="spellEnd"/>
            <w:r w:rsidRPr="00D3253D">
              <w:rPr>
                <w:rFonts w:ascii="Times New Roman" w:eastAsia="Times New Roman" w:hAnsi="Times New Roman" w:cs="Times New Roman"/>
                <w:sz w:val="24"/>
                <w:szCs w:val="24"/>
                <w:lang w:val="uk-UA" w:eastAsia="zh-CN"/>
              </w:rPr>
              <w:t>: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Банк: </w:t>
            </w:r>
            <w:proofErr w:type="spellStart"/>
            <w:r w:rsidRPr="00D3253D">
              <w:rPr>
                <w:rFonts w:ascii="Times New Roman" w:eastAsia="Times New Roman" w:hAnsi="Times New Roman" w:cs="Times New Roman"/>
                <w:sz w:val="24"/>
                <w:szCs w:val="24"/>
                <w:lang w:val="uk-UA" w:eastAsia="zh-CN"/>
              </w:rPr>
              <w:t>Отделение</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Республика</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Крым</w:t>
            </w:r>
            <w:proofErr w:type="spellEnd"/>
            <w:r w:rsidRPr="00D3253D">
              <w:rPr>
                <w:rFonts w:ascii="Times New Roman" w:eastAsia="Times New Roman" w:hAnsi="Times New Roman" w:cs="Times New Roman"/>
                <w:sz w:val="24"/>
                <w:szCs w:val="24"/>
                <w:lang w:val="uk-UA" w:eastAsia="zh-CN"/>
              </w:rPr>
              <w:t xml:space="preserve">, г. </w:t>
            </w:r>
            <w:proofErr w:type="spellStart"/>
            <w:r w:rsidRPr="00D3253D">
              <w:rPr>
                <w:rFonts w:ascii="Times New Roman" w:eastAsia="Times New Roman" w:hAnsi="Times New Roman" w:cs="Times New Roman"/>
                <w:sz w:val="24"/>
                <w:szCs w:val="24"/>
                <w:lang w:val="uk-UA" w:eastAsia="zh-CN"/>
              </w:rPr>
              <w:t>Симферополь</w:t>
            </w:r>
            <w:proofErr w:type="spellEnd"/>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счета</w:t>
            </w:r>
            <w:proofErr w:type="spellEnd"/>
            <w:r w:rsidRPr="00D3253D">
              <w:rPr>
                <w:rFonts w:ascii="Times New Roman" w:eastAsia="Times New Roman" w:hAnsi="Times New Roman" w:cs="Times New Roman"/>
                <w:sz w:val="24"/>
                <w:szCs w:val="24"/>
                <w:lang w:val="uk-UA" w:eastAsia="zh-CN"/>
              </w:rPr>
              <w:t xml:space="preserve">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proofErr w:type="spellStart"/>
            <w:r w:rsidRPr="00D3253D">
              <w:rPr>
                <w:rFonts w:ascii="Times New Roman" w:eastAsia="Times New Roman" w:hAnsi="Times New Roman" w:cs="Times New Roman"/>
                <w:sz w:val="24"/>
                <w:szCs w:val="24"/>
                <w:lang w:val="uk-UA" w:eastAsia="zh-CN"/>
              </w:rPr>
              <w:t>Лицевой</w:t>
            </w:r>
            <w:proofErr w:type="spellEnd"/>
            <w:r w:rsidRPr="00D3253D">
              <w:rPr>
                <w:rFonts w:ascii="Times New Roman" w:eastAsia="Times New Roman" w:hAnsi="Times New Roman" w:cs="Times New Roman"/>
                <w:sz w:val="24"/>
                <w:szCs w:val="24"/>
                <w:lang w:val="uk-UA" w:eastAsia="zh-CN"/>
              </w:rPr>
              <w:t xml:space="preserve"> </w:t>
            </w:r>
            <w:proofErr w:type="spellStart"/>
            <w:r w:rsidRPr="00D3253D">
              <w:rPr>
                <w:rFonts w:ascii="Times New Roman" w:eastAsia="Times New Roman" w:hAnsi="Times New Roman" w:cs="Times New Roman"/>
                <w:sz w:val="24"/>
                <w:szCs w:val="24"/>
                <w:lang w:val="uk-UA" w:eastAsia="zh-CN"/>
              </w:rPr>
              <w:t>счет</w:t>
            </w:r>
            <w:proofErr w:type="spellEnd"/>
            <w:r w:rsidRPr="00D3253D">
              <w:rPr>
                <w:rFonts w:ascii="Times New Roman" w:eastAsia="Times New Roman" w:hAnsi="Times New Roman" w:cs="Times New Roman"/>
                <w:sz w:val="24"/>
                <w:szCs w:val="24"/>
                <w:lang w:val="uk-UA" w:eastAsia="zh-CN"/>
              </w:rPr>
              <w:t>: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9"/>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sz w:val="24"/>
                <w:szCs w:val="24"/>
              </w:rPr>
              <w:t>Мякоть (яблоко) свиная замороженная</w:t>
            </w: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20515C" w:rsidRPr="00C35070" w:rsidTr="00C93BCC">
        <w:trPr>
          <w:trHeight w:val="84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top w:val="single" w:sz="4" w:space="0" w:color="000000"/>
              <w:left w:val="single" w:sz="4" w:space="0" w:color="000000"/>
              <w:bottom w:val="single" w:sz="4" w:space="0" w:color="000000"/>
            </w:tcBorders>
            <w:vAlign w:val="center"/>
          </w:tcPr>
          <w:p w:rsidR="0020515C" w:rsidRPr="00C35070" w:rsidRDefault="005064C8"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5064C8">
              <w:rPr>
                <w:rFonts w:ascii="Times New Roman" w:eastAsia="Calibri" w:hAnsi="Times New Roman" w:cs="Times New Roman"/>
                <w:kern w:val="3"/>
                <w:lang w:eastAsia="ru-RU"/>
              </w:rPr>
              <w:t>Говядина блочная высший сорт замороженная</w:t>
            </w:r>
          </w:p>
        </w:tc>
        <w:tc>
          <w:tcPr>
            <w:tcW w:w="4394" w:type="dxa"/>
            <w:tcBorders>
              <w:top w:val="single" w:sz="4" w:space="0" w:color="000000"/>
              <w:left w:val="single" w:sz="4" w:space="0" w:color="000000"/>
              <w:bottom w:val="single" w:sz="4" w:space="0" w:color="000000"/>
            </w:tcBorders>
            <w:vAlign w:val="center"/>
          </w:tcPr>
          <w:p w:rsidR="0020515C" w:rsidRPr="00C35070" w:rsidRDefault="005064C8"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D3466C" w:rsidRPr="00C35070" w:rsidTr="00A07F3F">
        <w:trPr>
          <w:trHeight w:val="704"/>
        </w:trPr>
        <w:tc>
          <w:tcPr>
            <w:tcW w:w="662" w:type="dxa"/>
            <w:tcBorders>
              <w:top w:val="single" w:sz="4" w:space="0" w:color="000000"/>
              <w:left w:val="single" w:sz="4" w:space="0" w:color="000000"/>
              <w:bottom w:val="single" w:sz="4" w:space="0" w:color="000000"/>
            </w:tcBorders>
            <w:vAlign w:val="center"/>
          </w:tcPr>
          <w:p w:rsidR="00D3466C" w:rsidRPr="00C93BCC" w:rsidRDefault="00C93BCC" w:rsidP="00C93BCC">
            <w:pPr>
              <w:widowControl w:val="0"/>
              <w:suppressAutoHyphens/>
              <w:autoSpaceDE w:val="0"/>
              <w:spacing w:line="240" w:lineRule="auto"/>
              <w:jc w:val="center"/>
              <w:rPr>
                <w:rFonts w:ascii="Times New Roman" w:eastAsia="Times New Roman" w:hAnsi="Times New Roman" w:cs="Times New Roman"/>
                <w:b/>
                <w:sz w:val="20"/>
                <w:szCs w:val="20"/>
                <w:lang w:eastAsia="zh-CN"/>
              </w:rPr>
            </w:pPr>
            <w:r w:rsidRPr="00C93BCC">
              <w:rPr>
                <w:b/>
                <w:sz w:val="20"/>
                <w:szCs w:val="20"/>
              </w:rPr>
              <w:t>3</w:t>
            </w:r>
          </w:p>
        </w:tc>
        <w:tc>
          <w:tcPr>
            <w:tcW w:w="23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66C" w:rsidRPr="00D3466C" w:rsidRDefault="003D3F4E" w:rsidP="00740E92">
            <w:pPr>
              <w:jc w:val="center"/>
              <w:rPr>
                <w:rFonts w:ascii="Times New Roman" w:eastAsia="Times New Roman" w:hAnsi="Times New Roman" w:cs="Times New Roman"/>
                <w:sz w:val="24"/>
                <w:szCs w:val="24"/>
              </w:rPr>
            </w:pPr>
            <w:r w:rsidRPr="003D3F4E">
              <w:rPr>
                <w:rFonts w:ascii="Times New Roman" w:eastAsia="Calibri" w:hAnsi="Times New Roman" w:cs="Times New Roman"/>
                <w:kern w:val="3"/>
                <w:lang w:eastAsia="ru-RU"/>
              </w:rPr>
              <w:t>Печень говяжья</w:t>
            </w:r>
          </w:p>
        </w:tc>
        <w:tc>
          <w:tcPr>
            <w:tcW w:w="4394" w:type="dxa"/>
            <w:tcBorders>
              <w:top w:val="single" w:sz="4" w:space="0" w:color="000000"/>
              <w:left w:val="single" w:sz="4" w:space="0" w:color="000000"/>
              <w:bottom w:val="single" w:sz="4" w:space="0" w:color="000000"/>
            </w:tcBorders>
            <w:vAlign w:val="center"/>
          </w:tcPr>
          <w:p w:rsidR="00D3466C" w:rsidRPr="00D3466C" w:rsidRDefault="00D3466C" w:rsidP="003A3003">
            <w:pPr>
              <w:widowControl w:val="0"/>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sidR="00297A04">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D3466C" w:rsidRPr="00C35070"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D3466C" w:rsidRPr="00C35070"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tcPr>
          <w:p w:rsidR="00D3466C" w:rsidRPr="00C35070"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tcPr>
          <w:p w:rsidR="00D3466C" w:rsidRPr="00C35070"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D3466C" w:rsidRPr="00C35070"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D3466C" w:rsidRPr="00C35070"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30"/>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w:t>
      </w:r>
      <w:proofErr w:type="gramStart"/>
      <w:r w:rsidRPr="00C35070">
        <w:rPr>
          <w:rFonts w:ascii="Times New Roman" w:eastAsia="Times New Roman" w:hAnsi="Times New Roman" w:cs="Times New Roman"/>
          <w:sz w:val="24"/>
          <w:szCs w:val="24"/>
        </w:rPr>
        <w:t>_,</w:t>
      </w:r>
      <w:r w:rsidRPr="00C35070">
        <w:rPr>
          <w:rFonts w:ascii="Times New Roman" w:eastAsia="Times New Roman" w:hAnsi="Times New Roman" w:cs="Times New Roman"/>
          <w:sz w:val="24"/>
          <w:szCs w:val="24"/>
          <w:vertAlign w:val="superscript"/>
        </w:rPr>
        <w:t>(</w:t>
      </w:r>
      <w:proofErr w:type="gramEnd"/>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31"/>
          <w:footerReference w:type="default" r:id="rId32"/>
          <w:footerReference w:type="first" r:id="rId33"/>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(Руководитель </w:t>
      </w:r>
      <w:proofErr w:type="gramStart"/>
      <w:r w:rsidRPr="00C35070">
        <w:rPr>
          <w:rFonts w:ascii="Times New Roman" w:eastAsia="Times New Roman" w:hAnsi="Times New Roman" w:cs="Times New Roman"/>
          <w:sz w:val="24"/>
          <w:szCs w:val="24"/>
        </w:rPr>
        <w:t>организации)</w:t>
      </w:r>
      <w:r w:rsidRPr="00C35070">
        <w:rPr>
          <w:rFonts w:ascii="Times New Roman" w:eastAsia="Times New Roman" w:hAnsi="Times New Roman" w:cs="Times New Roman"/>
          <w:sz w:val="24"/>
          <w:szCs w:val="24"/>
        </w:rPr>
        <w:tab/>
      </w:r>
      <w:proofErr w:type="gramEnd"/>
      <w:r w:rsidRPr="00C35070">
        <w:rPr>
          <w:rFonts w:ascii="Times New Roman" w:eastAsia="Times New Roman" w:hAnsi="Times New Roman" w:cs="Times New Roman"/>
          <w:sz w:val="24"/>
          <w:szCs w:val="24"/>
        </w:rPr>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w:t>
      </w:r>
      <w:proofErr w:type="gramStart"/>
      <w:r w:rsidRPr="00C35070">
        <w:rPr>
          <w:rFonts w:ascii="Times New Roman" w:eastAsia="Times New Roman" w:hAnsi="Times New Roman" w:cs="Times New Roman"/>
          <w:sz w:val="28"/>
          <w:szCs w:val="24"/>
          <w:vertAlign w:val="superscript"/>
        </w:rPr>
        <w:t>_»_</w:t>
      </w:r>
      <w:proofErr w:type="gramEnd"/>
      <w:r w:rsidRPr="00C35070">
        <w:rPr>
          <w:rFonts w:ascii="Times New Roman" w:eastAsia="Times New Roman" w:hAnsi="Times New Roman" w:cs="Times New Roman"/>
          <w:sz w:val="28"/>
          <w:szCs w:val="24"/>
          <w:vertAlign w:val="superscript"/>
        </w:rPr>
        <w:t>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w:t>
      </w:r>
      <w:proofErr w:type="spellStart"/>
      <w:r w:rsidRPr="00C35070">
        <w:rPr>
          <w:rFonts w:ascii="Times New Roman" w:eastAsia="Times New Roman" w:hAnsi="Times New Roman" w:cs="Times New Roman"/>
          <w:sz w:val="24"/>
          <w:szCs w:val="24"/>
        </w:rPr>
        <w:t>Непроведение</w:t>
      </w:r>
      <w:proofErr w:type="spellEnd"/>
      <w:r w:rsidRPr="00C35070">
        <w:rPr>
          <w:rFonts w:ascii="Times New Roman" w:eastAsia="Times New Roman" w:hAnsi="Times New Roman" w:cs="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w:t>
      </w:r>
      <w:proofErr w:type="spellStart"/>
      <w:r w:rsidRPr="00C35070">
        <w:rPr>
          <w:rFonts w:ascii="Times New Roman" w:eastAsia="Times New Roman" w:hAnsi="Times New Roman" w:cs="Times New Roman"/>
          <w:sz w:val="24"/>
          <w:szCs w:val="24"/>
        </w:rPr>
        <w:t>Неприостановление</w:t>
      </w:r>
      <w:proofErr w:type="spellEnd"/>
      <w:r w:rsidRPr="00C35070">
        <w:rPr>
          <w:rFonts w:ascii="Times New Roman" w:eastAsia="Times New Roman" w:hAnsi="Times New Roman" w:cs="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w:t>
      </w:r>
      <w:proofErr w:type="gramStart"/>
      <w:r w:rsidRPr="00C35070">
        <w:rPr>
          <w:rFonts w:ascii="Times New Roman" w:eastAsia="Times New Roman" w:hAnsi="Times New Roman" w:cs="Times New Roman"/>
          <w:sz w:val="26"/>
          <w:szCs w:val="26"/>
          <w:vertAlign w:val="superscript"/>
          <w:lang w:eastAsia="ru-RU"/>
        </w:rPr>
        <w:t>_»_</w:t>
      </w:r>
      <w:proofErr w:type="gramEnd"/>
      <w:r w:rsidRPr="00C35070">
        <w:rPr>
          <w:rFonts w:ascii="Times New Roman" w:eastAsia="Times New Roman" w:hAnsi="Times New Roman" w:cs="Times New Roman"/>
          <w:sz w:val="26"/>
          <w:szCs w:val="26"/>
          <w:vertAlign w:val="superscript"/>
          <w:lang w:eastAsia="ru-RU"/>
        </w:rPr>
        <w:t>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Адрес электронной почты Участника, </w:t>
            </w:r>
            <w:proofErr w:type="spellStart"/>
            <w:r w:rsidRPr="00C35070">
              <w:rPr>
                <w:rFonts w:ascii="Times New Roman" w:eastAsia="Times New Roman" w:hAnsi="Times New Roman" w:cs="Times New Roman"/>
                <w:lang w:eastAsia="ru-RU"/>
              </w:rPr>
              <w:t>web</w:t>
            </w:r>
            <w:proofErr w:type="spellEnd"/>
            <w:r w:rsidRPr="00C35070">
              <w:rPr>
                <w:rFonts w:ascii="Times New Roman" w:eastAsia="Times New Roman" w:hAnsi="Times New Roman" w:cs="Times New Roman"/>
                <w:lang w:eastAsia="ru-RU"/>
              </w:rPr>
              <w:t>-сайт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proofErr w:type="gramStart"/>
            <w:r w:rsidR="00D3466C">
              <w:rPr>
                <w:rFonts w:ascii="Times New Roman" w:eastAsia="Times New Roman" w:hAnsi="Times New Roman" w:cs="Times New Roman"/>
                <w:lang w:eastAsia="ru-RU"/>
              </w:rPr>
              <w:t>индивидуальных</w:t>
            </w:r>
            <w:r w:rsidRPr="00C35070">
              <w:rPr>
                <w:rFonts w:ascii="Times New Roman" w:eastAsia="Times New Roman" w:hAnsi="Times New Roman" w:cs="Times New Roman"/>
                <w:lang w:eastAsia="ru-RU"/>
              </w:rPr>
              <w:br/>
              <w:t>(</w:t>
            </w:r>
            <w:proofErr w:type="gramEnd"/>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proofErr w:type="spellStart"/>
      <w:r w:rsidRPr="00C35070">
        <w:rPr>
          <w:rFonts w:ascii="Times New Roman" w:eastAsia="Times New Roman" w:hAnsi="Times New Roman" w:cs="Times New Roman"/>
          <w:sz w:val="24"/>
          <w:szCs w:val="24"/>
        </w:rPr>
        <w:t>м.п</w:t>
      </w:r>
      <w:proofErr w:type="spellEnd"/>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proofErr w:type="spellStart"/>
      <w:r w:rsidRPr="00C35070">
        <w:rPr>
          <w:rFonts w:ascii="Times New Roman" w:eastAsia="Times New Roman" w:hAnsi="Times New Roman" w:cs="Times New Roman"/>
          <w:sz w:val="24"/>
          <w:szCs w:val="24"/>
        </w:rPr>
        <w:t>паспорт_____________№__________________дата</w:t>
      </w:r>
      <w:proofErr w:type="spellEnd"/>
      <w:r w:rsidRPr="00C35070">
        <w:rPr>
          <w:rFonts w:ascii="Times New Roman" w:eastAsia="Times New Roman" w:hAnsi="Times New Roman" w:cs="Times New Roman"/>
          <w:sz w:val="24"/>
          <w:szCs w:val="24"/>
        </w:rPr>
        <w:t xml:space="preserve">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C35070">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49" w:bottom="1134" w:left="1701" w:header="720" w:footer="708"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42"/>
        <w:gridCol w:w="1291"/>
        <w:gridCol w:w="1309"/>
        <w:gridCol w:w="1309"/>
        <w:gridCol w:w="1309"/>
        <w:gridCol w:w="1817"/>
        <w:gridCol w:w="1486"/>
        <w:gridCol w:w="1436"/>
        <w:gridCol w:w="2655"/>
      </w:tblGrid>
      <w:tr w:rsidR="003A3003" w:rsidRPr="003F1CCB" w:rsidTr="003A3003">
        <w:trPr>
          <w:trHeight w:val="376"/>
        </w:trPr>
        <w:tc>
          <w:tcPr>
            <w:tcW w:w="0" w:type="auto"/>
            <w:gridSpan w:val="9"/>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lastRenderedPageBreak/>
              <w:t>РАЗДЕЛ 4. РАСЧЕТ НАЧАЛЬНОЙ МАКСИМАЛЬНОЙ ЦЕНЫ ДОГОВОРА</w:t>
            </w:r>
          </w:p>
        </w:tc>
      </w:tr>
      <w:tr w:rsidR="003F1CCB" w:rsidRPr="003F1CCB" w:rsidTr="003A3003">
        <w:trPr>
          <w:trHeight w:val="275"/>
        </w:trPr>
        <w:tc>
          <w:tcPr>
            <w:tcW w:w="0" w:type="auto"/>
            <w:gridSpan w:val="9"/>
            <w:tcBorders>
              <w:top w:val="nil"/>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3F1CCB" w:rsidRPr="003F1CCB" w:rsidTr="003A3003">
        <w:trPr>
          <w:trHeight w:val="1334"/>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 xml:space="preserve">КОЭФФИЦИЕНТ </w:t>
            </w:r>
            <w:proofErr w:type="gramStart"/>
            <w:r w:rsidRPr="003F1CCB">
              <w:rPr>
                <w:rFonts w:ascii="Times New Roman" w:eastAsia="Times New Roman" w:hAnsi="Times New Roman" w:cs="Times New Roman"/>
                <w:b/>
                <w:bCs/>
                <w:caps/>
                <w:color w:val="000000"/>
                <w:sz w:val="15"/>
                <w:szCs w:val="15"/>
                <w:lang w:eastAsia="ru-RU"/>
              </w:rPr>
              <w:t>ВАРИАЦИИ(</w:t>
            </w:r>
            <w:proofErr w:type="gramEnd"/>
            <w:r w:rsidRPr="003F1CCB">
              <w:rPr>
                <w:rFonts w:ascii="Times New Roman" w:eastAsia="Times New Roman" w:hAnsi="Times New Roman" w:cs="Times New Roman"/>
                <w:b/>
                <w:bCs/>
                <w:caps/>
                <w:color w:val="000000"/>
                <w:sz w:val="15"/>
                <w:szCs w:val="1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Pr>
                <w:rFonts w:ascii="Times New Roman" w:eastAsia="Times New Roman" w:hAnsi="Times New Roman" w:cs="Times New Roman"/>
                <w:b/>
                <w:bCs/>
                <w:caps/>
                <w:color w:val="000000"/>
                <w:sz w:val="15"/>
                <w:szCs w:val="15"/>
                <w:lang w:eastAsia="ru-RU"/>
              </w:rPr>
              <w:t>НМЦд</w:t>
            </w:r>
            <w:r w:rsidR="003F1CCB" w:rsidRPr="003F1CCB">
              <w:rPr>
                <w:rFonts w:ascii="Times New Roman" w:eastAsia="Times New Roman" w:hAnsi="Times New Roman" w:cs="Times New Roman"/>
                <w:b/>
                <w:bCs/>
                <w:caps/>
                <w:color w:val="000000"/>
                <w:sz w:val="15"/>
                <w:szCs w:val="15"/>
                <w:lang w:eastAsia="ru-RU"/>
              </w:rPr>
              <w:t xml:space="preserve"> (РУБ.)</w:t>
            </w:r>
            <w:r w:rsidR="003F1CCB" w:rsidRPr="003F1CCB">
              <w:rPr>
                <w:rFonts w:ascii="Times New Roman" w:eastAsia="Times New Roman" w:hAnsi="Times New Roman" w:cs="Times New Roman"/>
                <w:b/>
                <w:bCs/>
                <w:caps/>
                <w:color w:val="000000"/>
                <w:sz w:val="15"/>
                <w:szCs w:val="15"/>
                <w:lang w:eastAsia="ru-RU"/>
              </w:rPr>
              <w:br/>
            </w:r>
            <w:r w:rsidR="003F1CCB" w:rsidRPr="003F1CCB">
              <w:rPr>
                <w:rFonts w:ascii="Times New Roman" w:eastAsia="Times New Roman" w:hAnsi="Times New Roman" w:cs="Times New Roman"/>
                <w:b/>
                <w:bCs/>
                <w:caps/>
                <w:noProof/>
                <w:color w:val="000000"/>
                <w:sz w:val="15"/>
                <w:szCs w:val="15"/>
                <w:lang w:eastAsia="ru-RU"/>
              </w:rPr>
              <w:drawing>
                <wp:inline distT="0" distB="0" distL="0" distR="0" wp14:anchorId="79F7059D" wp14:editId="149F5DDC">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3F1CCB" w:rsidRPr="003F1CCB" w:rsidTr="003E4731">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 xml:space="preserve">свинина </w:t>
            </w:r>
            <w:proofErr w:type="gramStart"/>
            <w:r w:rsidRPr="003F1CCB">
              <w:rPr>
                <w:rFonts w:ascii="Times New Roman" w:eastAsia="Times New Roman" w:hAnsi="Times New Roman" w:cs="Times New Roman"/>
                <w:color w:val="000000"/>
                <w:sz w:val="27"/>
                <w:szCs w:val="27"/>
                <w:lang w:eastAsia="ru-RU"/>
              </w:rPr>
              <w:t>окорок</w:t>
            </w:r>
            <w:proofErr w:type="gramEnd"/>
            <w:r w:rsidRPr="003F1CCB">
              <w:rPr>
                <w:rFonts w:ascii="Times New Roman" w:eastAsia="Times New Roman" w:hAnsi="Times New Roman" w:cs="Times New Roman"/>
                <w:color w:val="000000"/>
                <w:sz w:val="27"/>
                <w:szCs w:val="27"/>
                <w:lang w:eastAsia="ru-RU"/>
              </w:rPr>
              <w:t xml:space="preserve"> замороженный б/к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705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452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346,33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91,52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26,42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244 165</w:t>
            </w:r>
          </w:p>
        </w:tc>
      </w:tr>
      <w:tr w:rsidR="003F1CCB" w:rsidRPr="003F1CCB" w:rsidTr="003E4731">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говядина блочная в/с заморожен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521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545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495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520,33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25,01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4,80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10 927</w:t>
            </w:r>
          </w:p>
        </w:tc>
      </w:tr>
      <w:tr w:rsidR="003F1CCB" w:rsidRPr="003F1CCB" w:rsidTr="003E4731">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 xml:space="preserve">печень говяжья </w:t>
            </w:r>
            <w:proofErr w:type="spellStart"/>
            <w:r w:rsidRPr="003F1CCB">
              <w:rPr>
                <w:rFonts w:ascii="Times New Roman" w:eastAsia="Times New Roman" w:hAnsi="Times New Roman" w:cs="Times New Roman"/>
                <w:color w:val="000000"/>
                <w:sz w:val="27"/>
                <w:szCs w:val="27"/>
                <w:lang w:eastAsia="ru-RU"/>
              </w:rPr>
              <w:t>заморож</w:t>
            </w:r>
            <w:proofErr w:type="spellEnd"/>
            <w:r w:rsidRPr="003F1CCB">
              <w:rPr>
                <w:rFonts w:ascii="Times New Roman" w:eastAsia="Times New Roman" w:hAnsi="Times New Roman" w:cs="Times New Roman"/>
                <w:color w:val="000000"/>
                <w:sz w:val="27"/>
                <w:szCs w:val="2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233,67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13,32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5,69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6 309</w:t>
            </w:r>
          </w:p>
        </w:tc>
      </w:tr>
      <w:tr w:rsidR="003F1CCB" w:rsidRPr="003F1CCB" w:rsidTr="003A3003">
        <w:trPr>
          <w:trHeight w:val="307"/>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rPr>
                <w:rFonts w:ascii="Times New Roman" w:eastAsia="Times New Roman" w:hAnsi="Times New Roman" w:cs="Times New Roman"/>
                <w:b/>
                <w:bCs/>
                <w:color w:val="000000"/>
                <w:sz w:val="27"/>
                <w:szCs w:val="27"/>
                <w:lang w:eastAsia="ru-RU"/>
              </w:rPr>
            </w:pPr>
            <w:r w:rsidRPr="003F1CCB">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3F1CCB" w:rsidRPr="003F1CCB" w:rsidRDefault="003F1CCB" w:rsidP="003A3003">
            <w:pPr>
              <w:spacing w:after="0" w:line="276" w:lineRule="auto"/>
              <w:contextualSpacing/>
              <w:jc w:val="right"/>
              <w:rPr>
                <w:rFonts w:ascii="Times New Roman" w:eastAsia="Times New Roman" w:hAnsi="Times New Roman" w:cs="Times New Roman"/>
                <w:color w:val="000000"/>
                <w:sz w:val="27"/>
                <w:szCs w:val="27"/>
                <w:lang w:eastAsia="ru-RU"/>
              </w:rPr>
            </w:pPr>
            <w:r w:rsidRPr="003F1CCB">
              <w:rPr>
                <w:rFonts w:ascii="Times New Roman" w:eastAsia="Times New Roman" w:hAnsi="Times New Roman" w:cs="Times New Roman"/>
                <w:color w:val="000000"/>
                <w:sz w:val="27"/>
                <w:szCs w:val="27"/>
                <w:lang w:eastAsia="ru-RU"/>
              </w:rPr>
              <w:t>261 401</w:t>
            </w:r>
          </w:p>
        </w:tc>
      </w:tr>
    </w:tbl>
    <w:p w:rsidR="00C35070" w:rsidRDefault="00C35070"/>
    <w:sectPr w:rsidR="00C35070"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37" w:rsidRDefault="00157437" w:rsidP="00C35070">
      <w:pPr>
        <w:spacing w:after="0" w:line="240" w:lineRule="auto"/>
      </w:pPr>
      <w:r>
        <w:separator/>
      </w:r>
    </w:p>
  </w:endnote>
  <w:endnote w:type="continuationSeparator" w:id="0">
    <w:p w:rsidR="00157437" w:rsidRDefault="0015743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PAGE   \* MERGEFORMAT</w:instrText>
    </w:r>
    <w:r>
      <w:fldChar w:fldCharType="separate"/>
    </w:r>
    <w:r w:rsidR="006635F2">
      <w:rPr>
        <w:noProof/>
      </w:rPr>
      <w:t>23</w:t>
    </w:r>
    <w:r>
      <w:fldChar w:fldCharType="end"/>
    </w:r>
  </w:p>
  <w:p w:rsidR="003E4731" w:rsidRDefault="003E4731">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 xml:space="preserve"> PAGE   \* MERGEFORMAT </w:instrText>
    </w:r>
    <w:r>
      <w:fldChar w:fldCharType="separate"/>
    </w:r>
    <w:r w:rsidR="006635F2">
      <w:rPr>
        <w:noProof/>
      </w:rPr>
      <w:t>34</w:t>
    </w:r>
    <w:r>
      <w:fldChar w:fldCharType="end"/>
    </w:r>
  </w:p>
  <w:p w:rsidR="003E4731" w:rsidRDefault="003E4731">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 xml:space="preserve"> PAGE   \* MERGEFORMAT </w:instrText>
    </w:r>
    <w:r>
      <w:fldChar w:fldCharType="separate"/>
    </w:r>
    <w:r w:rsidR="006635F2">
      <w:rPr>
        <w:noProof/>
      </w:rPr>
      <w:t>38</w:t>
    </w:r>
    <w:r>
      <w:fldChar w:fldCharType="end"/>
    </w:r>
  </w:p>
  <w:p w:rsidR="003E4731" w:rsidRDefault="003E4731">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 xml:space="preserve"> PAGE   \* MERGEFORMAT </w:instrText>
    </w:r>
    <w:r>
      <w:fldChar w:fldCharType="separate"/>
    </w:r>
    <w:r w:rsidR="006635F2">
      <w:rPr>
        <w:noProof/>
      </w:rPr>
      <w:t>37</w:t>
    </w:r>
    <w:r>
      <w:fldChar w:fldCharType="end"/>
    </w:r>
  </w:p>
  <w:p w:rsidR="003E4731" w:rsidRDefault="003E4731">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PAGE   \* MERGEFORMAT</w:instrText>
    </w:r>
    <w:r>
      <w:fldChar w:fldCharType="separate"/>
    </w:r>
    <w:r w:rsidR="003A3003">
      <w:rPr>
        <w:noProof/>
      </w:rPr>
      <w:t>1</w:t>
    </w:r>
    <w:r>
      <w:fldChar w:fldCharType="end"/>
    </w:r>
  </w:p>
  <w:p w:rsidR="003E4731" w:rsidRDefault="003E4731">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PAGE   \* MERGEFORMAT</w:instrText>
    </w:r>
    <w:r>
      <w:fldChar w:fldCharType="separate"/>
    </w:r>
    <w:r w:rsidR="003A3003">
      <w:rPr>
        <w:noProof/>
      </w:rPr>
      <w:t>25</w:t>
    </w:r>
    <w:r>
      <w:fldChar w:fldCharType="end"/>
    </w:r>
  </w:p>
  <w:p w:rsidR="003E4731" w:rsidRDefault="003E4731">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fldChar w:fldCharType="begin"/>
    </w:r>
    <w:r>
      <w:instrText>PAGE   \* MERGEFORMAT</w:instrText>
    </w:r>
    <w:r>
      <w:fldChar w:fldCharType="separate"/>
    </w:r>
    <w:r w:rsidR="006635F2">
      <w:rPr>
        <w:noProof/>
      </w:rPr>
      <w:t>26</w:t>
    </w:r>
    <w:r>
      <w:fldChar w:fldCharType="end"/>
    </w:r>
  </w:p>
  <w:p w:rsidR="003E4731" w:rsidRDefault="003E4731">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rPr>
        <w:rStyle w:val="af5"/>
      </w:rPr>
      <w:fldChar w:fldCharType="begin"/>
    </w:r>
    <w:r>
      <w:rPr>
        <w:rStyle w:val="af5"/>
      </w:rPr>
      <w:instrText xml:space="preserve"> PAGE </w:instrText>
    </w:r>
    <w:r>
      <w:rPr>
        <w:rStyle w:val="af5"/>
      </w:rPr>
      <w:fldChar w:fldCharType="separate"/>
    </w:r>
    <w:r w:rsidR="006635F2">
      <w:rPr>
        <w:rStyle w:val="af5"/>
        <w:noProof/>
      </w:rPr>
      <w:t>29</w:t>
    </w:r>
    <w:r>
      <w:rPr>
        <w:rStyle w:val="af5"/>
      </w:rPr>
      <w:fldChar w:fldCharType="end"/>
    </w:r>
  </w:p>
  <w:p w:rsidR="003E4731" w:rsidRDefault="003E473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jc w:val="center"/>
    </w:pPr>
    <w:r>
      <w:rPr>
        <w:rStyle w:val="af5"/>
      </w:rPr>
      <w:fldChar w:fldCharType="begin"/>
    </w:r>
    <w:r>
      <w:rPr>
        <w:rStyle w:val="af5"/>
      </w:rPr>
      <w:instrText xml:space="preserve"> PAGE </w:instrText>
    </w:r>
    <w:r>
      <w:rPr>
        <w:rStyle w:val="af5"/>
      </w:rPr>
      <w:fldChar w:fldCharType="separate"/>
    </w:r>
    <w:r w:rsidR="003A3003">
      <w:rPr>
        <w:rStyle w:val="af5"/>
        <w:noProof/>
      </w:rPr>
      <w:t>33</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31" w:rsidRDefault="003E4731">
                          <w:pPr>
                            <w:pStyle w:val="affd"/>
                          </w:pPr>
                          <w:r>
                            <w:rPr>
                              <w:rStyle w:val="af5"/>
                            </w:rPr>
                            <w:fldChar w:fldCharType="begin"/>
                          </w:r>
                          <w:r>
                            <w:rPr>
                              <w:rStyle w:val="af5"/>
                            </w:rPr>
                            <w:instrText xml:space="preserve"> PAGE </w:instrText>
                          </w:r>
                          <w:r>
                            <w:rPr>
                              <w:rStyle w:val="af5"/>
                            </w:rPr>
                            <w:fldChar w:fldCharType="separate"/>
                          </w:r>
                          <w:r w:rsidR="006635F2">
                            <w:rPr>
                              <w:rStyle w:val="af5"/>
                              <w:noProof/>
                            </w:rPr>
                            <w:t>35</w:t>
                          </w:r>
                          <w:r>
                            <w:rPr>
                              <w:rStyle w:val="af5"/>
                            </w:rPr>
                            <w:fldChar w:fldCharType="end"/>
                          </w:r>
                        </w:p>
                        <w:p w:rsidR="003E4731" w:rsidRDefault="003E4731">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3E4731" w:rsidRDefault="003E4731">
                    <w:pPr>
                      <w:pStyle w:val="affd"/>
                    </w:pPr>
                    <w:r>
                      <w:rPr>
                        <w:rStyle w:val="af5"/>
                      </w:rPr>
                      <w:fldChar w:fldCharType="begin"/>
                    </w:r>
                    <w:r>
                      <w:rPr>
                        <w:rStyle w:val="af5"/>
                      </w:rPr>
                      <w:instrText xml:space="preserve"> PAGE </w:instrText>
                    </w:r>
                    <w:r>
                      <w:rPr>
                        <w:rStyle w:val="af5"/>
                      </w:rPr>
                      <w:fldChar w:fldCharType="separate"/>
                    </w:r>
                    <w:r w:rsidR="006635F2">
                      <w:rPr>
                        <w:rStyle w:val="af5"/>
                        <w:noProof/>
                      </w:rPr>
                      <w:t>35</w:t>
                    </w:r>
                    <w:r>
                      <w:rPr>
                        <w:rStyle w:val="af5"/>
                      </w:rPr>
                      <w:fldChar w:fldCharType="end"/>
                    </w:r>
                  </w:p>
                  <w:p w:rsidR="003E4731" w:rsidRDefault="003E4731">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37" w:rsidRDefault="00157437" w:rsidP="00C35070">
      <w:pPr>
        <w:spacing w:after="0" w:line="240" w:lineRule="auto"/>
      </w:pPr>
      <w:r>
        <w:separator/>
      </w:r>
    </w:p>
  </w:footnote>
  <w:footnote w:type="continuationSeparator" w:id="0">
    <w:p w:rsidR="00157437" w:rsidRDefault="00157437" w:rsidP="00C35070">
      <w:pPr>
        <w:spacing w:after="0" w:line="240" w:lineRule="auto"/>
      </w:pPr>
      <w:r>
        <w:continuationSeparator/>
      </w:r>
    </w:p>
  </w:footnote>
  <w:footnote w:id="1">
    <w:p w:rsidR="003E4731" w:rsidRDefault="003E4731"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31" w:rsidRDefault="003E47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7FD7"/>
    <w:rsid w:val="000231CA"/>
    <w:rsid w:val="00035F87"/>
    <w:rsid w:val="0005673A"/>
    <w:rsid w:val="000668D1"/>
    <w:rsid w:val="000D0740"/>
    <w:rsid w:val="00157437"/>
    <w:rsid w:val="00196AAE"/>
    <w:rsid w:val="001B4532"/>
    <w:rsid w:val="001D15EE"/>
    <w:rsid w:val="001E435C"/>
    <w:rsid w:val="0020515C"/>
    <w:rsid w:val="00297A04"/>
    <w:rsid w:val="002A23AB"/>
    <w:rsid w:val="002D30BD"/>
    <w:rsid w:val="00314F11"/>
    <w:rsid w:val="00316A19"/>
    <w:rsid w:val="00385580"/>
    <w:rsid w:val="003A3003"/>
    <w:rsid w:val="003D3F4E"/>
    <w:rsid w:val="003E4731"/>
    <w:rsid w:val="003F1CCB"/>
    <w:rsid w:val="005064C8"/>
    <w:rsid w:val="0052171B"/>
    <w:rsid w:val="00582D9A"/>
    <w:rsid w:val="005A3CCD"/>
    <w:rsid w:val="006635F2"/>
    <w:rsid w:val="006732B6"/>
    <w:rsid w:val="006868C2"/>
    <w:rsid w:val="006A37A8"/>
    <w:rsid w:val="006F226C"/>
    <w:rsid w:val="00740E92"/>
    <w:rsid w:val="00801238"/>
    <w:rsid w:val="00803104"/>
    <w:rsid w:val="008165C0"/>
    <w:rsid w:val="00841B45"/>
    <w:rsid w:val="00851F41"/>
    <w:rsid w:val="008C41A9"/>
    <w:rsid w:val="008C7EFB"/>
    <w:rsid w:val="00A04C59"/>
    <w:rsid w:val="00A07F3F"/>
    <w:rsid w:val="00A1486F"/>
    <w:rsid w:val="00A509F9"/>
    <w:rsid w:val="00A50EB1"/>
    <w:rsid w:val="00A50EFD"/>
    <w:rsid w:val="00A65196"/>
    <w:rsid w:val="00A65B00"/>
    <w:rsid w:val="00C22EAB"/>
    <w:rsid w:val="00C35070"/>
    <w:rsid w:val="00C93BCC"/>
    <w:rsid w:val="00CD39C5"/>
    <w:rsid w:val="00D3253D"/>
    <w:rsid w:val="00D3466C"/>
    <w:rsid w:val="00D350A8"/>
    <w:rsid w:val="00D54772"/>
    <w:rsid w:val="00F4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13496</Words>
  <Characters>76932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3</cp:revision>
  <dcterms:created xsi:type="dcterms:W3CDTF">2017-03-17T12:54:00Z</dcterms:created>
  <dcterms:modified xsi:type="dcterms:W3CDTF">2017-03-17T12:55:00Z</dcterms:modified>
</cp:coreProperties>
</file>