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061C17BB" w14:textId="77777777" w:rsidR="00557F88" w:rsidRDefault="00557F88" w:rsidP="00BF0343">
      <w:pPr>
        <w:spacing w:before="0" w:after="0"/>
        <w:jc w:val="center"/>
        <w:rPr>
          <w:i/>
          <w:sz w:val="28"/>
          <w:szCs w:val="28"/>
        </w:rPr>
      </w:pPr>
      <w:bookmarkStart w:id="0" w:name="__DdeLink__51019_1968945060"/>
      <w:bookmarkEnd w:id="0"/>
      <w:r w:rsidRPr="00557F88">
        <w:rPr>
          <w:i/>
          <w:sz w:val="28"/>
          <w:szCs w:val="28"/>
        </w:rPr>
        <w:t xml:space="preserve">«Капитальный ремонт участка тепловой сети ППУ в ПЭТ Ø219х6/315 </w:t>
      </w:r>
      <w:proofErr w:type="gramStart"/>
      <w:r w:rsidRPr="00557F88">
        <w:rPr>
          <w:i/>
          <w:sz w:val="28"/>
          <w:szCs w:val="28"/>
        </w:rPr>
        <w:t xml:space="preserve">мм, </w:t>
      </w:r>
      <w:r>
        <w:rPr>
          <w:i/>
          <w:sz w:val="28"/>
          <w:szCs w:val="28"/>
        </w:rPr>
        <w:t xml:space="preserve">  </w:t>
      </w:r>
      <w:proofErr w:type="gramEnd"/>
      <w:r>
        <w:rPr>
          <w:i/>
          <w:sz w:val="28"/>
          <w:szCs w:val="28"/>
        </w:rPr>
        <w:t xml:space="preserve">            </w:t>
      </w:r>
      <w:r w:rsidRPr="00557F88">
        <w:rPr>
          <w:i/>
          <w:sz w:val="28"/>
          <w:szCs w:val="28"/>
        </w:rPr>
        <w:t>L=210 тр.</w:t>
      </w:r>
      <w:r>
        <w:rPr>
          <w:i/>
          <w:sz w:val="28"/>
          <w:szCs w:val="28"/>
        </w:rPr>
        <w:t xml:space="preserve"> </w:t>
      </w:r>
      <w:r w:rsidRPr="00557F88">
        <w:rPr>
          <w:i/>
          <w:sz w:val="28"/>
          <w:szCs w:val="28"/>
        </w:rPr>
        <w:t>м</w:t>
      </w:r>
      <w:r>
        <w:rPr>
          <w:i/>
          <w:sz w:val="28"/>
          <w:szCs w:val="28"/>
        </w:rPr>
        <w:t>.</w:t>
      </w:r>
      <w:r w:rsidRPr="00557F88">
        <w:rPr>
          <w:i/>
          <w:sz w:val="28"/>
          <w:szCs w:val="28"/>
        </w:rPr>
        <w:t xml:space="preserve"> от котельной №</w:t>
      </w:r>
      <w:r>
        <w:rPr>
          <w:i/>
          <w:sz w:val="28"/>
          <w:szCs w:val="28"/>
        </w:rPr>
        <w:t xml:space="preserve"> </w:t>
      </w:r>
      <w:r w:rsidRPr="00557F88">
        <w:rPr>
          <w:i/>
          <w:sz w:val="28"/>
          <w:szCs w:val="28"/>
        </w:rPr>
        <w:t>6 по ул. Машиностроителей от ТК-116 до ТК-116/2 с учетом замены теплового ввода к ж/д №</w:t>
      </w:r>
      <w:r>
        <w:rPr>
          <w:i/>
          <w:sz w:val="28"/>
          <w:szCs w:val="28"/>
        </w:rPr>
        <w:t xml:space="preserve"> </w:t>
      </w:r>
      <w:r w:rsidRPr="00557F88">
        <w:rPr>
          <w:i/>
          <w:sz w:val="28"/>
          <w:szCs w:val="28"/>
        </w:rPr>
        <w:t>20 ППУ в ПЭТ Ø89х4/160 мм, L=8 тр.</w:t>
      </w:r>
      <w:r>
        <w:rPr>
          <w:i/>
          <w:sz w:val="28"/>
          <w:szCs w:val="28"/>
        </w:rPr>
        <w:t xml:space="preserve"> </w:t>
      </w:r>
      <w:r w:rsidRPr="00557F88">
        <w:rPr>
          <w:i/>
          <w:sz w:val="28"/>
          <w:szCs w:val="28"/>
        </w:rPr>
        <w:t>м</w:t>
      </w:r>
      <w:r>
        <w:rPr>
          <w:i/>
          <w:sz w:val="28"/>
          <w:szCs w:val="28"/>
        </w:rPr>
        <w:t>.</w:t>
      </w:r>
      <w:r w:rsidRPr="00557F88">
        <w:rPr>
          <w:i/>
          <w:sz w:val="28"/>
          <w:szCs w:val="28"/>
        </w:rPr>
        <w:t xml:space="preserve"> </w:t>
      </w:r>
      <w:r>
        <w:rPr>
          <w:i/>
          <w:sz w:val="28"/>
          <w:szCs w:val="28"/>
        </w:rPr>
        <w:t xml:space="preserve"> </w:t>
      </w:r>
      <w:r w:rsidRPr="00557F88">
        <w:rPr>
          <w:i/>
          <w:sz w:val="28"/>
          <w:szCs w:val="28"/>
        </w:rPr>
        <w:t>в г.</w:t>
      </w:r>
      <w:r>
        <w:rPr>
          <w:i/>
          <w:sz w:val="28"/>
          <w:szCs w:val="28"/>
        </w:rPr>
        <w:t xml:space="preserve"> </w:t>
      </w:r>
      <w:r w:rsidRPr="00557F88">
        <w:rPr>
          <w:i/>
          <w:sz w:val="28"/>
          <w:szCs w:val="28"/>
        </w:rPr>
        <w:t xml:space="preserve">Белая Калитва РО, </w:t>
      </w:r>
    </w:p>
    <w:p w14:paraId="37A439CE" w14:textId="1A13D697" w:rsidR="004F7BDC" w:rsidRDefault="00557F88" w:rsidP="00BF0343">
      <w:pPr>
        <w:spacing w:before="0" w:after="0"/>
        <w:jc w:val="center"/>
        <w:rPr>
          <w:i/>
          <w:sz w:val="28"/>
          <w:szCs w:val="28"/>
        </w:rPr>
      </w:pPr>
      <w:r w:rsidRPr="00557F88">
        <w:rPr>
          <w:i/>
          <w:sz w:val="28"/>
          <w:szCs w:val="28"/>
        </w:rPr>
        <w:t>инв.</w:t>
      </w:r>
      <w:r>
        <w:rPr>
          <w:i/>
          <w:sz w:val="28"/>
          <w:szCs w:val="28"/>
        </w:rPr>
        <w:t xml:space="preserve"> </w:t>
      </w:r>
      <w:r w:rsidRPr="00557F88">
        <w:rPr>
          <w:i/>
          <w:sz w:val="28"/>
          <w:szCs w:val="28"/>
        </w:rPr>
        <w:t xml:space="preserve">№ БК 0002521, </w:t>
      </w:r>
      <w:r>
        <w:rPr>
          <w:i/>
          <w:sz w:val="28"/>
          <w:szCs w:val="28"/>
        </w:rPr>
        <w:t xml:space="preserve">№ </w:t>
      </w:r>
      <w:r w:rsidRPr="00557F88">
        <w:rPr>
          <w:i/>
          <w:sz w:val="28"/>
          <w:szCs w:val="28"/>
        </w:rPr>
        <w:t>БК 0002528,</w:t>
      </w:r>
      <w:r>
        <w:rPr>
          <w:i/>
          <w:sz w:val="28"/>
          <w:szCs w:val="28"/>
        </w:rPr>
        <w:t xml:space="preserve"> №</w:t>
      </w:r>
      <w:r w:rsidRPr="00557F88">
        <w:rPr>
          <w:i/>
          <w:sz w:val="28"/>
          <w:szCs w:val="28"/>
        </w:rPr>
        <w:t xml:space="preserve"> БК 0002523,</w:t>
      </w:r>
      <w:r>
        <w:rPr>
          <w:i/>
          <w:sz w:val="28"/>
          <w:szCs w:val="28"/>
        </w:rPr>
        <w:t xml:space="preserve"> №</w:t>
      </w:r>
      <w:r w:rsidRPr="00557F88">
        <w:rPr>
          <w:i/>
          <w:sz w:val="28"/>
          <w:szCs w:val="28"/>
        </w:rPr>
        <w:t xml:space="preserve"> БК 0002532».</w:t>
      </w:r>
    </w:p>
    <w:p w14:paraId="2E356866" w14:textId="77777777" w:rsidR="00686F72" w:rsidRDefault="00686F72" w:rsidP="00BF0343">
      <w:pPr>
        <w:spacing w:before="0" w:after="0"/>
        <w:jc w:val="center"/>
        <w:rPr>
          <w:b/>
          <w:bCs/>
          <w:sz w:val="28"/>
          <w:szCs w:val="28"/>
        </w:rPr>
      </w:pPr>
    </w:p>
    <w:p w14:paraId="6E8C1B34" w14:textId="649CFE65"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E60764">
        <w:rPr>
          <w:b/>
          <w:bCs/>
          <w:sz w:val="28"/>
          <w:szCs w:val="28"/>
        </w:rPr>
        <w:t>3</w:t>
      </w:r>
      <w:r w:rsidRPr="00691C97">
        <w:rPr>
          <w:b/>
          <w:bCs/>
          <w:sz w:val="28"/>
          <w:szCs w:val="28"/>
        </w:rPr>
        <w:t>/0</w:t>
      </w:r>
      <w:r w:rsidR="00557F88">
        <w:rPr>
          <w:b/>
          <w:bCs/>
          <w:sz w:val="28"/>
          <w:szCs w:val="28"/>
        </w:rPr>
        <w:t>166</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1BF22156" w:rsidR="004805A6" w:rsidRDefault="00BF0343" w:rsidP="00BF0343">
      <w:pPr>
        <w:spacing w:before="0" w:after="0"/>
        <w:jc w:val="center"/>
      </w:pPr>
      <w:r w:rsidRPr="000E32C9">
        <w:t>202</w:t>
      </w:r>
      <w:r w:rsidR="003F00BD">
        <w:t>3</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01C7710D" w:rsidR="007E32F9" w:rsidRPr="007E32F9" w:rsidRDefault="00561192" w:rsidP="007E32F9">
      <w:pPr>
        <w:spacing w:before="0" w:after="0"/>
        <w:jc w:val="both"/>
        <w:rPr>
          <w:rFonts w:cs="Times New Roman"/>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557F88" w:rsidRPr="00557F88">
        <w:rPr>
          <w:rFonts w:cs="Times New Roman"/>
          <w:b/>
          <w:i/>
          <w:sz w:val="28"/>
          <w:szCs w:val="28"/>
        </w:rPr>
        <w:t>«Капитальный ремонт участка тепловой сети ППУ в ПЭТ Ø219х6/315 мм, L=210 тр.</w:t>
      </w:r>
      <w:r w:rsidR="00557F88">
        <w:rPr>
          <w:rFonts w:cs="Times New Roman"/>
          <w:b/>
          <w:i/>
          <w:sz w:val="28"/>
          <w:szCs w:val="28"/>
        </w:rPr>
        <w:t xml:space="preserve"> </w:t>
      </w:r>
      <w:r w:rsidR="00557F88" w:rsidRPr="00557F88">
        <w:rPr>
          <w:rFonts w:cs="Times New Roman"/>
          <w:b/>
          <w:i/>
          <w:sz w:val="28"/>
          <w:szCs w:val="28"/>
        </w:rPr>
        <w:t>м</w:t>
      </w:r>
      <w:r w:rsidR="00557F88">
        <w:rPr>
          <w:rFonts w:cs="Times New Roman"/>
          <w:b/>
          <w:i/>
          <w:sz w:val="28"/>
          <w:szCs w:val="28"/>
        </w:rPr>
        <w:t>.</w:t>
      </w:r>
      <w:r w:rsidR="00557F88" w:rsidRPr="00557F88">
        <w:rPr>
          <w:rFonts w:cs="Times New Roman"/>
          <w:b/>
          <w:i/>
          <w:sz w:val="28"/>
          <w:szCs w:val="28"/>
        </w:rPr>
        <w:t xml:space="preserve"> от котельной №</w:t>
      </w:r>
      <w:r w:rsidR="00557F88">
        <w:rPr>
          <w:rFonts w:cs="Times New Roman"/>
          <w:b/>
          <w:i/>
          <w:sz w:val="28"/>
          <w:szCs w:val="28"/>
        </w:rPr>
        <w:t xml:space="preserve"> </w:t>
      </w:r>
      <w:r w:rsidR="00557F88" w:rsidRPr="00557F88">
        <w:rPr>
          <w:rFonts w:cs="Times New Roman"/>
          <w:b/>
          <w:i/>
          <w:sz w:val="28"/>
          <w:szCs w:val="28"/>
        </w:rPr>
        <w:t>6 по ул. Машиностроителей от ТК-116 до ТК-116/2 с учетом замены теплового ввода к ж/д №</w:t>
      </w:r>
      <w:r w:rsidR="00557F88">
        <w:rPr>
          <w:rFonts w:cs="Times New Roman"/>
          <w:b/>
          <w:i/>
          <w:sz w:val="28"/>
          <w:szCs w:val="28"/>
        </w:rPr>
        <w:t xml:space="preserve"> </w:t>
      </w:r>
      <w:r w:rsidR="00557F88" w:rsidRPr="00557F88">
        <w:rPr>
          <w:rFonts w:cs="Times New Roman"/>
          <w:b/>
          <w:i/>
          <w:sz w:val="28"/>
          <w:szCs w:val="28"/>
        </w:rPr>
        <w:t>20 ППУ в ПЭТ Ø89х4/160 мм, L=8 тр.</w:t>
      </w:r>
      <w:r w:rsidR="00557F88">
        <w:rPr>
          <w:rFonts w:cs="Times New Roman"/>
          <w:b/>
          <w:i/>
          <w:sz w:val="28"/>
          <w:szCs w:val="28"/>
        </w:rPr>
        <w:t xml:space="preserve"> </w:t>
      </w:r>
      <w:r w:rsidR="00557F88" w:rsidRPr="00557F88">
        <w:rPr>
          <w:rFonts w:cs="Times New Roman"/>
          <w:b/>
          <w:i/>
          <w:sz w:val="28"/>
          <w:szCs w:val="28"/>
        </w:rPr>
        <w:t>м</w:t>
      </w:r>
      <w:r w:rsidR="00557F88">
        <w:rPr>
          <w:rFonts w:cs="Times New Roman"/>
          <w:b/>
          <w:i/>
          <w:sz w:val="28"/>
          <w:szCs w:val="28"/>
        </w:rPr>
        <w:t>.</w:t>
      </w:r>
      <w:r w:rsidR="00557F88" w:rsidRPr="00557F88">
        <w:rPr>
          <w:rFonts w:cs="Times New Roman"/>
          <w:b/>
          <w:i/>
          <w:sz w:val="28"/>
          <w:szCs w:val="28"/>
        </w:rPr>
        <w:t xml:space="preserve"> в г.</w:t>
      </w:r>
      <w:r w:rsidR="00557F88">
        <w:rPr>
          <w:rFonts w:cs="Times New Roman"/>
          <w:b/>
          <w:i/>
          <w:sz w:val="28"/>
          <w:szCs w:val="28"/>
        </w:rPr>
        <w:t xml:space="preserve"> </w:t>
      </w:r>
      <w:r w:rsidR="00557F88" w:rsidRPr="00557F88">
        <w:rPr>
          <w:rFonts w:cs="Times New Roman"/>
          <w:b/>
          <w:i/>
          <w:sz w:val="28"/>
          <w:szCs w:val="28"/>
        </w:rPr>
        <w:t>Белая Калитва РО, инв.</w:t>
      </w:r>
      <w:r w:rsidR="00557F88">
        <w:rPr>
          <w:rFonts w:cs="Times New Roman"/>
          <w:b/>
          <w:i/>
          <w:sz w:val="28"/>
          <w:szCs w:val="28"/>
        </w:rPr>
        <w:t xml:space="preserve"> </w:t>
      </w:r>
      <w:r w:rsidR="00557F88" w:rsidRPr="00557F88">
        <w:rPr>
          <w:rFonts w:cs="Times New Roman"/>
          <w:b/>
          <w:i/>
          <w:sz w:val="28"/>
          <w:szCs w:val="28"/>
        </w:rPr>
        <w:t xml:space="preserve">№ БК 0002521, </w:t>
      </w:r>
      <w:r w:rsidR="00557F88">
        <w:rPr>
          <w:rFonts w:cs="Times New Roman"/>
          <w:b/>
          <w:i/>
          <w:sz w:val="28"/>
          <w:szCs w:val="28"/>
        </w:rPr>
        <w:t xml:space="preserve">№ </w:t>
      </w:r>
      <w:r w:rsidR="00557F88" w:rsidRPr="00557F88">
        <w:rPr>
          <w:rFonts w:cs="Times New Roman"/>
          <w:b/>
          <w:i/>
          <w:sz w:val="28"/>
          <w:szCs w:val="28"/>
        </w:rPr>
        <w:t>БК 0</w:t>
      </w:r>
      <w:r w:rsidR="00557F88">
        <w:rPr>
          <w:rFonts w:cs="Times New Roman"/>
          <w:b/>
          <w:i/>
          <w:sz w:val="28"/>
          <w:szCs w:val="28"/>
        </w:rPr>
        <w:t>002528, № БК 0002523, № БК 0002532».</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4E03555C" w14:textId="77777777" w:rsidR="004805A6" w:rsidRDefault="003E366C">
      <w:pPr>
        <w:spacing w:before="0" w:after="0"/>
        <w:ind w:firstLine="567"/>
        <w:jc w:val="both"/>
        <w:rPr>
          <w:rFonts w:cs="Times New Roman"/>
          <w:b/>
          <w:color w:val="00B0F0"/>
        </w:rPr>
      </w:pPr>
      <w:r>
        <w:rPr>
          <w:rFonts w:cs="Times New Roman"/>
        </w:rPr>
        <w:t>3.1.</w:t>
      </w:r>
      <w:r>
        <w:rPr>
          <w:rFonts w:cs="Times New Roman"/>
          <w:b/>
          <w:color w:val="17365D" w:themeColor="text2" w:themeShade="B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70EE9B43" w14:textId="77777777" w:rsidR="004805A6" w:rsidRDefault="003E366C">
      <w:pPr>
        <w:spacing w:before="0" w:after="0"/>
        <w:ind w:firstLine="567"/>
        <w:jc w:val="both"/>
        <w:rPr>
          <w:rFonts w:cs="Times New Roman"/>
        </w:rPr>
      </w:pPr>
      <w:bookmarkStart w:id="14" w:name="sub_3419191"/>
      <w:bookmarkEnd w:id="14"/>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557F88">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557F88">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771E8C01"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присваивается 0 баллов;</w:t>
      </w:r>
    </w:p>
    <w:p w14:paraId="2E3CD2C0" w14:textId="4C8D3C0D"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до </w:t>
      </w:r>
      <w:r w:rsidR="002E3515">
        <w:rPr>
          <w:rFonts w:eastAsia="Times New Roman" w:cs="Times New Roman"/>
          <w:i/>
          <w:color w:val="auto"/>
          <w:sz w:val="21"/>
          <w:szCs w:val="21"/>
          <w:lang w:eastAsia="ru-RU"/>
        </w:rPr>
        <w:t>2</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присваивается 10 баллов;</w:t>
      </w:r>
    </w:p>
    <w:p w14:paraId="6E6DCBB1" w14:textId="03284C5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 xml:space="preserve">блей до </w:t>
      </w:r>
      <w:r w:rsidR="002E3515">
        <w:rPr>
          <w:rFonts w:eastAsia="Times New Roman" w:cs="Times New Roman"/>
          <w:i/>
          <w:color w:val="auto"/>
          <w:sz w:val="21"/>
          <w:szCs w:val="21"/>
          <w:lang w:eastAsia="ru-RU"/>
        </w:rPr>
        <w:t>4</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присваивается 30 баллов;</w:t>
      </w:r>
    </w:p>
    <w:p w14:paraId="052C2B22" w14:textId="2B66D1D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2E3515">
        <w:rPr>
          <w:rFonts w:eastAsia="Times New Roman" w:cs="Times New Roman"/>
          <w:i/>
          <w:color w:val="auto"/>
          <w:sz w:val="21"/>
          <w:szCs w:val="21"/>
          <w:lang w:eastAsia="ru-RU"/>
        </w:rPr>
        <w:t>4</w:t>
      </w:r>
      <w:r w:rsidR="00880EC7" w:rsidRPr="00773E08">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D29B927" w14:textId="178DB1CD"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менее 1</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присваивается 0 баллов;</w:t>
            </w:r>
          </w:p>
          <w:p w14:paraId="04B0E297" w14:textId="7E9FEA22"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от 1</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(включительно) до </w:t>
            </w:r>
            <w:r w:rsidR="002E3515">
              <w:rPr>
                <w:rFonts w:ascii="Times New Roman" w:hAnsi="Times New Roman" w:cs="Times New Roman"/>
                <w:sz w:val="20"/>
                <w:szCs w:val="20"/>
              </w:rPr>
              <w:t>2</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(включительно) присваивается 10 баллов;</w:t>
            </w:r>
          </w:p>
          <w:p w14:paraId="10F17108" w14:textId="6A355CA8"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от </w:t>
            </w:r>
            <w:r w:rsidR="002E3515">
              <w:rPr>
                <w:rFonts w:ascii="Times New Roman" w:hAnsi="Times New Roman" w:cs="Times New Roman"/>
                <w:sz w:val="20"/>
                <w:szCs w:val="20"/>
              </w:rPr>
              <w:t>2</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до </w:t>
            </w:r>
            <w:r w:rsidR="002E3515">
              <w:rPr>
                <w:rFonts w:ascii="Times New Roman" w:hAnsi="Times New Roman" w:cs="Times New Roman"/>
                <w:sz w:val="20"/>
                <w:szCs w:val="20"/>
              </w:rPr>
              <w:t>4</w:t>
            </w:r>
            <w:r w:rsidRPr="00773E08">
              <w:rPr>
                <w:rFonts w:ascii="Times New Roman" w:hAnsi="Times New Roman" w:cs="Times New Roman"/>
                <w:sz w:val="20"/>
                <w:szCs w:val="20"/>
              </w:rPr>
              <w:t>0 млн. рублей (включительно) присваивается 30 баллов;</w:t>
            </w:r>
          </w:p>
          <w:p w14:paraId="3C07A686" w14:textId="0FB8615E" w:rsidR="00F46FB2"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свыше </w:t>
            </w:r>
            <w:r w:rsidR="002E3515">
              <w:rPr>
                <w:rFonts w:ascii="Times New Roman" w:hAnsi="Times New Roman" w:cs="Times New Roman"/>
                <w:sz w:val="20"/>
                <w:szCs w:val="20"/>
              </w:rPr>
              <w:t>4</w:t>
            </w:r>
            <w:r w:rsidRPr="00773E08">
              <w:rPr>
                <w:rFonts w:ascii="Times New Roman" w:hAnsi="Times New Roman" w:cs="Times New Roman"/>
                <w:sz w:val="20"/>
                <w:szCs w:val="20"/>
              </w:rPr>
              <w:t>0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557F88">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557F88"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557F88"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77777777" w:rsidR="00ED640C" w:rsidRPr="00D27888" w:rsidRDefault="00ED640C" w:rsidP="0014547A">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t xml:space="preserve">) </w:t>
            </w:r>
            <w:r>
              <w:rPr>
                <w:lang w:val="en-US"/>
              </w:rPr>
              <w:t>45-76-86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557F88"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39EB39A6" w:rsidR="007E32F9" w:rsidRPr="004F7BDC" w:rsidRDefault="00557F88" w:rsidP="004F7BDC">
            <w:pPr>
              <w:spacing w:before="0" w:after="0"/>
              <w:jc w:val="both"/>
              <w:rPr>
                <w:b/>
                <w:i/>
              </w:rPr>
            </w:pPr>
            <w:r w:rsidRPr="00557F88">
              <w:rPr>
                <w:b/>
                <w:i/>
              </w:rPr>
              <w:t xml:space="preserve">«Капитальный ремонт участка тепловой сети ППУ в ПЭТ Ø219х6/315 мм, L=210 тр. м. от котельной № 6 по </w:t>
            </w:r>
            <w:r>
              <w:rPr>
                <w:b/>
                <w:i/>
              </w:rPr>
              <w:t xml:space="preserve">                                     </w:t>
            </w:r>
            <w:r w:rsidRPr="00557F88">
              <w:rPr>
                <w:b/>
                <w:i/>
              </w:rPr>
              <w:t xml:space="preserve">ул. Машиностроителей от ТК-116 до ТК-116/2 с учетом замены теплового ввода к ж/д № 20 ППУ в ПЭТ Ø89х4/160 мм, L=8 тр. м. в г. Белая Калитва РО, инв. № БК 0002521, </w:t>
            </w:r>
            <w:r>
              <w:rPr>
                <w:b/>
                <w:i/>
              </w:rPr>
              <w:t xml:space="preserve">                        </w:t>
            </w:r>
            <w:r w:rsidRPr="00557F88">
              <w:rPr>
                <w:b/>
                <w:i/>
              </w:rPr>
              <w:t>№ БК 00025</w:t>
            </w:r>
            <w:r>
              <w:rPr>
                <w:b/>
                <w:i/>
              </w:rPr>
              <w:t>28, № БК 0002523, № БК 0002532»</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18C77D28"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 xml:space="preserve">торговой площадки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5C0EBF31" w:rsidR="00ED640C" w:rsidRPr="00AF7C49" w:rsidRDefault="00557F88" w:rsidP="00686F72">
            <w:pPr>
              <w:widowControl w:val="0"/>
              <w:spacing w:before="0" w:after="0" w:line="240" w:lineRule="auto"/>
              <w:rPr>
                <w:rFonts w:cs="Times New Roman"/>
              </w:rPr>
            </w:pPr>
            <w:r>
              <w:rPr>
                <w:rFonts w:eastAsia="Times New Roman" w:cs="Times New Roman"/>
                <w:color w:val="000000"/>
              </w:rPr>
              <w:t>2</w:t>
            </w:r>
            <w:r w:rsidR="00686F72">
              <w:rPr>
                <w:rFonts w:eastAsia="Times New Roman" w:cs="Times New Roman"/>
                <w:color w:val="000000"/>
              </w:rPr>
              <w:t>9</w:t>
            </w:r>
            <w:r w:rsidR="00ED640C" w:rsidRPr="00AF7C49">
              <w:rPr>
                <w:rFonts w:eastAsia="Times New Roman" w:cs="Times New Roman"/>
                <w:color w:val="000000"/>
              </w:rPr>
              <w:t>.</w:t>
            </w:r>
            <w:r w:rsidR="00E70185" w:rsidRPr="00AF7C49">
              <w:rPr>
                <w:rFonts w:eastAsia="Times New Roman" w:cs="Times New Roman"/>
                <w:color w:val="000000"/>
              </w:rPr>
              <w:t>0</w:t>
            </w:r>
            <w:r w:rsidR="00686F72">
              <w:rPr>
                <w:rFonts w:eastAsia="Times New Roman" w:cs="Times New Roman"/>
                <w:color w:val="000000"/>
              </w:rPr>
              <w:t>6</w:t>
            </w:r>
            <w:r w:rsidR="00ED640C" w:rsidRPr="00AF7C49">
              <w:rPr>
                <w:rFonts w:eastAsia="Times New Roman" w:cs="Times New Roman"/>
                <w:color w:val="000000"/>
              </w:rPr>
              <w:t>.202</w:t>
            </w:r>
            <w:r w:rsidR="00DD5493" w:rsidRPr="00AF7C49">
              <w:rPr>
                <w:rFonts w:eastAsia="Times New Roman" w:cs="Times New Roman"/>
                <w:color w:val="000000"/>
              </w:rPr>
              <w:t>3</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5FDE0C96" w:rsidR="00ED640C" w:rsidRPr="00AF7C49" w:rsidRDefault="00557F88" w:rsidP="0014547A">
            <w:pPr>
              <w:widowControl w:val="0"/>
              <w:tabs>
                <w:tab w:val="left" w:pos="0"/>
                <w:tab w:val="left" w:pos="1080"/>
              </w:tabs>
              <w:spacing w:before="0" w:after="0" w:line="240" w:lineRule="auto"/>
              <w:rPr>
                <w:rFonts w:cs="Times New Roman"/>
              </w:rPr>
            </w:pPr>
            <w:r>
              <w:rPr>
                <w:rFonts w:cs="Times New Roman"/>
                <w:color w:val="000000"/>
              </w:rPr>
              <w:t>11</w:t>
            </w:r>
            <w:r w:rsidR="00ED640C" w:rsidRPr="00AF7C49">
              <w:rPr>
                <w:rFonts w:cs="Times New Roman"/>
                <w:color w:val="000000"/>
              </w:rPr>
              <w:t>.</w:t>
            </w:r>
            <w:r w:rsidR="00E70185" w:rsidRPr="00AF7C49">
              <w:rPr>
                <w:rFonts w:cs="Times New Roman"/>
                <w:color w:val="000000"/>
              </w:rPr>
              <w:t>0</w:t>
            </w:r>
            <w:r>
              <w:rPr>
                <w:rFonts w:cs="Times New Roman"/>
                <w:color w:val="000000"/>
              </w:rPr>
              <w:t>7</w:t>
            </w:r>
            <w:r w:rsidR="00ED640C" w:rsidRPr="00AF7C49">
              <w:rPr>
                <w:rFonts w:cs="Times New Roman"/>
                <w:color w:val="000000"/>
              </w:rPr>
              <w:t>.202</w:t>
            </w:r>
            <w:r w:rsidR="00DD5493" w:rsidRPr="00AF7C49">
              <w:rPr>
                <w:rFonts w:cs="Times New Roman"/>
                <w:color w:val="000000"/>
              </w:rPr>
              <w:t>3</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31855752" w:rsidR="00ED640C" w:rsidRPr="00564A0B" w:rsidRDefault="00557F88" w:rsidP="0014547A">
            <w:pPr>
              <w:widowControl w:val="0"/>
              <w:spacing w:before="0" w:after="0" w:line="240" w:lineRule="auto"/>
              <w:rPr>
                <w:rFonts w:cs="Times New Roman"/>
                <w:color w:val="000000"/>
              </w:rPr>
            </w:pPr>
            <w:r>
              <w:rPr>
                <w:rFonts w:cs="Times New Roman"/>
                <w:color w:val="000000"/>
              </w:rPr>
              <w:t>11</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DD5493" w:rsidRPr="00AF7C49">
              <w:rPr>
                <w:rFonts w:cs="Times New Roman"/>
                <w:color w:val="000000"/>
              </w:rPr>
              <w:t>3</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299C4C02" w:rsidR="00ED640C" w:rsidRPr="00AF7C49" w:rsidRDefault="00557F88" w:rsidP="0014547A">
            <w:pPr>
              <w:widowControl w:val="0"/>
              <w:spacing w:before="0" w:after="0" w:line="240" w:lineRule="auto"/>
              <w:rPr>
                <w:rFonts w:cs="Times New Roman"/>
                <w:color w:val="000000"/>
              </w:rPr>
            </w:pPr>
            <w:r>
              <w:rPr>
                <w:rFonts w:cs="Times New Roman"/>
                <w:color w:val="000000"/>
              </w:rPr>
              <w:t>12</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DD5493" w:rsidRPr="00AF7C49">
              <w:rPr>
                <w:rFonts w:cs="Times New Roman"/>
                <w:color w:val="000000"/>
              </w:rPr>
              <w:t>3</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C7B80F5" w14:textId="77777777" w:rsidR="00557F88" w:rsidRPr="00557F88" w:rsidRDefault="00557F88" w:rsidP="00557F88">
            <w:pPr>
              <w:suppressAutoHyphens/>
              <w:spacing w:before="0" w:after="120" w:line="240" w:lineRule="auto"/>
              <w:textAlignment w:val="baseline"/>
              <w:rPr>
                <w:rFonts w:eastAsia="Calibri" w:cs="Times New Roman"/>
                <w:b/>
                <w:bCs/>
                <w:color w:val="000000"/>
                <w:lang w:eastAsia="zh-CN"/>
              </w:rPr>
            </w:pPr>
            <w:bookmarkStart w:id="87" w:name="_GoBack"/>
            <w:r w:rsidRPr="00557F88">
              <w:rPr>
                <w:rFonts w:eastAsia="Calibri" w:cs="Times New Roman"/>
                <w:b/>
                <w:bCs/>
                <w:color w:val="000000"/>
                <w:lang w:eastAsia="zh-CN"/>
              </w:rPr>
              <w:t>10 396 773 (Десять миллионов триста девяносто шесть тысяч семьсот семьдесят три) рубля 10 коп. без НДС;</w:t>
            </w:r>
          </w:p>
          <w:p w14:paraId="4B5B4AB8" w14:textId="49554C19" w:rsidR="00686F72" w:rsidRDefault="00557F88" w:rsidP="00557F88">
            <w:pPr>
              <w:pStyle w:val="Textbody"/>
              <w:suppressAutoHyphens w:val="0"/>
              <w:spacing w:after="0"/>
              <w:rPr>
                <w:rFonts w:ascii="Times New Roman" w:hAnsi="Times New Roman" w:cs="Times New Roman"/>
                <w:color w:val="000000"/>
              </w:rPr>
            </w:pPr>
            <w:r w:rsidRPr="00557F88">
              <w:rPr>
                <w:rFonts w:ascii="Times New Roman" w:hAnsi="Times New Roman" w:cs="Times New Roman"/>
                <w:b/>
                <w:bCs/>
                <w:color w:val="000000"/>
                <w:kern w:val="0"/>
                <w:lang w:bidi="ar-SA"/>
              </w:rPr>
              <w:t xml:space="preserve">12 476 127 (Двенадцать миллионов четыреста семьдесят шесть тысяч сто двадцать семь) рублей 72 коп. с НДС </w:t>
            </w:r>
          </w:p>
          <w:bookmarkEnd w:id="87"/>
          <w:p w14:paraId="7035B557" w14:textId="1C718DD8" w:rsidR="00ED640C" w:rsidRDefault="00ED640C" w:rsidP="00686F72">
            <w:pPr>
              <w:pStyle w:val="Textbody"/>
              <w:suppressAutoHyphens w:val="0"/>
              <w:spacing w:after="0"/>
              <w:rPr>
                <w:rFonts w:ascii="Times New Roman" w:hAnsi="Times New Roman" w:cs="Times New Roman"/>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87BF491" w14:textId="77777777" w:rsidR="00686F72" w:rsidRDefault="00686F72" w:rsidP="00686F72">
            <w:pPr>
              <w:pStyle w:val="Textbody"/>
              <w:suppressAutoHyphens w:val="0"/>
              <w:spacing w:after="0"/>
              <w:rPr>
                <w:rFonts w:ascii="Times New Roman" w:hAnsi="Times New Roman" w:cs="Times New Roman"/>
                <w:color w:val="000000"/>
              </w:rPr>
            </w:pP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00319880" w:rsidR="00DD5493" w:rsidRPr="00AF7C49" w:rsidRDefault="00557F88" w:rsidP="00DD5493">
            <w:pPr>
              <w:widowControl w:val="0"/>
              <w:spacing w:before="0" w:after="0" w:line="240" w:lineRule="auto"/>
              <w:jc w:val="both"/>
              <w:rPr>
                <w:rFonts w:cs="Times New Roman"/>
                <w:iCs/>
                <w:color w:val="000000"/>
              </w:rPr>
            </w:pPr>
            <w:r>
              <w:rPr>
                <w:rFonts w:cs="Times New Roman"/>
                <w:iCs/>
                <w:color w:val="000000"/>
              </w:rPr>
              <w:t>2</w:t>
            </w:r>
            <w:r w:rsidR="00686F72">
              <w:rPr>
                <w:rFonts w:cs="Times New Roman"/>
                <w:iCs/>
                <w:color w:val="000000"/>
              </w:rPr>
              <w:t>9</w:t>
            </w:r>
            <w:r w:rsidR="00E70185" w:rsidRPr="00AF7C49">
              <w:rPr>
                <w:rFonts w:cs="Times New Roman"/>
                <w:iCs/>
                <w:color w:val="000000"/>
              </w:rPr>
              <w:t>.0</w:t>
            </w:r>
            <w:r w:rsidR="00686F72">
              <w:rPr>
                <w:rFonts w:cs="Times New Roman"/>
                <w:iCs/>
                <w:color w:val="000000"/>
              </w:rPr>
              <w:t>6</w:t>
            </w:r>
            <w:r w:rsidR="00E70185" w:rsidRPr="00AF7C49">
              <w:rPr>
                <w:rFonts w:cs="Times New Roman"/>
                <w:iCs/>
                <w:color w:val="000000"/>
              </w:rPr>
              <w:t>.</w:t>
            </w:r>
            <w:r w:rsidR="00A3095C" w:rsidRPr="00AF7C49">
              <w:rPr>
                <w:rFonts w:cs="Times New Roman"/>
                <w:iCs/>
                <w:color w:val="000000"/>
              </w:rPr>
              <w:t>2023</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5BC21E09" w:rsidR="00DD5493" w:rsidRPr="00AF7C49" w:rsidRDefault="00557F88" w:rsidP="00DD5493">
            <w:pPr>
              <w:widowControl w:val="0"/>
              <w:tabs>
                <w:tab w:val="left" w:pos="0"/>
                <w:tab w:val="left" w:pos="1080"/>
              </w:tabs>
              <w:spacing w:before="0" w:after="0" w:line="240" w:lineRule="auto"/>
              <w:rPr>
                <w:rFonts w:cs="Times New Roman"/>
              </w:rPr>
            </w:pPr>
            <w:r>
              <w:rPr>
                <w:rFonts w:cs="Times New Roman"/>
                <w:iCs/>
                <w:color w:val="000000"/>
              </w:rPr>
              <w:t>06</w:t>
            </w:r>
            <w:r w:rsidR="00E70185" w:rsidRPr="00AF7C49">
              <w:rPr>
                <w:rFonts w:cs="Times New Roman"/>
                <w:iCs/>
                <w:color w:val="000000"/>
              </w:rPr>
              <w:t>.0</w:t>
            </w:r>
            <w:r>
              <w:rPr>
                <w:rFonts w:cs="Times New Roman"/>
                <w:iCs/>
                <w:color w:val="000000"/>
              </w:rPr>
              <w:t>7</w:t>
            </w:r>
            <w:r w:rsidR="00E70185" w:rsidRPr="00AF7C49">
              <w:rPr>
                <w:rFonts w:cs="Times New Roman"/>
                <w:iCs/>
                <w:color w:val="000000"/>
              </w:rPr>
              <w:t>.</w:t>
            </w:r>
            <w:r w:rsidR="00DD5493" w:rsidRPr="00AF7C49">
              <w:rPr>
                <w:rFonts w:cs="Times New Roman"/>
                <w:iCs/>
                <w:color w:val="000000"/>
              </w:rPr>
              <w:t>2023</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8"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8"/>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2515CB4E"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557F88">
              <w:rPr>
                <w:rFonts w:cs="Times New Roman"/>
                <w:iCs/>
                <w:color w:val="000000"/>
              </w:rPr>
              <w:t>29</w:t>
            </w:r>
            <w:r w:rsidR="00E70185" w:rsidRPr="00AF7C49">
              <w:rPr>
                <w:rFonts w:cs="Times New Roman"/>
                <w:iCs/>
                <w:color w:val="000000"/>
              </w:rPr>
              <w:t>.0</w:t>
            </w:r>
            <w:r w:rsidR="00686F72">
              <w:rPr>
                <w:rFonts w:cs="Times New Roman"/>
                <w:iCs/>
                <w:color w:val="000000"/>
              </w:rPr>
              <w:t>6</w:t>
            </w:r>
            <w:r w:rsidR="00E70185" w:rsidRPr="00AF7C49">
              <w:rPr>
                <w:rFonts w:cs="Times New Roman"/>
                <w:iCs/>
                <w:color w:val="000000"/>
              </w:rPr>
              <w:t>.</w:t>
            </w:r>
            <w:r w:rsidRPr="00AF7C49">
              <w:rPr>
                <w:rFonts w:cs="Times New Roman"/>
                <w:iCs/>
                <w:color w:val="000000"/>
              </w:rPr>
              <w:t xml:space="preserve">2023 по </w:t>
            </w:r>
            <w:r w:rsidR="00557F88">
              <w:rPr>
                <w:rFonts w:cs="Times New Roman"/>
                <w:iCs/>
                <w:color w:val="000000"/>
              </w:rPr>
              <w:t>11</w:t>
            </w:r>
            <w:r w:rsidR="00E70185" w:rsidRPr="00AF7C49">
              <w:rPr>
                <w:rFonts w:cs="Times New Roman"/>
                <w:iCs/>
                <w:color w:val="000000"/>
              </w:rPr>
              <w:t>.0</w:t>
            </w:r>
            <w:r w:rsidR="00557F88">
              <w:rPr>
                <w:rFonts w:cs="Times New Roman"/>
                <w:iCs/>
                <w:color w:val="000000"/>
              </w:rPr>
              <w:t>7</w:t>
            </w:r>
            <w:r w:rsidR="00E70185" w:rsidRPr="00AF7C49">
              <w:rPr>
                <w:rFonts w:cs="Times New Roman"/>
                <w:iCs/>
                <w:color w:val="000000"/>
              </w:rPr>
              <w:t>.</w:t>
            </w:r>
            <w:r w:rsidR="00A3095C" w:rsidRPr="00AF7C49">
              <w:rPr>
                <w:rFonts w:cs="Times New Roman"/>
                <w:iCs/>
                <w:color w:val="000000"/>
              </w:rPr>
              <w:t>2023</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77777777" w:rsidR="004805A6" w:rsidRDefault="004805A6">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9" w:name="_Ref405964278"/>
      <w:bookmarkStart w:id="90" w:name="_Toc412202053"/>
      <w:bookmarkStart w:id="91" w:name="_Toc438208457"/>
      <w:bookmarkEnd w:id="89"/>
      <w:bookmarkEnd w:id="90"/>
      <w:bookmarkEnd w:id="91"/>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4BB9B540" w:rsidR="000609C6" w:rsidRDefault="000609C6" w:rsidP="000609C6">
      <w:pPr>
        <w:spacing w:before="0" w:after="0"/>
      </w:pPr>
      <w:r>
        <w:rPr>
          <w:rFonts w:cs="Times New Roman"/>
        </w:rPr>
        <w:t>«___» __________ 202</w:t>
      </w:r>
      <w:r w:rsidR="00DD5493">
        <w:rPr>
          <w:rFonts w:cs="Times New Roman"/>
        </w:rPr>
        <w:t>3</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77777777"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Pr="0085357E">
        <w:rPr>
          <w:rFonts w:cs="Times New Roman"/>
        </w:rPr>
        <w:t>2</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059529DC" w:rsidR="004805A6" w:rsidRDefault="003E366C">
      <w:pPr>
        <w:pStyle w:val="Times12"/>
        <w:spacing w:before="0" w:after="0" w:line="240" w:lineRule="auto"/>
        <w:ind w:left="5387" w:firstLine="0"/>
        <w:jc w:val="right"/>
      </w:pPr>
      <w:r>
        <w:rPr>
          <w:iCs/>
          <w:szCs w:val="24"/>
        </w:rPr>
        <w:t>от «___» __________ 202</w:t>
      </w:r>
      <w:r w:rsidR="00DD5493">
        <w:rPr>
          <w:iCs/>
          <w:szCs w:val="24"/>
        </w:rPr>
        <w:t>3</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5A15AF1F" w:rsidR="000609C6" w:rsidRDefault="000609C6" w:rsidP="000609C6">
      <w:pPr>
        <w:spacing w:before="0" w:after="0" w:line="240" w:lineRule="auto"/>
        <w:jc w:val="both"/>
      </w:pPr>
      <w:r>
        <w:rPr>
          <w:lang w:eastAsia="zh-CN"/>
        </w:rPr>
        <w:t>извещение № ____________ от «__» _____202</w:t>
      </w:r>
      <w:r w:rsidR="00DD5493">
        <w:rPr>
          <w:lang w:eastAsia="zh-CN"/>
        </w:rPr>
        <w:t>3</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5B2E16B2" w:rsidR="004805A6" w:rsidRDefault="003E366C">
      <w:pPr>
        <w:pStyle w:val="Times12"/>
        <w:spacing w:before="0" w:after="0" w:line="240" w:lineRule="auto"/>
        <w:ind w:left="5387" w:firstLine="0"/>
        <w:jc w:val="right"/>
      </w:pPr>
      <w:r>
        <w:rPr>
          <w:iCs/>
          <w:szCs w:val="24"/>
        </w:rPr>
        <w:t>от «___» __________ 202</w:t>
      </w:r>
      <w:r w:rsidR="00DD5493">
        <w:rPr>
          <w:iCs/>
          <w:szCs w:val="24"/>
        </w:rPr>
        <w:t>3</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6222A89D"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DD5493">
        <w:rPr>
          <w:rFonts w:cs="Times New Roman"/>
          <w:lang w:eastAsia="zh-CN"/>
        </w:rPr>
        <w:t>3</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5B87836D" w:rsidR="004805A6" w:rsidRDefault="003E366C">
      <w:pPr>
        <w:pStyle w:val="Times12"/>
        <w:spacing w:before="0" w:after="0" w:line="240" w:lineRule="auto"/>
        <w:ind w:left="5387" w:firstLine="0"/>
        <w:jc w:val="right"/>
      </w:pPr>
      <w:r>
        <w:rPr>
          <w:bCs w:val="0"/>
          <w:iCs/>
          <w:szCs w:val="24"/>
        </w:rPr>
        <w:t>от «___» __________ 202</w:t>
      </w:r>
      <w:r w:rsidR="00DD5493">
        <w:rPr>
          <w:bCs w:val="0"/>
          <w:iCs/>
          <w:szCs w:val="24"/>
        </w:rPr>
        <w:t>3</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5397105E" w:rsidR="00B53FDE" w:rsidRDefault="00B53FDE" w:rsidP="007052E3">
            <w:pPr>
              <w:pStyle w:val="affffe"/>
              <w:tabs>
                <w:tab w:val="left" w:pos="1332"/>
                <w:tab w:val="left" w:pos="1701"/>
              </w:tabs>
              <w:spacing w:before="0" w:after="0" w:line="240" w:lineRule="auto"/>
              <w:ind w:left="0" w:right="-108"/>
              <w:jc w:val="center"/>
            </w:pPr>
            <w:r>
              <w:rPr>
                <w:rFonts w:cs="Times New Roman"/>
                <w:sz w:val="20"/>
              </w:rPr>
              <w:t>2020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D0C2EEA"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2020</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5F4925D3" w:rsidR="004805A6" w:rsidRDefault="003E366C">
            <w:pPr>
              <w:pStyle w:val="affffe"/>
              <w:tabs>
                <w:tab w:val="left" w:pos="1332"/>
                <w:tab w:val="left" w:pos="1701"/>
              </w:tabs>
              <w:spacing w:before="0" w:after="0" w:line="240" w:lineRule="auto"/>
              <w:ind w:left="0" w:right="-108"/>
              <w:jc w:val="center"/>
            </w:pPr>
            <w:r>
              <w:rPr>
                <w:rFonts w:cs="Times New Roman"/>
                <w:sz w:val="20"/>
              </w:rPr>
              <w:t>202</w:t>
            </w:r>
            <w:r w:rsidR="00DD5493">
              <w:rPr>
                <w:rFonts w:cs="Times New Roman"/>
                <w:sz w:val="20"/>
              </w:rPr>
              <w:t>1</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677A39AE"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002F7471" w:rsidR="004805A6" w:rsidRDefault="003E366C">
            <w:pPr>
              <w:pStyle w:val="afffff"/>
              <w:tabs>
                <w:tab w:val="left" w:pos="1701"/>
              </w:tabs>
              <w:spacing w:before="0" w:after="0" w:line="240" w:lineRule="auto"/>
              <w:ind w:left="0"/>
              <w:jc w:val="center"/>
            </w:pPr>
            <w:r>
              <w:rPr>
                <w:rFonts w:cs="Times New Roman"/>
                <w:sz w:val="20"/>
              </w:rPr>
              <w:t>202</w:t>
            </w:r>
            <w:r w:rsidR="00DD5493">
              <w:rPr>
                <w:rFonts w:cs="Times New Roman"/>
                <w:sz w:val="20"/>
              </w:rPr>
              <w:t>2</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7D28115F"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2DC758C6"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B53FDE">
        <w:rPr>
          <w:rFonts w:ascii="Times New Roman" w:hAnsi="Times New Roman" w:cs="Times New Roman"/>
          <w:b/>
          <w:bCs/>
          <w:i/>
          <w:iCs/>
          <w:color w:val="FF0000"/>
          <w:sz w:val="20"/>
          <w:szCs w:val="20"/>
        </w:rPr>
        <w:t>0</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2021г,</w:t>
      </w:r>
      <w:proofErr w:type="gramStart"/>
      <w:r>
        <w:rPr>
          <w:rFonts w:ascii="Times New Roman" w:hAnsi="Times New Roman" w:cs="Times New Roman"/>
          <w:b/>
          <w:i/>
          <w:iCs/>
          <w:color w:val="FF0000"/>
          <w:sz w:val="20"/>
          <w:szCs w:val="20"/>
        </w:rPr>
        <w:t>.</w:t>
      </w:r>
      <w:proofErr w:type="gramEnd"/>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DD5493">
        <w:rPr>
          <w:rFonts w:ascii="Times New Roman" w:hAnsi="Times New Roman" w:cs="Times New Roman"/>
          <w:b/>
          <w:bCs/>
          <w:i/>
          <w:iCs/>
          <w:color w:val="FF0000"/>
          <w:sz w:val="20"/>
          <w:szCs w:val="20"/>
        </w:rPr>
        <w:t>2</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790A33B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B53FDE">
        <w:rPr>
          <w:rFonts w:ascii="Times New Roman" w:hAnsi="Times New Roman" w:cs="Times New Roman"/>
          <w:b/>
          <w:i/>
          <w:iCs/>
          <w:color w:val="FF0000"/>
          <w:sz w:val="20"/>
          <w:szCs w:val="20"/>
        </w:rPr>
        <w:t>0</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2021</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1F3E83">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767014E9" w:rsidR="004805A6" w:rsidRDefault="003E366C">
      <w:pPr>
        <w:pStyle w:val="Times12"/>
        <w:spacing w:before="0" w:after="0" w:line="240" w:lineRule="auto"/>
        <w:ind w:left="5387" w:firstLine="0"/>
        <w:jc w:val="right"/>
      </w:pPr>
      <w:r>
        <w:rPr>
          <w:iCs/>
          <w:szCs w:val="24"/>
        </w:rPr>
        <w:t>от «___» __________ 202</w:t>
      </w:r>
      <w:r w:rsidR="001F3E83">
        <w:rPr>
          <w:iCs/>
          <w:szCs w:val="24"/>
        </w:rPr>
        <w:t>3</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31DBBDA"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696C83">
        <w:rPr>
          <w:rFonts w:cs="Times New Roman"/>
        </w:rPr>
        <w:t>3</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3B49C380" w14:textId="4F4E6EC9" w:rsidR="00557F88" w:rsidRPr="00557F88" w:rsidRDefault="00557F88">
      <w:pPr>
        <w:widowControl w:val="0"/>
        <w:shd w:val="clear" w:color="auto" w:fill="FFFFFF"/>
        <w:spacing w:before="0" w:after="0"/>
        <w:jc w:val="center"/>
        <w:rPr>
          <w:i/>
          <w:sz w:val="28"/>
          <w:szCs w:val="28"/>
        </w:rPr>
      </w:pPr>
      <w:r w:rsidRPr="00557F88">
        <w:rPr>
          <w:i/>
          <w:sz w:val="28"/>
          <w:szCs w:val="28"/>
        </w:rPr>
        <w:t xml:space="preserve">«Капитальный ремонт участка тепловой сети ППУ в ПЭТ Ø219х6/315 мм, L=210 тр. м. от котельной № 6 по ул. Машиностроителей от ТК-116 до ТК-116/2 с учетом замены теплового ввода к ж/д № 20 ППУ в ПЭТ Ø89х4/160 мм, L=8 тр. м. </w:t>
      </w:r>
      <w:r>
        <w:rPr>
          <w:i/>
          <w:sz w:val="28"/>
          <w:szCs w:val="28"/>
        </w:rPr>
        <w:t xml:space="preserve"> </w:t>
      </w:r>
      <w:r w:rsidRPr="00557F88">
        <w:rPr>
          <w:i/>
          <w:sz w:val="28"/>
          <w:szCs w:val="28"/>
        </w:rPr>
        <w:t xml:space="preserve">в г. Белая Калитва РО, </w:t>
      </w:r>
    </w:p>
    <w:p w14:paraId="19C813EF" w14:textId="74B10905" w:rsidR="00686F72" w:rsidRPr="00557F88" w:rsidRDefault="00557F88">
      <w:pPr>
        <w:widowControl w:val="0"/>
        <w:shd w:val="clear" w:color="auto" w:fill="FFFFFF"/>
        <w:spacing w:before="0" w:after="0"/>
        <w:jc w:val="center"/>
        <w:rPr>
          <w:i/>
          <w:sz w:val="28"/>
          <w:szCs w:val="28"/>
        </w:rPr>
      </w:pPr>
      <w:r w:rsidRPr="00557F88">
        <w:rPr>
          <w:i/>
          <w:sz w:val="28"/>
          <w:szCs w:val="28"/>
        </w:rPr>
        <w:t>инв. № БК 0002521, № БК 0002528, № БК 0002523, № БК 0002532»</w:t>
      </w:r>
    </w:p>
    <w:p w14:paraId="46B3F090" w14:textId="77777777" w:rsidR="00557F88" w:rsidRDefault="00557F88">
      <w:pPr>
        <w:widowControl w:val="0"/>
        <w:shd w:val="clear" w:color="auto" w:fill="FFFFFF"/>
        <w:spacing w:before="0" w:after="0"/>
        <w:jc w:val="center"/>
        <w:rPr>
          <w:i/>
          <w:sz w:val="28"/>
          <w:szCs w:val="28"/>
        </w:rPr>
      </w:pPr>
    </w:p>
    <w:p w14:paraId="2E97CE30" w14:textId="7C5904FD"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557F88" w:rsidRDefault="00557F88">
      <w:pPr>
        <w:spacing w:before="0" w:after="0" w:line="240" w:lineRule="auto"/>
      </w:pPr>
      <w:r>
        <w:separator/>
      </w:r>
    </w:p>
  </w:endnote>
  <w:endnote w:type="continuationSeparator" w:id="0">
    <w:p w14:paraId="2196D20F" w14:textId="77777777" w:rsidR="00557F88" w:rsidRDefault="00557F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557F88" w:rsidRDefault="00557F8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557F88" w:rsidRDefault="00557F88">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557F88" w:rsidRDefault="00557F88">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557F88" w:rsidRDefault="00557F88">
      <w:r>
        <w:separator/>
      </w:r>
    </w:p>
  </w:footnote>
  <w:footnote w:type="continuationSeparator" w:id="0">
    <w:p w14:paraId="009959F5" w14:textId="77777777" w:rsidR="00557F88" w:rsidRDefault="00557F88">
      <w:r>
        <w:continuationSeparator/>
      </w:r>
    </w:p>
  </w:footnote>
  <w:footnote w:id="1">
    <w:p w14:paraId="50F115B6" w14:textId="77777777" w:rsidR="00557F88" w:rsidRDefault="00557F88">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557F88" w:rsidRDefault="00557F88" w:rsidP="00ED640C">
      <w:pPr>
        <w:pStyle w:val="afffb"/>
      </w:pPr>
    </w:p>
  </w:footnote>
  <w:footnote w:id="3">
    <w:p w14:paraId="24B5CB52" w14:textId="77777777" w:rsidR="00557F88" w:rsidRDefault="00557F88">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557F88" w:rsidRDefault="00557F88">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557F88" w:rsidRDefault="00557F88">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557F88" w:rsidRDefault="00557F88">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557F88" w:rsidRDefault="00557F88">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557F88" w:rsidRDefault="00557F88">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Content>
      <w:p w14:paraId="0E2D1FB4" w14:textId="77777777" w:rsidR="00557F88" w:rsidRDefault="00557F88">
        <w:pPr>
          <w:pStyle w:val="afb"/>
          <w:jc w:val="right"/>
        </w:pPr>
      </w:p>
      <w:p w14:paraId="7425FA34" w14:textId="5EBA8422" w:rsidR="00557F88" w:rsidRDefault="00557F88">
        <w:pPr>
          <w:pStyle w:val="afb"/>
          <w:jc w:val="right"/>
        </w:pPr>
        <w:r>
          <w:fldChar w:fldCharType="begin"/>
        </w:r>
        <w:r>
          <w:instrText>PAGE</w:instrText>
        </w:r>
        <w:r>
          <w:fldChar w:fldCharType="separate"/>
        </w:r>
        <w:r w:rsidR="00B2375B">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Content>
      <w:p w14:paraId="484BDD17" w14:textId="77777777" w:rsidR="00557F88" w:rsidRDefault="00557F88">
        <w:pPr>
          <w:pStyle w:val="afb"/>
          <w:jc w:val="right"/>
        </w:pPr>
      </w:p>
      <w:p w14:paraId="216D96FF" w14:textId="427FFD82" w:rsidR="00557F88" w:rsidRDefault="00557F88">
        <w:pPr>
          <w:pStyle w:val="afb"/>
          <w:jc w:val="right"/>
        </w:pPr>
        <w:r>
          <w:fldChar w:fldCharType="begin"/>
        </w:r>
        <w:r>
          <w:instrText>PAGE</w:instrText>
        </w:r>
        <w:r>
          <w:fldChar w:fldCharType="separate"/>
        </w:r>
        <w:r w:rsidR="00B2375B">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Content>
      <w:p w14:paraId="1EEF5405" w14:textId="77777777" w:rsidR="00557F88" w:rsidRDefault="00557F88">
        <w:pPr>
          <w:pStyle w:val="afb"/>
          <w:jc w:val="right"/>
        </w:pPr>
      </w:p>
      <w:p w14:paraId="5E770980" w14:textId="2A6AB779" w:rsidR="00557F88" w:rsidRDefault="00557F88">
        <w:pPr>
          <w:pStyle w:val="afb"/>
          <w:jc w:val="right"/>
        </w:pPr>
        <w:r>
          <w:fldChar w:fldCharType="begin"/>
        </w:r>
        <w:r>
          <w:instrText>PAGE</w:instrText>
        </w:r>
        <w:r>
          <w:fldChar w:fldCharType="separate"/>
        </w:r>
        <w:r w:rsidR="00B2375B">
          <w:rPr>
            <w:noProof/>
          </w:rPr>
          <w:t>23</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Content>
      <w:p w14:paraId="7A9A9930" w14:textId="3161B2A4" w:rsidR="00557F88" w:rsidRDefault="00557F88">
        <w:pPr>
          <w:pStyle w:val="afb"/>
          <w:jc w:val="right"/>
        </w:pPr>
        <w:r>
          <w:fldChar w:fldCharType="begin"/>
        </w:r>
        <w:r>
          <w:instrText>PAGE</w:instrText>
        </w:r>
        <w:r>
          <w:fldChar w:fldCharType="separate"/>
        </w:r>
        <w:r w:rsidR="00B2375B">
          <w:rPr>
            <w:noProof/>
          </w:rPr>
          <w:t>34</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Content>
      <w:p w14:paraId="0F4DEE26" w14:textId="49FCE89C" w:rsidR="00557F88" w:rsidRDefault="00557F88">
        <w:pPr>
          <w:pStyle w:val="afb"/>
          <w:jc w:val="right"/>
        </w:pPr>
        <w:r>
          <w:fldChar w:fldCharType="begin"/>
        </w:r>
        <w:r>
          <w:instrText>PAGE</w:instrText>
        </w:r>
        <w:r>
          <w:fldChar w:fldCharType="separate"/>
        </w:r>
        <w:r w:rsidR="00B2375B">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444C59A7" w:rsidR="00557F88" w:rsidRDefault="00557F88">
    <w:pPr>
      <w:pStyle w:val="afb"/>
      <w:jc w:val="right"/>
    </w:pPr>
    <w:r>
      <w:fldChar w:fldCharType="begin"/>
    </w:r>
    <w:r>
      <w:instrText>PAGE</w:instrText>
    </w:r>
    <w:r>
      <w:fldChar w:fldCharType="separate"/>
    </w:r>
    <w:r w:rsidR="00B2375B">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609C6"/>
    <w:rsid w:val="00074929"/>
    <w:rsid w:val="00131133"/>
    <w:rsid w:val="0014547A"/>
    <w:rsid w:val="001468AE"/>
    <w:rsid w:val="0015295C"/>
    <w:rsid w:val="00153CF7"/>
    <w:rsid w:val="0015647A"/>
    <w:rsid w:val="00170863"/>
    <w:rsid w:val="001F3E83"/>
    <w:rsid w:val="00234426"/>
    <w:rsid w:val="002C01D7"/>
    <w:rsid w:val="002C334D"/>
    <w:rsid w:val="002E3515"/>
    <w:rsid w:val="00311E9A"/>
    <w:rsid w:val="00323EF8"/>
    <w:rsid w:val="00355D02"/>
    <w:rsid w:val="003A71C8"/>
    <w:rsid w:val="003E366C"/>
    <w:rsid w:val="003F00BD"/>
    <w:rsid w:val="00407DD0"/>
    <w:rsid w:val="0045228D"/>
    <w:rsid w:val="004805A6"/>
    <w:rsid w:val="00497A28"/>
    <w:rsid w:val="004C7D8E"/>
    <w:rsid w:val="004F7BDC"/>
    <w:rsid w:val="00557F88"/>
    <w:rsid w:val="00561192"/>
    <w:rsid w:val="00571CF2"/>
    <w:rsid w:val="00657498"/>
    <w:rsid w:val="00680FD3"/>
    <w:rsid w:val="0068428A"/>
    <w:rsid w:val="00686C5F"/>
    <w:rsid w:val="00686F72"/>
    <w:rsid w:val="00696C83"/>
    <w:rsid w:val="006C4B40"/>
    <w:rsid w:val="006E6C40"/>
    <w:rsid w:val="00703DCD"/>
    <w:rsid w:val="00704718"/>
    <w:rsid w:val="007052E3"/>
    <w:rsid w:val="00730DF5"/>
    <w:rsid w:val="00744893"/>
    <w:rsid w:val="00773E08"/>
    <w:rsid w:val="007C1E2A"/>
    <w:rsid w:val="007E32F9"/>
    <w:rsid w:val="008527D1"/>
    <w:rsid w:val="00876C5B"/>
    <w:rsid w:val="00880EC7"/>
    <w:rsid w:val="0088487A"/>
    <w:rsid w:val="008936F0"/>
    <w:rsid w:val="0090656E"/>
    <w:rsid w:val="00910AD2"/>
    <w:rsid w:val="00911F5E"/>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2375B"/>
    <w:rsid w:val="00B53FDE"/>
    <w:rsid w:val="00B600B6"/>
    <w:rsid w:val="00B85E17"/>
    <w:rsid w:val="00BB06C8"/>
    <w:rsid w:val="00BB3E2C"/>
    <w:rsid w:val="00BD7F44"/>
    <w:rsid w:val="00BF0343"/>
    <w:rsid w:val="00C10585"/>
    <w:rsid w:val="00C32C9A"/>
    <w:rsid w:val="00C467C2"/>
    <w:rsid w:val="00D02B00"/>
    <w:rsid w:val="00D079C7"/>
    <w:rsid w:val="00D273E1"/>
    <w:rsid w:val="00D5384A"/>
    <w:rsid w:val="00DC1418"/>
    <w:rsid w:val="00DD30C4"/>
    <w:rsid w:val="00DD5493"/>
    <w:rsid w:val="00E511E0"/>
    <w:rsid w:val="00E60764"/>
    <w:rsid w:val="00E70185"/>
    <w:rsid w:val="00E76DF2"/>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265E5-D76F-4E25-B4E8-19609B59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39</Pages>
  <Words>13226</Words>
  <Characters>75394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28</cp:revision>
  <cp:lastPrinted>2023-06-29T11:53:00Z</cp:lastPrinted>
  <dcterms:created xsi:type="dcterms:W3CDTF">2023-03-21T11:38:00Z</dcterms:created>
  <dcterms:modified xsi:type="dcterms:W3CDTF">2023-06-29T12:04:00Z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