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3E1FDEB6" w:rsidR="00C75CFF" w:rsidRDefault="002D335A" w:rsidP="008C3E02">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E21C7F">
        <w:rPr>
          <w:rFonts w:ascii="Bookman Old Style" w:eastAsiaTheme="minorHAnsi" w:hAnsi="Bookman Old Style" w:cstheme="minorBidi"/>
          <w:color w:val="000000"/>
          <w:sz w:val="22"/>
          <w:szCs w:val="22"/>
          <w:shd w:val="clear" w:color="auto" w:fill="FFFFFF"/>
          <w:lang w:eastAsia="en-US"/>
        </w:rPr>
        <w:t>Борисова Татьяна</w:t>
      </w:r>
      <w:r w:rsidR="001D3305">
        <w:rPr>
          <w:rFonts w:ascii="Bookman Old Style" w:eastAsiaTheme="minorHAnsi" w:hAnsi="Bookman Old Style" w:cstheme="minorBidi"/>
          <w:color w:val="000000"/>
          <w:sz w:val="22"/>
          <w:szCs w:val="22"/>
          <w:shd w:val="clear" w:color="auto" w:fill="FFFFFF"/>
          <w:lang w:eastAsia="en-US"/>
        </w:rPr>
        <w:t>,</w:t>
      </w:r>
      <w:r w:rsidR="00E21C7F">
        <w:rPr>
          <w:rFonts w:ascii="Bookman Old Style" w:eastAsiaTheme="minorHAnsi" w:hAnsi="Bookman Old Style" w:cstheme="minorBidi"/>
          <w:color w:val="000000"/>
          <w:sz w:val="22"/>
          <w:szCs w:val="22"/>
          <w:shd w:val="clear" w:color="auto" w:fill="FFFFFF"/>
          <w:lang w:eastAsia="en-US"/>
        </w:rPr>
        <w:t xml:space="preserve"> </w:t>
      </w:r>
      <w:r w:rsidR="00E21C7F" w:rsidRPr="00E21C7F">
        <w:rPr>
          <w:rFonts w:ascii="Bookman Old Style" w:eastAsiaTheme="minorHAnsi" w:hAnsi="Bookman Old Style" w:cstheme="minorBidi"/>
          <w:color w:val="000000"/>
          <w:sz w:val="22"/>
          <w:szCs w:val="22"/>
          <w:shd w:val="clear" w:color="auto" w:fill="FFFFFF"/>
          <w:lang w:eastAsia="en-US"/>
        </w:rPr>
        <w:t>Tatyana.Borisova@mriyaresort.com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695F601B" w:rsidR="001A10A2"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1D3305">
        <w:rPr>
          <w:rFonts w:ascii="Bookman Old Style" w:eastAsiaTheme="minorHAnsi" w:hAnsi="Bookman Old Style" w:cstheme="minorBidi"/>
          <w:b/>
          <w:color w:val="000000"/>
          <w:kern w:val="0"/>
          <w:sz w:val="22"/>
          <w:szCs w:val="22"/>
          <w:shd w:val="clear" w:color="auto" w:fill="FFFFFF"/>
          <w:lang w:eastAsia="en-US" w:bidi="ar-SA"/>
        </w:rPr>
        <w:t>В соответствии с Приложением №1</w:t>
      </w:r>
      <w:r w:rsidR="00A25748">
        <w:rPr>
          <w:rFonts w:ascii="Bookman Old Style" w:eastAsiaTheme="minorHAnsi" w:hAnsi="Bookman Old Style" w:cstheme="minorBidi"/>
          <w:b/>
          <w:color w:val="000000"/>
          <w:kern w:val="0"/>
          <w:sz w:val="22"/>
          <w:szCs w:val="22"/>
          <w:shd w:val="clear" w:color="auto" w:fill="FFFFFF"/>
          <w:lang w:eastAsia="en-US" w:bidi="ar-SA"/>
        </w:rPr>
        <w:t>.</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5F704F10"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п</w:t>
      </w:r>
      <w:r w:rsidR="0027742E">
        <w:rPr>
          <w:rFonts w:ascii="Bookman Old Style" w:eastAsiaTheme="minorHAnsi" w:hAnsi="Bookman Old Style" w:cstheme="minorBidi"/>
          <w:color w:val="000000"/>
          <w:kern w:val="0"/>
          <w:sz w:val="22"/>
          <w:szCs w:val="22"/>
          <w:shd w:val="clear" w:color="auto" w:fill="FFFFFF"/>
          <w:lang w:eastAsia="en-US" w:bidi="ar-SA"/>
        </w:rPr>
        <w:t>остоплата</w:t>
      </w:r>
      <w:proofErr w:type="spell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 xml:space="preserve">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w:t>
      </w:r>
      <w:r>
        <w:rPr>
          <w:rFonts w:ascii="Bookman Old Style" w:eastAsiaTheme="minorHAnsi" w:hAnsi="Bookman Old Style" w:cstheme="minorBidi"/>
          <w:color w:val="000000"/>
          <w:kern w:val="0"/>
          <w:sz w:val="22"/>
          <w:szCs w:val="22"/>
          <w:shd w:val="clear" w:color="auto" w:fill="FFFFFF"/>
          <w:lang w:eastAsia="en-US" w:bidi="ar-SA"/>
        </w:rPr>
        <w:lastRenderedPageBreak/>
        <w:t>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1D3305" w:rsidRDefault="00527199" w:rsidP="002D61E3">
      <w:pPr>
        <w:jc w:val="both"/>
        <w:rPr>
          <w:rFonts w:ascii="Bookman Old Style" w:hAnsi="Bookman Old Style"/>
          <w:color w:val="000000"/>
          <w:shd w:val="clear" w:color="auto" w:fill="FFFFFF"/>
        </w:rPr>
      </w:pPr>
      <w:r w:rsidRPr="001D3305">
        <w:rPr>
          <w:rFonts w:ascii="Bookman Old Style" w:hAnsi="Bookman Old Style"/>
          <w:b/>
          <w:color w:val="000000"/>
          <w:shd w:val="clear" w:color="auto" w:fill="FFFFFF"/>
        </w:rPr>
        <w:t>Условия участия в закупке</w:t>
      </w:r>
      <w:r w:rsidR="001E4EB7" w:rsidRPr="001D3305">
        <w:rPr>
          <w:rFonts w:ascii="Bookman Old Style" w:hAnsi="Bookman Old Style"/>
          <w:b/>
          <w:color w:val="000000"/>
          <w:shd w:val="clear" w:color="auto" w:fill="FFFFFF"/>
        </w:rPr>
        <w:t>:</w:t>
      </w:r>
      <w:r w:rsidRPr="001D3305">
        <w:rPr>
          <w:rFonts w:ascii="Bookman Old Style" w:hAnsi="Bookman Old Style"/>
          <w:color w:val="000000"/>
          <w:shd w:val="clear" w:color="auto" w:fill="FFFFFF"/>
        </w:rPr>
        <w:t xml:space="preserve"> </w:t>
      </w:r>
      <w:r w:rsidR="002D61E3" w:rsidRPr="001D3305">
        <w:rPr>
          <w:rFonts w:ascii="Bookman Old Style" w:hAnsi="Bookman Old Style"/>
          <w:color w:val="000000"/>
          <w:shd w:val="clear" w:color="auto" w:fill="FFFFFF"/>
        </w:rPr>
        <w:t>Размер тарифа составляет 1% от предлагаемого участником ценового предложения.</w:t>
      </w:r>
    </w:p>
    <w:p w14:paraId="3ED8C054" w14:textId="77777777"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3310EEDA" w:rsidR="00B754E0" w:rsidRPr="002D61E3" w:rsidRDefault="002D61E3" w:rsidP="002D61E3">
      <w:pPr>
        <w:jc w:val="both"/>
        <w:rPr>
          <w:rFonts w:ascii="Bookman Old Style" w:hAnsi="Bookman Old Style"/>
          <w:b/>
          <w:color w:val="000000"/>
          <w:shd w:val="clear" w:color="auto" w:fill="FFFFFF"/>
        </w:rPr>
      </w:pPr>
      <w:r w:rsidRPr="001D3305">
        <w:rPr>
          <w:rFonts w:ascii="Bookman Old Style" w:hAnsi="Bookman Old Style"/>
          <w:b/>
          <w:color w:val="000000"/>
          <w:shd w:val="clear" w:color="auto" w:fill="FFFFFF"/>
        </w:rPr>
        <w:t xml:space="preserve">Ускоренная аккредитация и зачисление денежных средств для участников закупок, проводимых Заказчиками секции </w:t>
      </w:r>
      <w:r w:rsidR="0027742E">
        <w:rPr>
          <w:rFonts w:ascii="Bookman Old Style" w:hAnsi="Bookman Old Style"/>
          <w:b/>
          <w:color w:val="000000"/>
          <w:shd w:val="clear" w:color="auto" w:fill="FFFFFF"/>
        </w:rPr>
        <w:t>ООО «</w:t>
      </w:r>
      <w:r w:rsidR="00A25748">
        <w:rPr>
          <w:rFonts w:ascii="Bookman Old Style" w:hAnsi="Bookman Old Style"/>
          <w:b/>
          <w:color w:val="000000"/>
          <w:shd w:val="clear" w:color="auto" w:fill="FFFFFF"/>
        </w:rPr>
        <w:t>ГАРАНТ-СВ»</w:t>
      </w:r>
      <w:r w:rsidRPr="001D3305">
        <w:rPr>
          <w:rFonts w:ascii="Bookman Old Style" w:hAnsi="Bookman Old Style"/>
          <w:b/>
          <w:color w:val="000000"/>
          <w:shd w:val="clear" w:color="auto" w:fill="FFFFFF"/>
        </w:rPr>
        <w:t>-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0C34CA3E"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A25748">
        <w:rPr>
          <w:rFonts w:ascii="Bookman Old Style" w:eastAsia="Lucida Sans Unicode" w:hAnsi="Bookman Old Style" w:cs="Arial"/>
          <w:color w:val="000000"/>
          <w:kern w:val="1"/>
          <w:sz w:val="24"/>
          <w:szCs w:val="24"/>
          <w:lang w:eastAsia="ru-RU" w:bidi="ru-RU"/>
        </w:rPr>
        <w:t>ГАРАНТ-СВ</w:t>
      </w:r>
      <w:r w:rsidRPr="00BC28D1">
        <w:rPr>
          <w:rFonts w:ascii="Bookman Old Style" w:eastAsia="Lucida Sans Unicode" w:hAnsi="Bookman Old Style" w:cs="Arial"/>
          <w:color w:val="000000"/>
          <w:kern w:val="1"/>
          <w:sz w:val="24"/>
          <w:szCs w:val="24"/>
          <w:lang w:eastAsia="ru-RU" w:bidi="ru-RU"/>
        </w:rPr>
        <w:t>» (ООО «</w:t>
      </w:r>
      <w:r w:rsidR="00A25748">
        <w:rPr>
          <w:rFonts w:ascii="Bookman Old Style" w:eastAsia="Lucida Sans Unicode" w:hAnsi="Bookman Old Style" w:cs="Arial"/>
          <w:color w:val="000000"/>
          <w:kern w:val="1"/>
          <w:sz w:val="24"/>
          <w:szCs w:val="24"/>
          <w:lang w:eastAsia="ru-RU" w:bidi="ru-RU"/>
        </w:rPr>
        <w:t>ГАРАНТ-СВ</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w:t>
      </w:r>
      <w:r w:rsidRPr="00BC28D1">
        <w:rPr>
          <w:rFonts w:ascii="Bookman Old Style" w:eastAsia="Lucida Sans Unicode" w:hAnsi="Bookman Old Style" w:cs="Arial"/>
          <w:color w:val="000000"/>
          <w:kern w:val="1"/>
          <w:sz w:val="24"/>
          <w:szCs w:val="24"/>
          <w:lang w:eastAsia="ru-RU" w:bidi="ru-RU"/>
        </w:rPr>
        <w:lastRenderedPageBreak/>
        <w:t>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w:t>
      </w:r>
      <w:r w:rsidRPr="00BC28D1">
        <w:rPr>
          <w:rFonts w:ascii="Bookman Old Style" w:eastAsia="Lucida Sans Unicode" w:hAnsi="Bookman Old Style" w:cs="Arial"/>
          <w:color w:val="000000"/>
          <w:kern w:val="1"/>
          <w:sz w:val="24"/>
          <w:szCs w:val="24"/>
          <w:lang w:eastAsia="ru-RU" w:bidi="ru-RU"/>
        </w:rPr>
        <w:lastRenderedPageBreak/>
        <w:t>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w:t>
      </w:r>
      <w:r w:rsidRPr="00BC28D1">
        <w:rPr>
          <w:rFonts w:ascii="Bookman Old Style" w:eastAsia="Lucida Sans Unicode" w:hAnsi="Bookman Old Style" w:cs="Arial"/>
          <w:color w:val="000000"/>
          <w:kern w:val="1"/>
          <w:sz w:val="24"/>
          <w:szCs w:val="24"/>
          <w:lang w:eastAsia="ru-RU" w:bidi="ru-RU"/>
        </w:rPr>
        <w:lastRenderedPageBreak/>
        <w:t>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 xml:space="preserve">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w:t>
      </w:r>
      <w:r w:rsidRPr="00BC28D1">
        <w:rPr>
          <w:rFonts w:ascii="Bookman Old Style" w:eastAsia="Lucida Sans Unicode" w:hAnsi="Bookman Old Style" w:cs="Arial"/>
          <w:color w:val="000000"/>
          <w:kern w:val="1"/>
          <w:sz w:val="24"/>
          <w:szCs w:val="24"/>
          <w:lang w:eastAsia="ru-RU" w:bidi="ru-RU"/>
        </w:rPr>
        <w:lastRenderedPageBreak/>
        <w:t>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w:t>
      </w:r>
      <w:r w:rsidRPr="00BC28D1">
        <w:rPr>
          <w:rFonts w:ascii="Bookman Old Style" w:eastAsia="Lucida Sans Unicode" w:hAnsi="Bookman Old Style" w:cs="Arial"/>
          <w:color w:val="000000"/>
          <w:kern w:val="1"/>
          <w:sz w:val="24"/>
          <w:szCs w:val="24"/>
          <w:lang w:eastAsia="ru-RU" w:bidi="ru-RU"/>
        </w:rPr>
        <w:lastRenderedPageBreak/>
        <w:t>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w:t>
      </w:r>
      <w:r w:rsidRPr="00BC28D1">
        <w:rPr>
          <w:rFonts w:ascii="Bookman Old Style" w:eastAsia="Lucida Sans Unicode" w:hAnsi="Bookman Old Style" w:cs="Arial"/>
          <w:color w:val="000000"/>
          <w:kern w:val="1"/>
          <w:sz w:val="24"/>
          <w:szCs w:val="24"/>
          <w:lang w:bidi="ru-RU"/>
        </w:rPr>
        <w:lastRenderedPageBreak/>
        <w:t>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w:t>
      </w:r>
      <w:r w:rsidRPr="00BC28D1">
        <w:rPr>
          <w:rFonts w:ascii="Bookman Old Style" w:eastAsia="Lucida Sans Unicode" w:hAnsi="Bookman Old Style" w:cs="Arial"/>
          <w:color w:val="000000"/>
          <w:kern w:val="1"/>
          <w:sz w:val="24"/>
          <w:szCs w:val="24"/>
          <w:lang w:eastAsia="ru-RU" w:bidi="ru-RU"/>
        </w:rPr>
        <w:lastRenderedPageBreak/>
        <w:t>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w:t>
      </w:r>
      <w:r w:rsidRPr="00BC28D1">
        <w:rPr>
          <w:rFonts w:ascii="Bookman Old Style" w:eastAsia="Lucida Sans Unicode" w:hAnsi="Bookman Old Style" w:cs="Arial"/>
          <w:color w:val="000000"/>
          <w:kern w:val="1"/>
          <w:sz w:val="24"/>
          <w:szCs w:val="24"/>
          <w:lang w:eastAsia="ru-RU" w:bidi="ru-RU"/>
        </w:rPr>
        <w:lastRenderedPageBreak/>
        <w:t>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w:t>
      </w:r>
      <w:r w:rsidRPr="00BC28D1">
        <w:rPr>
          <w:rFonts w:ascii="Bookman Old Style" w:eastAsia="Lucida Sans Unicode" w:hAnsi="Bookman Old Style" w:cs="Arial"/>
          <w:color w:val="000000"/>
          <w:kern w:val="1"/>
          <w:sz w:val="24"/>
          <w:szCs w:val="24"/>
          <w:lang w:eastAsia="ru-RU" w:bidi="ru-RU"/>
        </w:rPr>
        <w:lastRenderedPageBreak/>
        <w:t xml:space="preserve">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w:t>
      </w:r>
      <w:r w:rsidRPr="00BC28D1">
        <w:rPr>
          <w:rFonts w:ascii="Bookman Old Style" w:eastAsia="Lucida Sans Unicode" w:hAnsi="Bookman Old Style" w:cs="Arial"/>
          <w:color w:val="000000"/>
          <w:kern w:val="1"/>
          <w:sz w:val="24"/>
          <w:szCs w:val="24"/>
          <w:lang w:eastAsia="ru-RU" w:bidi="ru-RU"/>
        </w:rPr>
        <w:lastRenderedPageBreak/>
        <w:t>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Информация раскрывающей стороны, обладателем которой в соответствии с Договором стала получающая сторона, сохраняет статус </w:t>
      </w:r>
      <w:r w:rsidRPr="00BC28D1">
        <w:rPr>
          <w:rFonts w:ascii="Bookman Old Style" w:eastAsia="Lucida Sans Unicode" w:hAnsi="Bookman Old Style" w:cs="Arial"/>
          <w:color w:val="000000"/>
          <w:kern w:val="1"/>
          <w:sz w:val="24"/>
          <w:szCs w:val="24"/>
          <w:lang w:eastAsia="ru-RU" w:bidi="ru-RU"/>
        </w:rPr>
        <w:lastRenderedPageBreak/>
        <w:t>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w:t>
      </w:r>
      <w:r w:rsidRPr="00BC28D1">
        <w:rPr>
          <w:rFonts w:ascii="Bookman Old Style" w:eastAsia="Lucida Sans Unicode" w:hAnsi="Bookman Old Style" w:cs="Arial"/>
          <w:color w:val="000000"/>
          <w:kern w:val="1"/>
          <w:sz w:val="24"/>
          <w:szCs w:val="24"/>
          <w:lang w:eastAsia="ru-RU" w:bidi="ru-RU"/>
        </w:rPr>
        <w:lastRenderedPageBreak/>
        <w:t>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35DE5EE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A25748">
              <w:rPr>
                <w:rFonts w:ascii="Bookman Old Style" w:eastAsia="Lucida Sans Unicode" w:hAnsi="Bookman Old Style" w:cs="Arial"/>
                <w:color w:val="000000"/>
                <w:kern w:val="1"/>
                <w:sz w:val="24"/>
                <w:szCs w:val="24"/>
                <w:lang w:eastAsia="ru-RU" w:bidi="ru-RU"/>
              </w:rPr>
              <w:t>ГАРАНТ-СВ</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5DE7D09"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A25748">
        <w:rPr>
          <w:rFonts w:ascii="Bookman Old Style" w:eastAsia="Lucida Sans Unicode" w:hAnsi="Bookman Old Style" w:cs="Arial"/>
          <w:color w:val="000000"/>
          <w:kern w:val="1"/>
          <w:sz w:val="24"/>
          <w:szCs w:val="24"/>
          <w:lang w:eastAsia="ru-RU" w:bidi="ru-RU"/>
        </w:rPr>
        <w:t>ГАРАНТ-СВ</w:t>
      </w:r>
      <w:r w:rsidR="0027742E" w:rsidRPr="00BC28D1">
        <w:rPr>
          <w:rFonts w:ascii="Bookman Old Style" w:eastAsia="Lucida Sans Unicode" w:hAnsi="Bookman Old Style" w:cs="Arial"/>
          <w:color w:val="000000"/>
          <w:kern w:val="1"/>
          <w:sz w:val="24"/>
          <w:szCs w:val="24"/>
          <w:lang w:eastAsia="ru-RU" w:bidi="ru-RU"/>
        </w:rPr>
        <w:t>» (ООО «</w:t>
      </w:r>
      <w:r w:rsidR="00A25748">
        <w:rPr>
          <w:rFonts w:ascii="Bookman Old Style" w:eastAsia="Lucida Sans Unicode" w:hAnsi="Bookman Old Style" w:cs="Arial"/>
          <w:color w:val="000000"/>
          <w:kern w:val="1"/>
          <w:sz w:val="24"/>
          <w:szCs w:val="24"/>
          <w:lang w:eastAsia="ru-RU" w:bidi="ru-RU"/>
        </w:rPr>
        <w:t>ГАРАНТ-СВ</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27A91A9F"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A25748">
              <w:rPr>
                <w:rFonts w:ascii="Bookman Old Style" w:eastAsia="Lucida Sans Unicode" w:hAnsi="Bookman Old Style" w:cs="Arial"/>
                <w:color w:val="000000"/>
                <w:kern w:val="1"/>
                <w:sz w:val="24"/>
                <w:szCs w:val="24"/>
                <w:lang w:eastAsia="ru-RU" w:bidi="ru-RU"/>
              </w:rPr>
              <w:t>ГАРАНТ-СВ</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w:t>
      </w:r>
      <w:r w:rsidRPr="00BC28D1">
        <w:rPr>
          <w:rFonts w:ascii="Bookman Old Style" w:eastAsia="Lucida Sans Unicode" w:hAnsi="Bookman Old Style" w:cs="Arial"/>
          <w:color w:val="000000"/>
          <w:kern w:val="1"/>
          <w:sz w:val="24"/>
          <w:szCs w:val="24"/>
          <w:lang w:eastAsia="ru-RU" w:bidi="ru-RU"/>
        </w:rPr>
        <w:lastRenderedPageBreak/>
        <w:t xml:space="preserve">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 xml:space="preserve">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w:t>
      </w:r>
      <w:r w:rsidRPr="00BC28D1">
        <w:rPr>
          <w:rFonts w:ascii="Bookman Old Style" w:eastAsia="Lucida Sans Unicode" w:hAnsi="Bookman Old Style" w:cs="Arial"/>
          <w:color w:val="000000"/>
          <w:kern w:val="1"/>
          <w:sz w:val="24"/>
          <w:szCs w:val="24"/>
          <w:lang w:eastAsia="ru-RU" w:bidi="ru-RU"/>
        </w:rPr>
        <w:lastRenderedPageBreak/>
        <w:t>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w:t>
      </w:r>
      <w:r w:rsidRPr="00BC28D1">
        <w:rPr>
          <w:rFonts w:ascii="Bookman Old Style" w:eastAsia="Lucida Sans Unicode" w:hAnsi="Bookman Old Style" w:cs="Arial"/>
          <w:color w:val="000000"/>
          <w:kern w:val="1"/>
          <w:sz w:val="24"/>
          <w:szCs w:val="24"/>
          <w:lang w:eastAsia="ru-RU" w:bidi="ru-RU"/>
        </w:rPr>
        <w:lastRenderedPageBreak/>
        <w:t>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Сокрытие информации об авариях, пожарах, инцидентах, фактах производственного травматизма, потенциально-опасных </w:t>
            </w:r>
            <w:r w:rsidRPr="00BC28D1">
              <w:rPr>
                <w:rFonts w:ascii="Bookman Old Style" w:eastAsia="Lucida Sans Unicode" w:hAnsi="Bookman Old Style" w:cs="Arial"/>
                <w:color w:val="000000"/>
                <w:kern w:val="1"/>
                <w:sz w:val="24"/>
                <w:szCs w:val="24"/>
                <w:lang w:eastAsia="ru-RU" w:bidi="ru-RU"/>
              </w:rPr>
              <w:lastRenderedPageBreak/>
              <w:t>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Правил по охране </w:t>
            </w:r>
            <w:r w:rsidRPr="00BC28D1">
              <w:rPr>
                <w:rFonts w:ascii="Bookman Old Style" w:eastAsia="Lucida Sans Unicode" w:hAnsi="Bookman Old Style" w:cs="Arial"/>
                <w:color w:val="000000"/>
                <w:kern w:val="1"/>
                <w:sz w:val="24"/>
                <w:szCs w:val="24"/>
                <w:lang w:eastAsia="ru-RU" w:bidi="ru-RU"/>
              </w:rPr>
              <w:lastRenderedPageBreak/>
              <w:t>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законодательства РФ или требований Покупателя в области ОТ, ПБ и ООС или транспортной безопасности, повлекшее </w:t>
            </w:r>
            <w:r w:rsidRPr="00BC28D1">
              <w:rPr>
                <w:rFonts w:ascii="Bookman Old Style" w:eastAsia="Lucida Sans Unicode" w:hAnsi="Bookman Old Style" w:cs="Arial"/>
                <w:color w:val="000000"/>
                <w:kern w:val="1"/>
                <w:sz w:val="24"/>
                <w:szCs w:val="24"/>
                <w:lang w:eastAsia="ru-RU" w:bidi="ru-RU"/>
              </w:rPr>
              <w:lastRenderedPageBreak/>
              <w:t>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0E4F18EF"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A25748">
              <w:rPr>
                <w:rFonts w:ascii="Bookman Old Style" w:eastAsia="Lucida Sans Unicode" w:hAnsi="Bookman Old Style" w:cs="Arial"/>
                <w:color w:val="000000"/>
                <w:kern w:val="1"/>
                <w:sz w:val="24"/>
                <w:szCs w:val="24"/>
                <w:lang w:eastAsia="ru-RU" w:bidi="ru-RU"/>
              </w:rPr>
              <w:t>ГАРАНТ-СВ</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806553191">
    <w:abstractNumId w:val="11"/>
  </w:num>
  <w:num w:numId="2" w16cid:durableId="335546348">
    <w:abstractNumId w:val="5"/>
  </w:num>
  <w:num w:numId="3" w16cid:durableId="534537244">
    <w:abstractNumId w:val="7"/>
  </w:num>
  <w:num w:numId="4" w16cid:durableId="1738672448">
    <w:abstractNumId w:val="4"/>
  </w:num>
  <w:num w:numId="5" w16cid:durableId="2123986341">
    <w:abstractNumId w:val="6"/>
  </w:num>
  <w:num w:numId="6" w16cid:durableId="1880509704">
    <w:abstractNumId w:val="2"/>
  </w:num>
  <w:num w:numId="7" w16cid:durableId="1645502005">
    <w:abstractNumId w:val="1"/>
  </w:num>
  <w:num w:numId="8" w16cid:durableId="1712993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77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518727">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42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21834">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298657">
    <w:abstractNumId w:val="10"/>
  </w:num>
  <w:num w:numId="14" w16cid:durableId="104772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824961">
    <w:abstractNumId w:val="0"/>
  </w:num>
  <w:num w:numId="16" w16cid:durableId="1190097014">
    <w:abstractNumId w:val="12"/>
  </w:num>
  <w:num w:numId="17" w16cid:durableId="158992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3987"/>
    <w:rsid w:val="0056606D"/>
    <w:rsid w:val="00594855"/>
    <w:rsid w:val="005B45B0"/>
    <w:rsid w:val="005F5683"/>
    <w:rsid w:val="00644ED5"/>
    <w:rsid w:val="006618ED"/>
    <w:rsid w:val="006B1339"/>
    <w:rsid w:val="006E5486"/>
    <w:rsid w:val="00700277"/>
    <w:rsid w:val="00711C2D"/>
    <w:rsid w:val="00724121"/>
    <w:rsid w:val="00740BCB"/>
    <w:rsid w:val="00757720"/>
    <w:rsid w:val="007707BC"/>
    <w:rsid w:val="00792700"/>
    <w:rsid w:val="007B1F6F"/>
    <w:rsid w:val="007B6986"/>
    <w:rsid w:val="00817CD9"/>
    <w:rsid w:val="008232F9"/>
    <w:rsid w:val="00825C31"/>
    <w:rsid w:val="008271ED"/>
    <w:rsid w:val="00834F39"/>
    <w:rsid w:val="008668CD"/>
    <w:rsid w:val="00885863"/>
    <w:rsid w:val="008C3E02"/>
    <w:rsid w:val="009450A2"/>
    <w:rsid w:val="0095264B"/>
    <w:rsid w:val="00961049"/>
    <w:rsid w:val="00973ED2"/>
    <w:rsid w:val="009A4109"/>
    <w:rsid w:val="009B767F"/>
    <w:rsid w:val="009E17CA"/>
    <w:rsid w:val="009F17C5"/>
    <w:rsid w:val="00A05B2A"/>
    <w:rsid w:val="00A17483"/>
    <w:rsid w:val="00A17E29"/>
    <w:rsid w:val="00A25748"/>
    <w:rsid w:val="00A33D96"/>
    <w:rsid w:val="00A617F0"/>
    <w:rsid w:val="00A61B41"/>
    <w:rsid w:val="00AA7C29"/>
    <w:rsid w:val="00AF257D"/>
    <w:rsid w:val="00AF67E2"/>
    <w:rsid w:val="00B4671B"/>
    <w:rsid w:val="00B63034"/>
    <w:rsid w:val="00B72E81"/>
    <w:rsid w:val="00B754E0"/>
    <w:rsid w:val="00BA435A"/>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1C7F"/>
    <w:rsid w:val="00E2206E"/>
    <w:rsid w:val="00E6135B"/>
    <w:rsid w:val="00E70615"/>
    <w:rsid w:val="00EA312D"/>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9640</Words>
  <Characters>54950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Татьяна Борисова</cp:lastModifiedBy>
  <cp:revision>4</cp:revision>
  <dcterms:created xsi:type="dcterms:W3CDTF">2024-02-14T08:43:00Z</dcterms:created>
  <dcterms:modified xsi:type="dcterms:W3CDTF">2024-03-06T13:45:00Z</dcterms:modified>
</cp:coreProperties>
</file>