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7E" w:rsidRPr="00F525E4" w:rsidRDefault="00AC237E" w:rsidP="00AC237E">
      <w:pPr>
        <w:pStyle w:val="1"/>
        <w:jc w:val="center"/>
        <w:rPr>
          <w:sz w:val="24"/>
          <w:szCs w:val="24"/>
        </w:rPr>
      </w:pPr>
      <w:bookmarkStart w:id="0" w:name="_Toc94864053"/>
      <w:r w:rsidRPr="00F525E4">
        <w:rPr>
          <w:sz w:val="24"/>
          <w:szCs w:val="24"/>
        </w:rPr>
        <w:t>ЧАСТЬ I</w:t>
      </w:r>
      <w:r w:rsidRPr="00F525E4">
        <w:rPr>
          <w:sz w:val="24"/>
          <w:szCs w:val="24"/>
          <w:lang w:val="en-US"/>
        </w:rPr>
        <w:t>V</w:t>
      </w:r>
      <w:r w:rsidRPr="00F525E4">
        <w:rPr>
          <w:sz w:val="24"/>
          <w:szCs w:val="24"/>
        </w:rPr>
        <w:t>. ТЕХНИЧЕСК</w:t>
      </w:r>
      <w:bookmarkEnd w:id="0"/>
      <w:r w:rsidRPr="00F525E4">
        <w:rPr>
          <w:sz w:val="24"/>
          <w:szCs w:val="24"/>
        </w:rPr>
        <w:t>ОЕ ЗАДАНИЕ</w:t>
      </w:r>
    </w:p>
    <w:p w:rsidR="007A287D" w:rsidRDefault="006B3BDD" w:rsidP="006B3BDD">
      <w:pPr>
        <w:tabs>
          <w:tab w:val="left" w:pos="851"/>
        </w:tabs>
        <w:ind w:left="142"/>
        <w:jc w:val="center"/>
        <w:rPr>
          <w:rFonts w:eastAsia="MS Mincho"/>
          <w:b/>
        </w:rPr>
      </w:pPr>
      <w:r w:rsidRPr="00527F3B">
        <w:rPr>
          <w:rFonts w:eastAsia="MS Mincho"/>
          <w:b/>
        </w:rPr>
        <w:t xml:space="preserve"> «</w:t>
      </w:r>
      <w:r w:rsidR="00DA6062" w:rsidRPr="00535C43">
        <w:rPr>
          <w:b/>
        </w:rPr>
        <w:t>Трансформаторное масло ГК</w:t>
      </w:r>
      <w:r w:rsidRPr="00527F3B">
        <w:rPr>
          <w:rFonts w:eastAsia="MS Mincho"/>
          <w:b/>
        </w:rPr>
        <w:t>»</w:t>
      </w:r>
    </w:p>
    <w:tbl>
      <w:tblPr>
        <w:tblStyle w:val="a3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6B3BDD" w:rsidRPr="00371005" w:rsidTr="003A0DE4">
        <w:trPr>
          <w:trHeight w:val="392"/>
        </w:trPr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1.</w:t>
            </w:r>
            <w:r w:rsidR="006B3BDD" w:rsidRPr="00971F07">
              <w:t>Назначение/наименование товаров и цели их использования</w:t>
            </w:r>
          </w:p>
        </w:tc>
      </w:tr>
      <w:tr w:rsidR="006B3BDD" w:rsidRPr="00371005" w:rsidTr="003A0DE4">
        <w:trPr>
          <w:trHeight w:val="412"/>
        </w:trPr>
        <w:tc>
          <w:tcPr>
            <w:tcW w:w="10575" w:type="dxa"/>
            <w:shd w:val="clear" w:color="auto" w:fill="auto"/>
          </w:tcPr>
          <w:p w:rsidR="006B3BDD" w:rsidRPr="00971F07" w:rsidRDefault="00812C7B" w:rsidP="00531A18">
            <w:pPr>
              <w:contextualSpacing/>
            </w:pPr>
            <w:r w:rsidRPr="00971F07">
              <w:t>В</w:t>
            </w:r>
            <w:r w:rsidR="00C55BBF" w:rsidRPr="00971F07">
              <w:t>ыполнени</w:t>
            </w:r>
            <w:r w:rsidRPr="00971F07">
              <w:t>е</w:t>
            </w:r>
            <w:r w:rsidR="00C55BBF" w:rsidRPr="00971F07">
              <w:t xml:space="preserve"> ремонтных</w:t>
            </w:r>
            <w:r w:rsidR="006B3BDD" w:rsidRPr="00971F07">
              <w:t xml:space="preserve"> работ</w:t>
            </w:r>
            <w:r w:rsidR="008B6352" w:rsidRPr="00971F07">
              <w:t xml:space="preserve"> </w:t>
            </w:r>
            <w:r w:rsidRPr="00971F07">
              <w:t>маслонаполненного оборудования, согласно сводному пообъектному плану кап</w:t>
            </w:r>
            <w:r w:rsidR="00507C17" w:rsidRPr="00971F07">
              <w:t>итального ремонта оборудования на объектах</w:t>
            </w:r>
            <w:r w:rsidRPr="00971F07">
              <w:t xml:space="preserve"> ГУП РК «Крымэнерго» </w:t>
            </w:r>
            <w:r w:rsidR="00507C17" w:rsidRPr="00971F07">
              <w:t xml:space="preserve">в </w:t>
            </w:r>
            <w:r w:rsidRPr="00971F07">
              <w:t>202</w:t>
            </w:r>
            <w:r w:rsidR="00531A18" w:rsidRPr="00971F07">
              <w:t>4</w:t>
            </w:r>
            <w:r w:rsidRPr="00971F07">
              <w:t xml:space="preserve"> год</w:t>
            </w:r>
            <w:r w:rsidR="00507C17" w:rsidRPr="00971F07">
              <w:t>у</w:t>
            </w:r>
            <w:r w:rsidRPr="00971F07">
              <w:t>.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2.</w:t>
            </w:r>
            <w:r w:rsidR="006B3BDD" w:rsidRPr="00971F07"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</w:p>
        </w:tc>
      </w:tr>
      <w:tr w:rsidR="006B3BDD" w:rsidRPr="00371005" w:rsidTr="003A0DE4">
        <w:trPr>
          <w:trHeight w:val="3109"/>
        </w:trPr>
        <w:tc>
          <w:tcPr>
            <w:tcW w:w="10575" w:type="dxa"/>
            <w:shd w:val="clear" w:color="auto" w:fill="auto"/>
            <w:vAlign w:val="center"/>
          </w:tcPr>
          <w:tbl>
            <w:tblPr>
              <w:tblStyle w:val="a3"/>
              <w:tblW w:w="10349" w:type="dxa"/>
              <w:jc w:val="center"/>
              <w:tblLook w:val="04A0" w:firstRow="1" w:lastRow="0" w:firstColumn="1" w:lastColumn="0" w:noHBand="0" w:noVBand="1"/>
            </w:tblPr>
            <w:tblGrid>
              <w:gridCol w:w="560"/>
              <w:gridCol w:w="2178"/>
              <w:gridCol w:w="4487"/>
              <w:gridCol w:w="2449"/>
              <w:gridCol w:w="675"/>
            </w:tblGrid>
            <w:tr w:rsidR="008B6352" w:rsidRPr="00EF0D05" w:rsidTr="00CC4F31">
              <w:trPr>
                <w:jc w:val="center"/>
              </w:trPr>
              <w:tc>
                <w:tcPr>
                  <w:tcW w:w="271" w:type="pct"/>
                  <w:vMerge w:val="restart"/>
                </w:tcPr>
                <w:p w:rsidR="008B6352" w:rsidRPr="003A0DE4" w:rsidRDefault="008B6352" w:rsidP="003768F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8B6352" w:rsidRPr="003A0DE4" w:rsidRDefault="008B6352" w:rsidP="003768F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052" w:type="pct"/>
                  <w:vMerge w:val="restart"/>
                </w:tcPr>
                <w:p w:rsidR="008B6352" w:rsidRPr="003A0DE4" w:rsidRDefault="008B6352" w:rsidP="003768F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3351" w:type="pct"/>
                  <w:gridSpan w:val="2"/>
                </w:tcPr>
                <w:p w:rsidR="008B6352" w:rsidRPr="003A0DE4" w:rsidRDefault="003A0DE4" w:rsidP="004B0D4F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Показатели,</w:t>
                  </w:r>
                  <w:r w:rsidR="007A287D" w:rsidRPr="003A0DE4">
                    <w:rPr>
                      <w:b/>
                      <w:sz w:val="20"/>
                      <w:szCs w:val="20"/>
                    </w:rPr>
                    <w:t xml:space="preserve">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326" w:type="pct"/>
                  <w:vMerge w:val="restart"/>
                </w:tcPr>
                <w:p w:rsidR="008B6352" w:rsidRPr="003A0DE4" w:rsidRDefault="008B6352" w:rsidP="004B0D4F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D24136" w:rsidRPr="00EF0D05" w:rsidTr="00CC4F31">
              <w:trPr>
                <w:jc w:val="center"/>
              </w:trPr>
              <w:tc>
                <w:tcPr>
                  <w:tcW w:w="271" w:type="pct"/>
                  <w:vMerge/>
                </w:tcPr>
                <w:p w:rsidR="008B6352" w:rsidRPr="00EF0D05" w:rsidRDefault="008B6352" w:rsidP="00CA1D8F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52" w:type="pct"/>
                  <w:vMerge/>
                </w:tcPr>
                <w:p w:rsidR="008B6352" w:rsidRPr="00EF0D05" w:rsidRDefault="008B6352" w:rsidP="00CA1D8F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8" w:type="pct"/>
                </w:tcPr>
                <w:p w:rsidR="008B6352" w:rsidRPr="003A0DE4" w:rsidRDefault="007A287D" w:rsidP="003A0D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b/>
                      <w:sz w:val="20"/>
                      <w:szCs w:val="20"/>
                    </w:rPr>
                    <w:t>Наименование показателя:</w:t>
                  </w:r>
                </w:p>
              </w:tc>
              <w:tc>
                <w:tcPr>
                  <w:tcW w:w="1183" w:type="pct"/>
                  <w:vAlign w:val="bottom"/>
                </w:tcPr>
                <w:p w:rsidR="008B6352" w:rsidRPr="003A0DE4" w:rsidRDefault="007A287D" w:rsidP="003A0D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DE4">
                    <w:rPr>
                      <w:rStyle w:val="21"/>
                      <w:rFonts w:eastAsia="Calibri"/>
                      <w:b/>
                      <w:sz w:val="20"/>
                      <w:szCs w:val="20"/>
                    </w:rPr>
                    <w:t>Значение показателя</w:t>
                  </w:r>
                </w:p>
              </w:tc>
              <w:tc>
                <w:tcPr>
                  <w:tcW w:w="326" w:type="pct"/>
                  <w:vMerge/>
                </w:tcPr>
                <w:p w:rsidR="008B6352" w:rsidRPr="00EF0D05" w:rsidRDefault="008B6352" w:rsidP="00CA1D8F">
                  <w:pPr>
                    <w:contextualSpacing/>
                    <w:jc w:val="center"/>
                    <w:rPr>
                      <w:b/>
                    </w:rPr>
                  </w:pPr>
                </w:p>
              </w:tc>
            </w:tr>
            <w:tr w:rsidR="00812C7B" w:rsidRPr="00EF0D05" w:rsidTr="00CC4F31">
              <w:trPr>
                <w:trHeight w:val="276"/>
                <w:jc w:val="center"/>
              </w:trPr>
              <w:tc>
                <w:tcPr>
                  <w:tcW w:w="271" w:type="pct"/>
                  <w:vMerge w:val="restart"/>
                  <w:vAlign w:val="center"/>
                </w:tcPr>
                <w:p w:rsidR="00812C7B" w:rsidRPr="00E020BD" w:rsidRDefault="00812C7B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 w:val="restart"/>
                  <w:vAlign w:val="center"/>
                </w:tcPr>
                <w:p w:rsidR="00812C7B" w:rsidRPr="00E020BD" w:rsidRDefault="00812C7B" w:rsidP="0013269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eastAsia="Calibri"/>
                    </w:rPr>
                    <w:t>Трансформаторное масло</w:t>
                  </w:r>
                  <w:r w:rsidRPr="00535C43">
                    <w:rPr>
                      <w:rFonts w:eastAsia="Calibri"/>
                    </w:rPr>
                    <w:t xml:space="preserve"> ГК</w:t>
                  </w:r>
                </w:p>
              </w:tc>
              <w:tc>
                <w:tcPr>
                  <w:tcW w:w="2168" w:type="pct"/>
                  <w:vAlign w:val="center"/>
                </w:tcPr>
                <w:p w:rsidR="00812C7B" w:rsidRPr="00812C7B" w:rsidRDefault="00812C7B" w:rsidP="00812C7B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</w:rPr>
                  </w:pPr>
                  <w:r w:rsidRPr="00812C7B">
                    <w:rPr>
                      <w:rFonts w:eastAsia="MS Mincho"/>
                      <w:color w:val="000000"/>
                    </w:rPr>
                    <w:t>Плотность при 20 °C, кг/м3</w:t>
                  </w:r>
                </w:p>
              </w:tc>
              <w:tc>
                <w:tcPr>
                  <w:tcW w:w="1183" w:type="pct"/>
                  <w:vAlign w:val="center"/>
                </w:tcPr>
                <w:p w:rsidR="00812C7B" w:rsidRPr="00812C7B" w:rsidRDefault="00812C7B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  <w:r w:rsidRPr="00812C7B">
                    <w:rPr>
                      <w:rFonts w:eastAsia="MS Mincho"/>
                    </w:rPr>
                    <w:t>не более 895</w:t>
                  </w:r>
                </w:p>
              </w:tc>
              <w:tc>
                <w:tcPr>
                  <w:tcW w:w="326" w:type="pct"/>
                  <w:vMerge w:val="restart"/>
                  <w:vAlign w:val="center"/>
                </w:tcPr>
                <w:p w:rsidR="00812C7B" w:rsidRPr="00EF0D05" w:rsidRDefault="007A287D" w:rsidP="00DA6062">
                  <w:pPr>
                    <w:contextualSpacing/>
                    <w:jc w:val="both"/>
                  </w:pPr>
                  <w:r>
                    <w:t>т</w:t>
                  </w:r>
                </w:p>
              </w:tc>
            </w:tr>
            <w:tr w:rsidR="004909ED" w:rsidRPr="00EF0D05" w:rsidTr="00CC4F31">
              <w:trPr>
                <w:trHeight w:val="397"/>
                <w:jc w:val="center"/>
              </w:trPr>
              <w:tc>
                <w:tcPr>
                  <w:tcW w:w="271" w:type="pct"/>
                  <w:vMerge/>
                  <w:vAlign w:val="center"/>
                </w:tcPr>
                <w:p w:rsidR="004909ED" w:rsidRPr="00E020BD" w:rsidRDefault="004909ED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/>
                  <w:vAlign w:val="center"/>
                </w:tcPr>
                <w:p w:rsidR="004909ED" w:rsidRPr="00E020BD" w:rsidRDefault="004909ED" w:rsidP="00DA6062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168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color w:val="000000"/>
                    </w:rPr>
                  </w:pPr>
                  <w:r w:rsidRPr="00812C7B">
                    <w:rPr>
                      <w:rFonts w:eastAsia="MS Mincho"/>
                      <w:color w:val="000000"/>
                    </w:rPr>
                    <w:t>Температура вспышки, определяемая в закрытом тигле, °C</w:t>
                  </w:r>
                </w:p>
              </w:tc>
              <w:tc>
                <w:tcPr>
                  <w:tcW w:w="1183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</w:rPr>
                  </w:pPr>
                  <w:r w:rsidRPr="00812C7B">
                    <w:rPr>
                      <w:rFonts w:eastAsia="MS Mincho"/>
                    </w:rPr>
                    <w:t>не ниже 135</w:t>
                  </w:r>
                </w:p>
              </w:tc>
              <w:tc>
                <w:tcPr>
                  <w:tcW w:w="326" w:type="pct"/>
                  <w:vMerge/>
                  <w:vAlign w:val="center"/>
                </w:tcPr>
                <w:p w:rsidR="004909ED" w:rsidRPr="00EF0D05" w:rsidRDefault="004909ED" w:rsidP="00DA6062">
                  <w:pPr>
                    <w:contextualSpacing/>
                    <w:jc w:val="both"/>
                  </w:pPr>
                </w:p>
              </w:tc>
            </w:tr>
            <w:tr w:rsidR="004909ED" w:rsidRPr="00EF0D05" w:rsidTr="00CC4F31">
              <w:trPr>
                <w:trHeight w:val="397"/>
                <w:jc w:val="center"/>
              </w:trPr>
              <w:tc>
                <w:tcPr>
                  <w:tcW w:w="271" w:type="pct"/>
                  <w:vMerge/>
                  <w:vAlign w:val="center"/>
                </w:tcPr>
                <w:p w:rsidR="004909ED" w:rsidRPr="00E020BD" w:rsidRDefault="004909ED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/>
                  <w:vAlign w:val="center"/>
                </w:tcPr>
                <w:p w:rsidR="004909ED" w:rsidRPr="00E020BD" w:rsidRDefault="004909ED" w:rsidP="00DA6062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168" w:type="pct"/>
                  <w:vAlign w:val="center"/>
                </w:tcPr>
                <w:p w:rsidR="004909ED" w:rsidRPr="00812C7B" w:rsidRDefault="004909ED" w:rsidP="00537DD4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</w:rPr>
                    <w:t xml:space="preserve">Кислотное число, мг КОН/г </w:t>
                  </w:r>
                </w:p>
              </w:tc>
              <w:tc>
                <w:tcPr>
                  <w:tcW w:w="1183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</w:rPr>
                  </w:pPr>
                  <w:r w:rsidRPr="00812C7B">
                    <w:rPr>
                      <w:rFonts w:eastAsia="MS Mincho"/>
                      <w:bCs/>
                    </w:rPr>
                    <w:t>не более 0,01</w:t>
                  </w:r>
                </w:p>
              </w:tc>
              <w:tc>
                <w:tcPr>
                  <w:tcW w:w="326" w:type="pct"/>
                  <w:vMerge/>
                  <w:vAlign w:val="center"/>
                </w:tcPr>
                <w:p w:rsidR="004909ED" w:rsidRPr="00EF0D05" w:rsidRDefault="004909ED" w:rsidP="00DA6062">
                  <w:pPr>
                    <w:contextualSpacing/>
                    <w:jc w:val="both"/>
                  </w:pPr>
                </w:p>
              </w:tc>
            </w:tr>
            <w:tr w:rsidR="004909ED" w:rsidRPr="00EF0D05" w:rsidTr="00CC4F31">
              <w:trPr>
                <w:trHeight w:val="397"/>
                <w:jc w:val="center"/>
              </w:trPr>
              <w:tc>
                <w:tcPr>
                  <w:tcW w:w="271" w:type="pct"/>
                  <w:vMerge/>
                  <w:vAlign w:val="center"/>
                </w:tcPr>
                <w:p w:rsidR="004909ED" w:rsidRPr="00E020BD" w:rsidRDefault="004909ED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/>
                  <w:vAlign w:val="center"/>
                </w:tcPr>
                <w:p w:rsidR="004909ED" w:rsidRPr="00E020BD" w:rsidRDefault="004909ED" w:rsidP="00DA6062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168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>Тангенс угла диэлектрических потерь при 90°С, %</w:t>
                  </w:r>
                </w:p>
              </w:tc>
              <w:tc>
                <w:tcPr>
                  <w:tcW w:w="1183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lang w:bidi="ru-RU"/>
                    </w:rPr>
                    <w:t>не более 0,5</w:t>
                  </w:r>
                </w:p>
              </w:tc>
              <w:tc>
                <w:tcPr>
                  <w:tcW w:w="326" w:type="pct"/>
                  <w:vMerge/>
                  <w:vAlign w:val="center"/>
                </w:tcPr>
                <w:p w:rsidR="004909ED" w:rsidRPr="00EF0D05" w:rsidRDefault="004909ED" w:rsidP="00DA6062">
                  <w:pPr>
                    <w:contextualSpacing/>
                    <w:jc w:val="both"/>
                  </w:pPr>
                </w:p>
              </w:tc>
            </w:tr>
            <w:tr w:rsidR="004909ED" w:rsidRPr="00EF0D05" w:rsidTr="00CC4F31">
              <w:trPr>
                <w:trHeight w:val="397"/>
                <w:jc w:val="center"/>
              </w:trPr>
              <w:tc>
                <w:tcPr>
                  <w:tcW w:w="271" w:type="pct"/>
                  <w:vMerge/>
                  <w:vAlign w:val="center"/>
                </w:tcPr>
                <w:p w:rsidR="004909ED" w:rsidRPr="00E020BD" w:rsidRDefault="004909ED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/>
                  <w:vAlign w:val="center"/>
                </w:tcPr>
                <w:p w:rsidR="004909ED" w:rsidRPr="0021292A" w:rsidRDefault="004909ED" w:rsidP="00DA6062">
                  <w:pPr>
                    <w:jc w:val="both"/>
                  </w:pPr>
                </w:p>
              </w:tc>
              <w:tc>
                <w:tcPr>
                  <w:tcW w:w="2168" w:type="pct"/>
                  <w:vAlign w:val="center"/>
                </w:tcPr>
                <w:p w:rsidR="004909ED" w:rsidRPr="00812C7B" w:rsidRDefault="00812C7B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>Стабильность против окисления:</w:t>
                  </w:r>
                </w:p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 xml:space="preserve">- масса летучих низкомолекулярных кислот, мг КОН/г </w:t>
                  </w:r>
                </w:p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>- массовая доля осадка, %</w:t>
                  </w:r>
                </w:p>
                <w:p w:rsidR="004909ED" w:rsidRPr="00812C7B" w:rsidRDefault="004909ED" w:rsidP="00537DD4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 xml:space="preserve">- кислотное число окисленного масла, мг КОН/г </w:t>
                  </w:r>
                </w:p>
              </w:tc>
              <w:tc>
                <w:tcPr>
                  <w:tcW w:w="1183" w:type="pct"/>
                  <w:vAlign w:val="center"/>
                </w:tcPr>
                <w:p w:rsidR="00812C7B" w:rsidRPr="00812C7B" w:rsidRDefault="00812C7B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</w:p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lang w:bidi="ru-RU"/>
                    </w:rPr>
                    <w:t>не более 0,04</w:t>
                  </w:r>
                </w:p>
                <w:p w:rsidR="00812C7B" w:rsidRPr="00812C7B" w:rsidRDefault="00812C7B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</w:p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lang w:bidi="ru-RU"/>
                    </w:rPr>
                    <w:t>не более 0,015</w:t>
                  </w:r>
                </w:p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lang w:bidi="ru-RU"/>
                    </w:rPr>
                  </w:pPr>
                  <w:r w:rsidRPr="00812C7B">
                    <w:rPr>
                      <w:rFonts w:eastAsia="MS Mincho"/>
                      <w:bCs/>
                      <w:lang w:bidi="ru-RU"/>
                    </w:rPr>
                    <w:t>не более 0,1</w:t>
                  </w:r>
                </w:p>
              </w:tc>
              <w:tc>
                <w:tcPr>
                  <w:tcW w:w="326" w:type="pct"/>
                  <w:vMerge/>
                  <w:vAlign w:val="center"/>
                </w:tcPr>
                <w:p w:rsidR="004909ED" w:rsidRPr="00EF0D05" w:rsidRDefault="004909ED" w:rsidP="00DA6062">
                  <w:pPr>
                    <w:contextualSpacing/>
                    <w:jc w:val="both"/>
                  </w:pPr>
                </w:p>
              </w:tc>
            </w:tr>
            <w:tr w:rsidR="004909ED" w:rsidRPr="00EF0D05" w:rsidTr="00CC4F31">
              <w:trPr>
                <w:trHeight w:val="397"/>
                <w:jc w:val="center"/>
              </w:trPr>
              <w:tc>
                <w:tcPr>
                  <w:tcW w:w="271" w:type="pct"/>
                  <w:vMerge/>
                  <w:vAlign w:val="center"/>
                </w:tcPr>
                <w:p w:rsidR="004909ED" w:rsidRPr="00E020BD" w:rsidRDefault="004909ED" w:rsidP="00DA6062">
                  <w:pPr>
                    <w:pStyle w:val="a4"/>
                    <w:numPr>
                      <w:ilvl w:val="0"/>
                      <w:numId w:val="3"/>
                    </w:numPr>
                    <w:ind w:left="58" w:firstLine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52" w:type="pct"/>
                  <w:vMerge/>
                  <w:vAlign w:val="center"/>
                </w:tcPr>
                <w:p w:rsidR="004909ED" w:rsidRPr="0021292A" w:rsidRDefault="004909ED" w:rsidP="00DA6062">
                  <w:pPr>
                    <w:jc w:val="both"/>
                  </w:pPr>
                </w:p>
              </w:tc>
              <w:tc>
                <w:tcPr>
                  <w:tcW w:w="2168" w:type="pct"/>
                  <w:vAlign w:val="center"/>
                </w:tcPr>
                <w:p w:rsidR="004909ED" w:rsidRPr="00812C7B" w:rsidRDefault="004909ED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  <w:bCs/>
                      <w:color w:val="000000"/>
                    </w:rPr>
                  </w:pPr>
                  <w:r w:rsidRPr="00812C7B">
                    <w:rPr>
                      <w:rFonts w:eastAsia="MS Mincho"/>
                      <w:bCs/>
                      <w:color w:val="000000"/>
                    </w:rPr>
                    <w:t>Вн</w:t>
                  </w:r>
                  <w:r w:rsidRPr="00812C7B">
                    <w:rPr>
                      <w:rFonts w:eastAsia="MS Mincho"/>
                      <w:bCs/>
                      <w:color w:val="000000"/>
                      <w:lang w:bidi="ru-RU"/>
                    </w:rPr>
                    <w:t>е</w:t>
                  </w:r>
                  <w:r w:rsidRPr="00812C7B">
                    <w:rPr>
                      <w:rFonts w:eastAsia="MS Mincho"/>
                      <w:bCs/>
                      <w:color w:val="000000"/>
                    </w:rPr>
                    <w:t>шний вид:</w:t>
                  </w:r>
                  <w:r w:rsidR="007A287D" w:rsidRPr="00812C7B">
                    <w:rPr>
                      <w:rFonts w:eastAsia="MS Mincho"/>
                      <w:bCs/>
                    </w:rPr>
                    <w:t xml:space="preserve"> прозрачное, свободное от видимых загрязнений, воды, частиц, волокон</w:t>
                  </w:r>
                </w:p>
              </w:tc>
              <w:tc>
                <w:tcPr>
                  <w:tcW w:w="1183" w:type="pct"/>
                  <w:vAlign w:val="center"/>
                </w:tcPr>
                <w:p w:rsidR="004909ED" w:rsidRPr="00812C7B" w:rsidRDefault="00536FF2" w:rsidP="00DA6062">
                  <w:pPr>
                    <w:widowControl w:val="0"/>
                    <w:tabs>
                      <w:tab w:val="left" w:pos="360"/>
                      <w:tab w:val="left" w:pos="426"/>
                      <w:tab w:val="left" w:pos="1440"/>
                    </w:tabs>
                    <w:autoSpaceDE w:val="0"/>
                    <w:snapToGrid w:val="0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Соответствие</w:t>
                  </w:r>
                </w:p>
              </w:tc>
              <w:tc>
                <w:tcPr>
                  <w:tcW w:w="326" w:type="pct"/>
                  <w:vMerge/>
                  <w:vAlign w:val="center"/>
                </w:tcPr>
                <w:p w:rsidR="004909ED" w:rsidRPr="00EF0D05" w:rsidRDefault="004909ED" w:rsidP="00DA6062">
                  <w:pPr>
                    <w:contextualSpacing/>
                    <w:jc w:val="both"/>
                  </w:pPr>
                </w:p>
              </w:tc>
            </w:tr>
          </w:tbl>
          <w:p w:rsidR="006B3BDD" w:rsidRPr="00371005" w:rsidRDefault="006B3BDD" w:rsidP="004B0D4F">
            <w:pPr>
              <w:contextualSpacing/>
            </w:pPr>
          </w:p>
        </w:tc>
      </w:tr>
      <w:tr w:rsidR="006B3BDD" w:rsidRPr="00371005" w:rsidTr="003A0DE4">
        <w:trPr>
          <w:trHeight w:val="531"/>
        </w:trPr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3.</w:t>
            </w:r>
            <w:r w:rsidR="006B3BDD" w:rsidRPr="00971F07"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6B3BDD" w:rsidRPr="00371005" w:rsidTr="003A0DE4">
        <w:trPr>
          <w:trHeight w:val="335"/>
        </w:trPr>
        <w:tc>
          <w:tcPr>
            <w:tcW w:w="10575" w:type="dxa"/>
            <w:shd w:val="clear" w:color="auto" w:fill="auto"/>
          </w:tcPr>
          <w:p w:rsidR="00132690" w:rsidRPr="00971F07" w:rsidRDefault="00132690" w:rsidP="00132690">
            <w:pPr>
              <w:contextualSpacing/>
              <w:jc w:val="both"/>
            </w:pPr>
            <w:r w:rsidRPr="00971F07">
              <w:t xml:space="preserve">Поставляемый товар должен быть новым (ранее не находившимся в использовании у Поставщика или третьих лиц), не были восстановлены потребительские свойства. </w:t>
            </w:r>
          </w:p>
          <w:p w:rsidR="00507C17" w:rsidRPr="00971F07" w:rsidRDefault="004804D8" w:rsidP="00132690">
            <w:pPr>
              <w:contextualSpacing/>
              <w:jc w:val="both"/>
            </w:pPr>
            <w:r w:rsidRPr="00971F07">
              <w:t xml:space="preserve">Дата производства: не ранее </w:t>
            </w:r>
            <w:r w:rsidR="00132690" w:rsidRPr="00971F07">
              <w:t>I</w:t>
            </w:r>
            <w:r w:rsidR="00132690" w:rsidRPr="00971F07">
              <w:rPr>
                <w:lang w:val="en-US"/>
              </w:rPr>
              <w:t>V</w:t>
            </w:r>
            <w:r w:rsidR="007A287D" w:rsidRPr="00971F07">
              <w:t xml:space="preserve"> квартала 202</w:t>
            </w:r>
            <w:r w:rsidR="00531A18" w:rsidRPr="00971F07">
              <w:t>3</w:t>
            </w:r>
            <w:r w:rsidR="007A287D" w:rsidRPr="00971F07">
              <w:t xml:space="preserve"> года.</w:t>
            </w:r>
          </w:p>
        </w:tc>
      </w:tr>
      <w:tr w:rsidR="006B3BDD" w:rsidRPr="00371005" w:rsidTr="003A0DE4">
        <w:trPr>
          <w:trHeight w:val="618"/>
        </w:trPr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4.</w:t>
            </w:r>
            <w:r w:rsidR="006B3BDD" w:rsidRPr="00971F07">
              <w:t>Требование о соответствии закупаемого товара образцу, макету товара или изображению товара в трехмерном измерении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4B0D4F" w:rsidP="00402A4E">
            <w:pPr>
              <w:ind w:firstLine="171"/>
              <w:contextualSpacing/>
              <w:jc w:val="both"/>
            </w:pPr>
            <w:r w:rsidRPr="00971F07">
              <w:t xml:space="preserve">Не предъявляется </w:t>
            </w:r>
          </w:p>
        </w:tc>
      </w:tr>
      <w:tr w:rsidR="006B3BDD" w:rsidRPr="00371005" w:rsidTr="003A0DE4">
        <w:trPr>
          <w:trHeight w:val="401"/>
        </w:trPr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5.</w:t>
            </w:r>
            <w:r w:rsidR="006B3BDD" w:rsidRPr="00971F07"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507C17" w:rsidP="007A287D">
            <w:pPr>
              <w:contextualSpacing/>
              <w:jc w:val="both"/>
            </w:pPr>
            <w:r w:rsidRPr="00971F07">
              <w:t xml:space="preserve">Совместимость по свойствам с трансформаторными маслами марки Т-1500, Т-1500У, </w:t>
            </w:r>
            <w:proofErr w:type="spellStart"/>
            <w:r w:rsidRPr="00971F07">
              <w:t>Nytro</w:t>
            </w:r>
            <w:proofErr w:type="spellEnd"/>
            <w:r w:rsidRPr="00971F07">
              <w:t xml:space="preserve"> 11GX, ГК без специальной обработки в любых пропорциях, без ухудшения свойств смеси в сравнении с показателями каждого из смешиваемых масел.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6.</w:t>
            </w:r>
            <w:r w:rsidR="006B3BDD" w:rsidRPr="00971F07">
              <w:t>Требования к размерам, упаковке, отгрузке товаров</w:t>
            </w:r>
          </w:p>
        </w:tc>
      </w:tr>
      <w:tr w:rsidR="006B3BDD" w:rsidRPr="00371005" w:rsidTr="003A0DE4">
        <w:trPr>
          <w:trHeight w:val="276"/>
        </w:trPr>
        <w:tc>
          <w:tcPr>
            <w:tcW w:w="10575" w:type="dxa"/>
            <w:shd w:val="clear" w:color="auto" w:fill="auto"/>
          </w:tcPr>
          <w:p w:rsidR="00507C17" w:rsidRPr="00971F07" w:rsidRDefault="007A287D" w:rsidP="007A287D">
            <w:pPr>
              <w:contextualSpacing/>
              <w:jc w:val="both"/>
            </w:pPr>
            <w:r w:rsidRPr="00971F07">
              <w:t>Товар должен иметь упаковку, с указанием на ней производителя товара, позволяющую сохранять все его качества во время транспортировки и хранения. За повреждения Товара при поставке,</w:t>
            </w:r>
            <w:r w:rsidR="0007255D" w:rsidRPr="00971F07">
              <w:t xml:space="preserve"> разгрузке</w:t>
            </w:r>
            <w:r w:rsidRPr="00971F07">
              <w:t xml:space="preserve"> которые являются следствием ненадлежащей упаковки, ответственность несет Поставщик. </w:t>
            </w:r>
            <w:r w:rsidR="00507C17" w:rsidRPr="00971F07">
              <w:t>Поставка</w:t>
            </w:r>
            <w:r w:rsidRPr="00971F07">
              <w:t xml:space="preserve"> осуществляется в металлических</w:t>
            </w:r>
            <w:r w:rsidR="00507C17" w:rsidRPr="00971F07">
              <w:t xml:space="preserve"> бочка</w:t>
            </w:r>
            <w:r w:rsidRPr="00971F07">
              <w:t>х</w:t>
            </w:r>
            <w:r w:rsidR="00C55BE5" w:rsidRPr="00971F07">
              <w:t xml:space="preserve">. Вес нетто должен составлять </w:t>
            </w:r>
            <w:r w:rsidR="00507C17" w:rsidRPr="00971F07">
              <w:t xml:space="preserve">170-200 кг. </w:t>
            </w:r>
            <w:r w:rsidRPr="00971F07">
              <w:t xml:space="preserve">Остаток не </w:t>
            </w:r>
            <w:r w:rsidR="00C55BE5" w:rsidRPr="00971F07">
              <w:t>кратный</w:t>
            </w:r>
            <w:r w:rsidRPr="00971F07">
              <w:t xml:space="preserve"> фасовке поставляется в </w:t>
            </w:r>
            <w:r w:rsidR="00C55BE5" w:rsidRPr="00971F07">
              <w:t>отдельной</w:t>
            </w:r>
            <w:r w:rsidRPr="00971F07">
              <w:t xml:space="preserve"> </w:t>
            </w:r>
            <w:r w:rsidR="00C55BE5" w:rsidRPr="00971F07">
              <w:t>металлической</w:t>
            </w:r>
            <w:r w:rsidRPr="00971F07">
              <w:t xml:space="preserve"> бочке. 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7.</w:t>
            </w:r>
            <w:r w:rsidR="006B3BDD" w:rsidRPr="00971F07">
              <w:t>Требования к обслуживанию товара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CA109E" w:rsidP="00402A4E">
            <w:pPr>
              <w:ind w:firstLine="313"/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8.</w:t>
            </w:r>
            <w:r w:rsidR="006B3BDD" w:rsidRPr="00971F07">
              <w:t>Требования к расходам на эксплуатацию товара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CA109E" w:rsidP="00402A4E">
            <w:pPr>
              <w:ind w:firstLine="313"/>
              <w:contextualSpacing/>
            </w:pPr>
            <w:r w:rsidRPr="00971F07">
              <w:t>Не предъявляется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9.</w:t>
            </w:r>
            <w:r w:rsidR="006B3BDD" w:rsidRPr="00971F07">
              <w:t>Требования к остаточному сроку годности, сроку хранения, гарантии качества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132690" w:rsidP="00132690">
            <w:pPr>
              <w:contextualSpacing/>
              <w:jc w:val="both"/>
            </w:pPr>
            <w:r w:rsidRPr="00971F07">
              <w:t>Поставляемый товар должен быть изготовлен не ранее четвертого квартала 2023 года.</w:t>
            </w:r>
            <w:r w:rsidR="00537DD4" w:rsidRPr="00971F07">
              <w:t xml:space="preserve"> Гарантийный срок хранения составляет не менее 60 месяцев с даты производства товара, но не менее срока хранения производителя. Остаточный срок хранения на момент поставки должен составлять не менее 48 месяцев.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10.</w:t>
            </w:r>
            <w:r w:rsidR="006B3BDD" w:rsidRPr="00971F07">
              <w:t xml:space="preserve">Требования к проведению гос. </w:t>
            </w:r>
            <w:r w:rsidR="00930E8A" w:rsidRPr="00971F07">
              <w:t>п</w:t>
            </w:r>
            <w:r w:rsidR="006B3BDD" w:rsidRPr="00971F07">
              <w:t>оверки средств измерений (в том числе входящих в состав товара)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3939DE" w:rsidP="0007255D">
            <w:pPr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07255D">
            <w:pPr>
              <w:contextualSpacing/>
              <w:jc w:val="both"/>
            </w:pPr>
            <w:r w:rsidRPr="00971F07">
              <w:t>11.</w:t>
            </w:r>
            <w:r w:rsidR="006B3BDD" w:rsidRPr="00971F07">
              <w:t>Требования к качеству, безопасности</w:t>
            </w:r>
          </w:p>
        </w:tc>
      </w:tr>
      <w:tr w:rsidR="006B3BDD" w:rsidRPr="00371005" w:rsidTr="003A0DE4">
        <w:trPr>
          <w:trHeight w:val="392"/>
        </w:trPr>
        <w:tc>
          <w:tcPr>
            <w:tcW w:w="10575" w:type="dxa"/>
            <w:shd w:val="clear" w:color="auto" w:fill="auto"/>
          </w:tcPr>
          <w:p w:rsidR="00132690" w:rsidRPr="00971F07" w:rsidRDefault="00132690" w:rsidP="00132690">
            <w:pPr>
              <w:contextualSpacing/>
              <w:jc w:val="both"/>
            </w:pPr>
            <w:r w:rsidRPr="00971F07">
              <w:t>Качество товара удостоверяется соответствующими документами: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Паспорт;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Протокол испытаний;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Декларация либо сертификат соответствия;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 xml:space="preserve">- Документ, подтверждающий предоставление гарантии Поставщика на товар (гарантийный талон, паспорт, или иной документ), с датой производства товара, ссылками на стандартны и нормативные документы. 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12.</w:t>
            </w:r>
            <w:r w:rsidR="00CE0480" w:rsidRPr="00971F07">
              <w:t>Требования к гарантийному и послегарантийному обслуживанию (срок, место)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537DD4" w:rsidP="00132690">
            <w:pPr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13.</w:t>
            </w:r>
            <w:r w:rsidR="00CE0480" w:rsidRPr="00971F07">
              <w:t>Требования по объему гарантий качества услуг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auto"/>
          </w:tcPr>
          <w:p w:rsidR="006B3BDD" w:rsidRPr="00971F07" w:rsidRDefault="00132690" w:rsidP="00CC4F31">
            <w:pPr>
              <w:contextualSpacing/>
              <w:jc w:val="both"/>
            </w:pPr>
            <w:r w:rsidRPr="00971F07">
              <w:rPr>
                <w:rFonts w:ascii="Times New Roman CYR" w:hAnsi="Times New Roman CYR" w:cs="Times New Roman CYR"/>
                <w:color w:val="000000"/>
              </w:rPr>
              <w:t>Заказчик в случае выявления дефектов, возникших в течение гарантийного срока, направляет извещение о необходимости замены товара ненадлежащего качества. Товар ненадлежащего качества должен быть заменен Поставщиком за его счет на новый товар в течение двадцати календарных дней со дня предъявления письменного извещения.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4B0D4F">
            <w:pPr>
              <w:contextualSpacing/>
            </w:pPr>
            <w:r w:rsidRPr="00971F07">
              <w:t>14.</w:t>
            </w:r>
            <w:r w:rsidR="00CE0480" w:rsidRPr="00971F07">
              <w:t>Требования по передаче заказчику с товаром технических или иных документов</w:t>
            </w:r>
          </w:p>
        </w:tc>
      </w:tr>
      <w:tr w:rsidR="00CE0480" w:rsidRPr="00371005" w:rsidTr="003A0DE4">
        <w:trPr>
          <w:trHeight w:val="691"/>
        </w:trPr>
        <w:tc>
          <w:tcPr>
            <w:tcW w:w="10575" w:type="dxa"/>
            <w:shd w:val="clear" w:color="auto" w:fill="auto"/>
          </w:tcPr>
          <w:p w:rsidR="00132690" w:rsidRPr="00971F07" w:rsidRDefault="00132690" w:rsidP="00132690">
            <w:pPr>
              <w:contextualSpacing/>
            </w:pPr>
            <w:r w:rsidRPr="00971F07">
              <w:t xml:space="preserve">Поставщик обязан одновременно с Товаром передать Заказчику документы по качеству и документы, которые подлежат передаче вместе с товаром: 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Паспорт;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Протокол испытаний;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Декларация либо сертификат соответствия;</w:t>
            </w:r>
          </w:p>
          <w:p w:rsidR="00CE0480" w:rsidRPr="00971F07" w:rsidRDefault="00132690" w:rsidP="00132690">
            <w:pPr>
              <w:contextualSpacing/>
            </w:pPr>
            <w:r w:rsidRPr="00971F07">
              <w:t>- Документ, подтверждающий предоставление гарантии Поставщика на товар (гарантийный талон, паспорт, или иной документ), с датой производства товара, ссылками на стандартны и нормативные документы.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CE0480" w:rsidRPr="00971F07" w:rsidRDefault="00AC237E" w:rsidP="004B0D4F">
            <w:pPr>
              <w:contextualSpacing/>
            </w:pPr>
            <w:r w:rsidRPr="00971F07">
              <w:t>15.</w:t>
            </w:r>
            <w:r w:rsidR="00CE0480" w:rsidRPr="00971F07">
              <w:t>Требования по сопутствующему монтажу поставленного оборудования, пусконаладочным или иным работам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auto"/>
          </w:tcPr>
          <w:p w:rsidR="00CE0480" w:rsidRPr="00971F07" w:rsidRDefault="006B4EDC" w:rsidP="00402A4E">
            <w:pPr>
              <w:ind w:firstLine="313"/>
              <w:contextualSpacing/>
            </w:pPr>
            <w:r w:rsidRPr="00971F07">
              <w:t>Не предъявляется</w:t>
            </w:r>
          </w:p>
        </w:tc>
      </w:tr>
      <w:tr w:rsidR="006B3BDD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6B3BDD" w:rsidRPr="00971F07" w:rsidRDefault="00AC237E" w:rsidP="006B4EDC">
            <w:pPr>
              <w:contextualSpacing/>
              <w:jc w:val="both"/>
            </w:pPr>
            <w:r w:rsidRPr="00971F07">
              <w:t>16.</w:t>
            </w:r>
            <w:r w:rsidR="00CE0480" w:rsidRPr="00971F07">
              <w:t>Требования по техническому обучению персонала заказчика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auto"/>
          </w:tcPr>
          <w:p w:rsidR="00CE0480" w:rsidRPr="00971F07" w:rsidRDefault="006B4EDC" w:rsidP="00402A4E">
            <w:pPr>
              <w:ind w:firstLine="313"/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CE0480" w:rsidRPr="00971F07" w:rsidRDefault="00AC237E" w:rsidP="006B4EDC">
            <w:pPr>
              <w:contextualSpacing/>
              <w:jc w:val="both"/>
            </w:pPr>
            <w:r w:rsidRPr="00971F07">
              <w:t>17.</w:t>
            </w:r>
            <w:r w:rsidR="00CE0480" w:rsidRPr="00971F07"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auto"/>
          </w:tcPr>
          <w:p w:rsidR="00CE0480" w:rsidRPr="00971F07" w:rsidRDefault="00CC4F31" w:rsidP="00402A4E">
            <w:pPr>
              <w:ind w:firstLine="313"/>
              <w:contextualSpacing/>
              <w:jc w:val="both"/>
            </w:pPr>
            <w:r w:rsidRPr="00971F07">
              <w:t>Доставка Товара осуществляется транспортом Поставщика и за его счет.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CE0480" w:rsidRPr="00971F07" w:rsidRDefault="00AC237E" w:rsidP="006B4EDC">
            <w:pPr>
              <w:contextualSpacing/>
              <w:jc w:val="both"/>
            </w:pPr>
            <w:r w:rsidRPr="00971F07">
              <w:t>18.</w:t>
            </w:r>
            <w:r w:rsidR="005B4B13" w:rsidRPr="00971F07"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auto"/>
          </w:tcPr>
          <w:p w:rsidR="00CE0480" w:rsidRPr="00971F07" w:rsidRDefault="006B4EDC" w:rsidP="00402A4E">
            <w:pPr>
              <w:ind w:firstLine="313"/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CE0480" w:rsidRPr="00971F07" w:rsidRDefault="00AC237E" w:rsidP="006B4EDC">
            <w:pPr>
              <w:contextualSpacing/>
              <w:jc w:val="both"/>
            </w:pPr>
            <w:r w:rsidRPr="00971F07">
              <w:t>19.</w:t>
            </w:r>
            <w:r w:rsidR="005B4B13" w:rsidRPr="00971F07">
              <w:t xml:space="preserve"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</w:t>
            </w:r>
            <w:r w:rsidR="00751F09" w:rsidRPr="00971F07">
              <w:t>требования</w:t>
            </w:r>
            <w:r w:rsidR="005B4B13" w:rsidRPr="00971F07">
              <w:t>)</w:t>
            </w:r>
          </w:p>
        </w:tc>
      </w:tr>
      <w:tr w:rsidR="005B4B13" w:rsidRPr="00371005" w:rsidTr="003A0DE4">
        <w:tc>
          <w:tcPr>
            <w:tcW w:w="10575" w:type="dxa"/>
            <w:shd w:val="clear" w:color="auto" w:fill="auto"/>
          </w:tcPr>
          <w:p w:rsidR="005B4B13" w:rsidRPr="00971F07" w:rsidRDefault="006B4EDC" w:rsidP="00705AA8">
            <w:pPr>
              <w:contextualSpacing/>
              <w:jc w:val="both"/>
            </w:pPr>
            <w:r w:rsidRPr="00971F07">
              <w:t>Не предъявляется</w:t>
            </w:r>
          </w:p>
        </w:tc>
      </w:tr>
      <w:tr w:rsidR="005B4B13" w:rsidRPr="00371005" w:rsidTr="003A0DE4">
        <w:trPr>
          <w:trHeight w:val="1423"/>
        </w:trPr>
        <w:tc>
          <w:tcPr>
            <w:tcW w:w="10575" w:type="dxa"/>
            <w:shd w:val="clear" w:color="auto" w:fill="D9D9D9" w:themeFill="background1" w:themeFillShade="D9"/>
          </w:tcPr>
          <w:p w:rsidR="005B4B13" w:rsidRPr="00971F07" w:rsidRDefault="00AC237E" w:rsidP="006B4EDC">
            <w:pPr>
              <w:contextualSpacing/>
              <w:jc w:val="both"/>
            </w:pPr>
            <w:r w:rsidRPr="00971F07">
              <w:t>20.</w:t>
            </w:r>
            <w:r w:rsidR="005B4B13" w:rsidRPr="00971F07"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5B4B13" w:rsidRPr="00371005" w:rsidTr="003A0DE4">
        <w:trPr>
          <w:trHeight w:val="1126"/>
        </w:trPr>
        <w:tc>
          <w:tcPr>
            <w:tcW w:w="10575" w:type="dxa"/>
            <w:shd w:val="clear" w:color="auto" w:fill="auto"/>
          </w:tcPr>
          <w:p w:rsidR="00132690" w:rsidRPr="00971F07" w:rsidRDefault="00132690" w:rsidP="00132690">
            <w:pPr>
              <w:contextualSpacing/>
              <w:jc w:val="both"/>
            </w:pPr>
            <w:r w:rsidRPr="00971F07">
              <w:t>Прием Товара по качеству и количеству осуществляется на складе Заказчика согласно товарно-сопроводительным документам. Поставщик обязан одновременно с Товаром передать Заказчику документы, которые касаются товара и подлежат передаче вместе с товаром: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Паспорт;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Протокол испытаний;</w:t>
            </w:r>
          </w:p>
          <w:p w:rsidR="00132690" w:rsidRPr="00971F07" w:rsidRDefault="00132690" w:rsidP="00132690">
            <w:pPr>
              <w:contextualSpacing/>
              <w:jc w:val="both"/>
            </w:pPr>
            <w:r w:rsidRPr="00971F07">
              <w:t>- Декларация либо сертификат соответствия;</w:t>
            </w:r>
          </w:p>
          <w:p w:rsidR="005B4B13" w:rsidRPr="00971F07" w:rsidRDefault="00132690" w:rsidP="00132690">
            <w:pPr>
              <w:contextualSpacing/>
              <w:jc w:val="both"/>
            </w:pPr>
            <w:r w:rsidRPr="00971F07">
              <w:t>- Документ, подтверждающий предоставление гарантии Поставщика на товар (гарантийный талон, паспорт, или иной документ), с датой производства товара, ссылками на стандартны и нормативные документы.</w:t>
            </w:r>
          </w:p>
        </w:tc>
      </w:tr>
      <w:tr w:rsidR="00CE0480" w:rsidRPr="00371005" w:rsidTr="003A0DE4">
        <w:tc>
          <w:tcPr>
            <w:tcW w:w="10575" w:type="dxa"/>
            <w:shd w:val="clear" w:color="auto" w:fill="D9D9D9" w:themeFill="background1" w:themeFillShade="D9"/>
          </w:tcPr>
          <w:p w:rsidR="00CE0480" w:rsidRPr="00971F07" w:rsidRDefault="00AC237E" w:rsidP="006B4EDC">
            <w:pPr>
              <w:contextualSpacing/>
              <w:jc w:val="both"/>
            </w:pPr>
            <w:r w:rsidRPr="00971F07">
              <w:t>21.</w:t>
            </w:r>
            <w:r w:rsidR="005B4B13" w:rsidRPr="00971F07"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6B4EDC" w:rsidRPr="00371005" w:rsidTr="003A0DE4">
        <w:trPr>
          <w:trHeight w:val="544"/>
        </w:trPr>
        <w:tc>
          <w:tcPr>
            <w:tcW w:w="10575" w:type="dxa"/>
            <w:shd w:val="clear" w:color="auto" w:fill="auto"/>
          </w:tcPr>
          <w:p w:rsidR="006B4EDC" w:rsidRPr="00971F07" w:rsidRDefault="003D63F1" w:rsidP="00705AA8">
            <w:pPr>
              <w:contextualSpacing/>
              <w:jc w:val="both"/>
            </w:pPr>
            <w:r w:rsidRPr="00971F07">
              <w:t xml:space="preserve">Поставка осуществляется </w:t>
            </w:r>
            <w:r w:rsidR="00CD0728" w:rsidRPr="00971F07">
              <w:t>партиями по заявкам</w:t>
            </w:r>
            <w:r w:rsidRPr="00971F07">
              <w:t xml:space="preserve"> в течение </w:t>
            </w:r>
            <w:r w:rsidR="00705AA8" w:rsidRPr="00971F07">
              <w:t>3</w:t>
            </w:r>
            <w:r w:rsidR="00CC4F31" w:rsidRPr="00971F07">
              <w:t>0</w:t>
            </w:r>
            <w:r w:rsidRPr="00971F07">
              <w:t xml:space="preserve"> календарных дней с момента направления заявки.</w:t>
            </w:r>
          </w:p>
        </w:tc>
      </w:tr>
      <w:tr w:rsidR="006B4EDC" w:rsidRPr="00527F3B" w:rsidTr="003A0DE4">
        <w:tc>
          <w:tcPr>
            <w:tcW w:w="10575" w:type="dxa"/>
            <w:shd w:val="clear" w:color="auto" w:fill="D9D9D9" w:themeFill="background1" w:themeFillShade="D9"/>
          </w:tcPr>
          <w:p w:rsidR="006B4EDC" w:rsidRPr="00971F07" w:rsidRDefault="006B4EDC" w:rsidP="006B4EDC">
            <w:pPr>
              <w:contextualSpacing/>
            </w:pPr>
            <w:r w:rsidRPr="00971F07">
              <w:t>Приложение №1 «Спецификация»</w:t>
            </w:r>
          </w:p>
        </w:tc>
      </w:tr>
    </w:tbl>
    <w:p w:rsidR="001F2DE6" w:rsidRDefault="001F2DE6" w:rsidP="00071170">
      <w:pPr>
        <w:ind w:left="284"/>
      </w:pPr>
    </w:p>
    <w:p w:rsidR="00DA3531" w:rsidRDefault="00DA3531" w:rsidP="00071170">
      <w:pPr>
        <w:ind w:left="284"/>
      </w:pPr>
    </w:p>
    <w:p w:rsidR="003A0DE4" w:rsidRDefault="003A0DE4" w:rsidP="00AC237E">
      <w:pPr>
        <w:spacing w:before="360" w:after="360"/>
        <w:jc w:val="right"/>
      </w:pPr>
    </w:p>
    <w:p w:rsidR="00CC4F31" w:rsidRDefault="00705AA8" w:rsidP="003A0DE4">
      <w:pPr>
        <w:spacing w:before="360" w:after="360"/>
        <w:jc w:val="right"/>
      </w:pPr>
      <w:r w:rsidRPr="00050D84">
        <w:t>Приложение № 1 к техническому заданию</w:t>
      </w:r>
    </w:p>
    <w:p w:rsidR="00CC4F31" w:rsidRPr="003A0DE4" w:rsidRDefault="00705AA8" w:rsidP="008E66EE">
      <w:pPr>
        <w:spacing w:line="360" w:lineRule="auto"/>
        <w:jc w:val="center"/>
      </w:pPr>
      <w:bookmarkStart w:id="1" w:name="_GoBack"/>
      <w:bookmarkEnd w:id="1"/>
      <w:r w:rsidRPr="003A0DE4">
        <w:rPr>
          <w:b/>
        </w:rPr>
        <w:t>Спецификация</w:t>
      </w:r>
      <w:r w:rsidR="00AC237E" w:rsidRPr="003A0DE4">
        <w:rPr>
          <w:b/>
        </w:rPr>
        <w:t xml:space="preserve"> </w:t>
      </w:r>
    </w:p>
    <w:tbl>
      <w:tblPr>
        <w:tblStyle w:val="a3"/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5135"/>
        <w:gridCol w:w="1843"/>
        <w:gridCol w:w="2126"/>
      </w:tblGrid>
      <w:tr w:rsidR="00DB3467" w:rsidRPr="006B3BDD" w:rsidTr="003A0DE4">
        <w:trPr>
          <w:trHeight w:val="53"/>
          <w:jc w:val="center"/>
        </w:trPr>
        <w:tc>
          <w:tcPr>
            <w:tcW w:w="744" w:type="dxa"/>
            <w:vAlign w:val="center"/>
          </w:tcPr>
          <w:p w:rsidR="00DB3467" w:rsidRPr="003A0DE4" w:rsidRDefault="00DB3467" w:rsidP="00DB3467">
            <w:pPr>
              <w:spacing w:before="120" w:after="120"/>
              <w:ind w:left="-2"/>
              <w:jc w:val="center"/>
              <w:rPr>
                <w:b/>
                <w:sz w:val="20"/>
                <w:szCs w:val="20"/>
              </w:rPr>
            </w:pPr>
            <w:r w:rsidRPr="003A0DE4">
              <w:rPr>
                <w:b/>
                <w:sz w:val="20"/>
                <w:szCs w:val="20"/>
              </w:rPr>
              <w:t>№</w:t>
            </w:r>
          </w:p>
          <w:p w:rsidR="00DB3467" w:rsidRPr="003A0DE4" w:rsidRDefault="00DB3467" w:rsidP="00DB3467">
            <w:pPr>
              <w:spacing w:before="120" w:after="120"/>
              <w:ind w:left="-2"/>
              <w:jc w:val="center"/>
              <w:rPr>
                <w:b/>
                <w:sz w:val="20"/>
                <w:szCs w:val="20"/>
              </w:rPr>
            </w:pPr>
            <w:r w:rsidRPr="003A0D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135" w:type="dxa"/>
            <w:vAlign w:val="center"/>
          </w:tcPr>
          <w:p w:rsidR="00DB3467" w:rsidRPr="003A0DE4" w:rsidRDefault="00DB3467" w:rsidP="00DB346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A0DE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DB3467" w:rsidRPr="003A0DE4" w:rsidRDefault="00DB3467" w:rsidP="00DB346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A0DE4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DB3467" w:rsidRPr="003A0DE4" w:rsidRDefault="00DB3467" w:rsidP="00DB346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A0DE4">
              <w:rPr>
                <w:b/>
                <w:sz w:val="20"/>
                <w:szCs w:val="20"/>
              </w:rPr>
              <w:t>Количество</w:t>
            </w:r>
          </w:p>
        </w:tc>
      </w:tr>
      <w:tr w:rsidR="008B6352" w:rsidRPr="006B3BDD" w:rsidTr="00CC4F31">
        <w:trPr>
          <w:jc w:val="center"/>
        </w:trPr>
        <w:tc>
          <w:tcPr>
            <w:tcW w:w="744" w:type="dxa"/>
            <w:vAlign w:val="center"/>
          </w:tcPr>
          <w:p w:rsidR="008B6352" w:rsidRPr="00DA3531" w:rsidRDefault="008B6352" w:rsidP="008B6352">
            <w:pPr>
              <w:pStyle w:val="a4"/>
              <w:numPr>
                <w:ilvl w:val="0"/>
                <w:numId w:val="4"/>
              </w:numPr>
              <w:spacing w:after="0"/>
              <w:ind w:left="454"/>
              <w:rPr>
                <w:bCs/>
              </w:rPr>
            </w:pPr>
          </w:p>
        </w:tc>
        <w:tc>
          <w:tcPr>
            <w:tcW w:w="5135" w:type="dxa"/>
            <w:vAlign w:val="center"/>
          </w:tcPr>
          <w:p w:rsidR="008B6352" w:rsidRPr="00E020BD" w:rsidRDefault="004909ED" w:rsidP="008B6352">
            <w:pPr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</w:rPr>
              <w:t>Трансформаторное масло</w:t>
            </w:r>
            <w:r w:rsidRPr="00535C43">
              <w:rPr>
                <w:rFonts w:eastAsia="Calibri"/>
              </w:rPr>
              <w:t xml:space="preserve"> ГК</w:t>
            </w:r>
          </w:p>
        </w:tc>
        <w:tc>
          <w:tcPr>
            <w:tcW w:w="1843" w:type="dxa"/>
            <w:vAlign w:val="center"/>
          </w:tcPr>
          <w:p w:rsidR="008B6352" w:rsidRPr="00EF0D05" w:rsidRDefault="00266538" w:rsidP="008B635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AC237E">
              <w:rPr>
                <w:bCs/>
              </w:rPr>
              <w:t>онна</w:t>
            </w:r>
          </w:p>
        </w:tc>
        <w:tc>
          <w:tcPr>
            <w:tcW w:w="2126" w:type="dxa"/>
          </w:tcPr>
          <w:p w:rsidR="008B6352" w:rsidRPr="003F7474" w:rsidRDefault="008514F3" w:rsidP="008514F3">
            <w:pPr>
              <w:jc w:val="center"/>
              <w:rPr>
                <w:lang w:val="en-US"/>
              </w:rPr>
            </w:pPr>
            <w:r>
              <w:t>56,</w:t>
            </w:r>
            <w:r>
              <w:rPr>
                <w:lang w:val="en-US"/>
              </w:rPr>
              <w:t>7</w:t>
            </w:r>
          </w:p>
        </w:tc>
      </w:tr>
    </w:tbl>
    <w:p w:rsidR="00DA3531" w:rsidRDefault="00DA3531" w:rsidP="008E66EE">
      <w:pPr>
        <w:ind w:left="284"/>
      </w:pPr>
    </w:p>
    <w:p w:rsidR="00DA3531" w:rsidRDefault="00DA3531" w:rsidP="008E66EE">
      <w:pPr>
        <w:ind w:left="284"/>
      </w:pPr>
    </w:p>
    <w:p w:rsidR="004675E8" w:rsidRDefault="004675E8" w:rsidP="008E66EE">
      <w:pPr>
        <w:ind w:left="284"/>
      </w:pPr>
    </w:p>
    <w:p w:rsidR="00CC4F31" w:rsidRDefault="00CC4F31" w:rsidP="00CC4F31">
      <w:pPr>
        <w:rPr>
          <w:szCs w:val="28"/>
        </w:rPr>
      </w:pPr>
    </w:p>
    <w:p w:rsidR="00CC4F31" w:rsidRDefault="00CC4F31" w:rsidP="00CC4F31">
      <w:pPr>
        <w:rPr>
          <w:szCs w:val="28"/>
        </w:rPr>
      </w:pPr>
    </w:p>
    <w:p w:rsidR="00CC4F31" w:rsidRDefault="00CC4F31" w:rsidP="00CC4F31">
      <w:pPr>
        <w:rPr>
          <w:szCs w:val="28"/>
        </w:rPr>
      </w:pPr>
    </w:p>
    <w:sectPr w:rsidR="00CC4F31" w:rsidSect="003A0D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E0C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67532"/>
    <w:multiLevelType w:val="hybridMultilevel"/>
    <w:tmpl w:val="90904604"/>
    <w:lvl w:ilvl="0" w:tplc="DFA67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D"/>
    <w:rsid w:val="00000E07"/>
    <w:rsid w:val="00035298"/>
    <w:rsid w:val="00071170"/>
    <w:rsid w:val="0007255D"/>
    <w:rsid w:val="000A30AD"/>
    <w:rsid w:val="000B6B54"/>
    <w:rsid w:val="000C17D1"/>
    <w:rsid w:val="000C7FE5"/>
    <w:rsid w:val="001161C8"/>
    <w:rsid w:val="00132690"/>
    <w:rsid w:val="0015749F"/>
    <w:rsid w:val="001C4F43"/>
    <w:rsid w:val="001D396C"/>
    <w:rsid w:val="001F070B"/>
    <w:rsid w:val="001F2DE6"/>
    <w:rsid w:val="00266538"/>
    <w:rsid w:val="002B5418"/>
    <w:rsid w:val="002C2C41"/>
    <w:rsid w:val="002C637E"/>
    <w:rsid w:val="002E3E4C"/>
    <w:rsid w:val="003300A0"/>
    <w:rsid w:val="00332E6A"/>
    <w:rsid w:val="00337F5A"/>
    <w:rsid w:val="0035193D"/>
    <w:rsid w:val="00371005"/>
    <w:rsid w:val="003768F7"/>
    <w:rsid w:val="003939DE"/>
    <w:rsid w:val="003A0DE4"/>
    <w:rsid w:val="003A5B87"/>
    <w:rsid w:val="003B3B04"/>
    <w:rsid w:val="003B6261"/>
    <w:rsid w:val="003D63F1"/>
    <w:rsid w:val="003F7474"/>
    <w:rsid w:val="00402A4E"/>
    <w:rsid w:val="004675E8"/>
    <w:rsid w:val="004804D8"/>
    <w:rsid w:val="004909ED"/>
    <w:rsid w:val="004B0D4F"/>
    <w:rsid w:val="00507C17"/>
    <w:rsid w:val="00531A18"/>
    <w:rsid w:val="00536FF2"/>
    <w:rsid w:val="00537DD4"/>
    <w:rsid w:val="005411C2"/>
    <w:rsid w:val="005573E2"/>
    <w:rsid w:val="0056271C"/>
    <w:rsid w:val="005926CA"/>
    <w:rsid w:val="005B3E14"/>
    <w:rsid w:val="005B4B13"/>
    <w:rsid w:val="005E7A4F"/>
    <w:rsid w:val="006106DF"/>
    <w:rsid w:val="0066753F"/>
    <w:rsid w:val="006A4E9C"/>
    <w:rsid w:val="006B3BDD"/>
    <w:rsid w:val="006B4EDC"/>
    <w:rsid w:val="006C20BC"/>
    <w:rsid w:val="00705AA8"/>
    <w:rsid w:val="00741347"/>
    <w:rsid w:val="00751F09"/>
    <w:rsid w:val="007767AD"/>
    <w:rsid w:val="007A287D"/>
    <w:rsid w:val="00812C7B"/>
    <w:rsid w:val="00822696"/>
    <w:rsid w:val="00836603"/>
    <w:rsid w:val="008514F3"/>
    <w:rsid w:val="008535C6"/>
    <w:rsid w:val="008B6352"/>
    <w:rsid w:val="008E66EE"/>
    <w:rsid w:val="008E753A"/>
    <w:rsid w:val="00901BD6"/>
    <w:rsid w:val="00930E8A"/>
    <w:rsid w:val="00971F07"/>
    <w:rsid w:val="009E6B57"/>
    <w:rsid w:val="00A23995"/>
    <w:rsid w:val="00A32309"/>
    <w:rsid w:val="00A44364"/>
    <w:rsid w:val="00AC237E"/>
    <w:rsid w:val="00AD0E90"/>
    <w:rsid w:val="00B22588"/>
    <w:rsid w:val="00B24F3E"/>
    <w:rsid w:val="00B31F5E"/>
    <w:rsid w:val="00B80528"/>
    <w:rsid w:val="00BC56B9"/>
    <w:rsid w:val="00C55BBF"/>
    <w:rsid w:val="00C55BE5"/>
    <w:rsid w:val="00C865AD"/>
    <w:rsid w:val="00CA109E"/>
    <w:rsid w:val="00CA1D8F"/>
    <w:rsid w:val="00CA415A"/>
    <w:rsid w:val="00CC3AA6"/>
    <w:rsid w:val="00CC4F31"/>
    <w:rsid w:val="00CD0728"/>
    <w:rsid w:val="00CD2B22"/>
    <w:rsid w:val="00CE0480"/>
    <w:rsid w:val="00D24136"/>
    <w:rsid w:val="00D27AF9"/>
    <w:rsid w:val="00D56404"/>
    <w:rsid w:val="00D72DB9"/>
    <w:rsid w:val="00DA3531"/>
    <w:rsid w:val="00DA6062"/>
    <w:rsid w:val="00DB3467"/>
    <w:rsid w:val="00DB39D6"/>
    <w:rsid w:val="00E020BD"/>
    <w:rsid w:val="00E07F20"/>
    <w:rsid w:val="00E960D1"/>
    <w:rsid w:val="00EB0999"/>
    <w:rsid w:val="00EF0D05"/>
    <w:rsid w:val="00F360F9"/>
    <w:rsid w:val="00F56FE7"/>
    <w:rsid w:val="00F672EB"/>
    <w:rsid w:val="00FC7210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A3DD1-8277-49A6-827D-599B5E9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1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B31F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75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E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12C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2C7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1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2C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12C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"/>
    <w:rsid w:val="007A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Ирина Александровна</dc:creator>
  <cp:keywords/>
  <dc:description/>
  <cp:lastModifiedBy>Чухнова Татьяна Михайловна</cp:lastModifiedBy>
  <cp:revision>7</cp:revision>
  <cp:lastPrinted>2024-01-23T10:02:00Z</cp:lastPrinted>
  <dcterms:created xsi:type="dcterms:W3CDTF">2024-01-23T10:06:00Z</dcterms:created>
  <dcterms:modified xsi:type="dcterms:W3CDTF">2024-06-28T05:08:00Z</dcterms:modified>
</cp:coreProperties>
</file>