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Cs/>
          <w:sz w:val="28"/>
          <w:szCs w:val="28"/>
        </w:rPr>
      </w:pPr>
      <w:r>
        <w:rPr>
          <w:bCs/>
          <w:sz w:val="28"/>
          <w:szCs w:val="28"/>
        </w:rPr>
        <w:t>ГОСУДАРСТВЕННОЕ УНИТАРНОЕ ПРЕДПРИЯТИЕ ГОРОДА СЕВАСТОПОЛЯ «СЕВЭЛЕКТРОАВТОТРАНС ИМ. А.С. КРУПОДЁРОВА»</w:t>
      </w:r>
    </w:p>
    <w:p>
      <w:pPr>
        <w:pStyle w:val="Normal"/>
        <w:spacing w:lineRule="auto" w:line="240" w:before="0" w:after="0"/>
        <w:ind w:start="5387"/>
        <w:rPr>
          <w:b/>
          <w:bCs/>
        </w:rPr>
      </w:pPr>
      <w:r>
        <w:rPr>
          <w:b/>
          <w:bCs/>
        </w:rPr>
      </w:r>
    </w:p>
    <w:p>
      <w:pPr>
        <w:pStyle w:val="Normal"/>
        <w:spacing w:lineRule="auto" w:line="240" w:before="0" w:after="0"/>
        <w:ind w:start="5387"/>
        <w:rPr>
          <w:b/>
          <w:bCs/>
        </w:rPr>
      </w:pPr>
      <w:r>
        <w:rPr>
          <w:b/>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spacing w:lineRule="auto" w:line="240" w:before="0" w:after="0"/>
        <w:ind w:start="5387"/>
        <w:rPr>
          <w:bCs/>
        </w:rPr>
      </w:pPr>
      <w:r>
        <w:rPr>
          <w:bCs/>
        </w:rPr>
      </w:r>
    </w:p>
    <w:p>
      <w:pPr>
        <w:pStyle w:val="Normal"/>
        <w:tabs>
          <w:tab w:val="clear" w:pos="708"/>
          <w:tab w:val="left" w:pos="0" w:leader="none"/>
        </w:tabs>
        <w:spacing w:lineRule="auto" w:line="240" w:before="0" w:after="0"/>
        <w:ind w:start="6600"/>
        <w:jc w:val="end"/>
        <w:rPr>
          <w:bCs/>
        </w:rPr>
      </w:pPr>
      <w:r>
        <w:rPr>
          <w:bCs/>
        </w:rPr>
        <w:t>УТВЕРЖДАЮ</w:t>
      </w:r>
    </w:p>
    <w:p>
      <w:pPr>
        <w:pStyle w:val="Normal"/>
        <w:spacing w:lineRule="auto" w:line="240" w:before="0" w:after="0"/>
        <w:ind w:start="6600"/>
        <w:jc w:val="end"/>
        <w:rPr>
          <w:bCs/>
        </w:rPr>
      </w:pPr>
      <w:r>
        <w:rPr>
          <w:bCs/>
        </w:rPr>
        <w:t>Директор</w:t>
      </w:r>
    </w:p>
    <w:p>
      <w:pPr>
        <w:pStyle w:val="Normal"/>
        <w:spacing w:lineRule="auto" w:line="240" w:before="0" w:after="0"/>
        <w:ind w:start="6600"/>
        <w:jc w:val="end"/>
        <w:rPr>
          <w:bCs/>
        </w:rPr>
      </w:pPr>
      <w:r>
        <w:rPr>
          <w:bCs/>
        </w:rPr>
        <w:t>ГУП «Севэлектроавтотранс</w:t>
      </w:r>
    </w:p>
    <w:p>
      <w:pPr>
        <w:pStyle w:val="Normal"/>
        <w:spacing w:lineRule="auto" w:line="240" w:before="0" w:after="0"/>
        <w:ind w:start="6600"/>
        <w:jc w:val="end"/>
        <w:rPr>
          <w:bCs/>
        </w:rPr>
      </w:pPr>
      <w:r>
        <w:rPr>
          <w:bCs/>
        </w:rPr>
        <w:t>им. А.С. Круподёрова»</w:t>
      </w:r>
    </w:p>
    <w:p>
      <w:pPr>
        <w:pStyle w:val="Normal"/>
        <w:spacing w:lineRule="auto" w:line="240" w:before="0" w:after="0"/>
        <w:ind w:start="6600"/>
        <w:jc w:val="end"/>
        <w:rPr>
          <w:bCs/>
        </w:rPr>
      </w:pPr>
      <w:r>
        <w:rPr>
          <w:bCs/>
        </w:rPr>
        <w:t>___________ Д.В. Будыш</w:t>
      </w:r>
    </w:p>
    <w:p>
      <w:pPr>
        <w:pStyle w:val="Normal"/>
        <w:spacing w:lineRule="auto" w:line="240" w:before="0" w:after="0"/>
        <w:ind w:start="6600"/>
        <w:jc w:val="end"/>
        <w:rPr>
          <w:bCs/>
        </w:rPr>
      </w:pPr>
      <w:r>
        <w:rPr>
          <w:bCs/>
        </w:rPr>
        <w:t>«___»____________2024 г.</w:t>
      </w:r>
    </w:p>
    <w:p>
      <w:pPr>
        <w:pStyle w:val="Normal"/>
        <w:spacing w:lineRule="auto" w:line="240" w:before="0" w:after="0"/>
        <w:ind w:start="5387"/>
        <w:rPr>
          <w:b/>
        </w:rPr>
      </w:pPr>
      <w:r>
        <w:rPr>
          <w:b/>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sz w:val="28"/>
          <w:szCs w:val="28"/>
        </w:rPr>
      </w:pPr>
      <w:r>
        <w:rPr>
          <w:b/>
          <w:color w:val="000000"/>
          <w:sz w:val="28"/>
          <w:szCs w:val="28"/>
        </w:rPr>
        <w:t>ИЗВЕЩЕНИЕ</w:t>
      </w:r>
    </w:p>
    <w:p>
      <w:pPr>
        <w:pStyle w:val="Normal"/>
        <w:spacing w:lineRule="auto" w:line="240" w:before="0" w:after="0"/>
        <w:jc w:val="center"/>
        <w:rPr>
          <w:b/>
          <w:color w:val="000000"/>
          <w:sz w:val="28"/>
          <w:szCs w:val="28"/>
        </w:rPr>
      </w:pPr>
      <w:r>
        <w:rPr>
          <w:b/>
          <w:color w:val="000000"/>
          <w:sz w:val="28"/>
          <w:szCs w:val="28"/>
        </w:rPr>
        <w:t>НА ПРОВЕДЕНИЕ ЗАПРОСА КОТИРОВОК В ЭЛЕКТРОННОЙ ФОРМЕ</w:t>
      </w:r>
    </w:p>
    <w:p>
      <w:pPr>
        <w:pStyle w:val="Normal"/>
        <w:spacing w:lineRule="auto" w:line="240" w:before="0" w:after="0"/>
        <w:jc w:val="center"/>
        <w:rPr>
          <w:b/>
          <w:color w:val="000000"/>
          <w:sz w:val="28"/>
          <w:szCs w:val="28"/>
        </w:rPr>
      </w:pPr>
      <w:r>
        <w:rPr>
          <w:b/>
          <w:color w:val="000000"/>
          <w:sz w:val="28"/>
          <w:szCs w:val="28"/>
        </w:rPr>
      </w:r>
    </w:p>
    <w:p>
      <w:pPr>
        <w:pStyle w:val="Normal"/>
        <w:spacing w:lineRule="auto" w:line="240" w:before="0" w:after="0"/>
        <w:ind w:end="-1"/>
        <w:jc w:val="center"/>
        <w:rPr>
          <w:sz w:val="28"/>
          <w:szCs w:val="28"/>
        </w:rPr>
      </w:pPr>
      <w:r>
        <w:rPr>
          <w:b/>
          <w:bCs/>
          <w:sz w:val="28"/>
          <w:szCs w:val="28"/>
        </w:rPr>
        <w:t xml:space="preserve">№ </w:t>
      </w:r>
      <w:r>
        <w:rPr>
          <w:b/>
          <w:bCs/>
          <w:sz w:val="28"/>
          <w:szCs w:val="28"/>
        </w:rPr>
        <w:t>696-ЗК-223-24</w:t>
      </w:r>
    </w:p>
    <w:p>
      <w:pPr>
        <w:pStyle w:val="Normal"/>
        <w:spacing w:lineRule="auto" w:line="240" w:before="0" w:after="0"/>
        <w:ind w:end="-1"/>
        <w:jc w:val="center"/>
        <w:rPr>
          <w:b/>
          <w:bCs/>
        </w:rPr>
      </w:pPr>
      <w:r>
        <w:rPr>
          <w:b/>
          <w:bCs/>
        </w:rPr>
      </w:r>
    </w:p>
    <w:p>
      <w:pPr>
        <w:pStyle w:val="Normal"/>
        <w:keepNext w:val="false"/>
        <w:keepLines w:val="false"/>
        <w:widowControl w:val="false"/>
        <w:overflowPunct w:val="false"/>
        <w:bidi w:val="0"/>
        <w:snapToGrid w:val="true"/>
        <w:ind w:firstLine="301"/>
        <w:jc w:val="center"/>
        <w:textAlignment w:val="auto"/>
        <w:rPr>
          <w:sz w:val="36"/>
          <w:szCs w:val="36"/>
        </w:rPr>
      </w:pPr>
      <w:r>
        <w:rPr>
          <w:rFonts w:cs="Times New Roman"/>
          <w:b/>
          <w:bCs/>
          <w:i w:val="false"/>
          <w:strike w:val="false"/>
          <w:dstrike w:val="false"/>
          <w:outline w:val="false"/>
          <w:shadow w:val="false"/>
          <w:color w:val="auto"/>
          <w:sz w:val="36"/>
          <w:szCs w:val="36"/>
          <w:u w:val="single"/>
          <w:em w:val="none"/>
          <w:lang w:val="ru-RU" w:bidi="ar-SA"/>
        </w:rPr>
        <w:t>Оказание услуг по предоставлению судов в тайм-чартер.</w:t>
      </w:r>
    </w:p>
    <w:p>
      <w:pPr>
        <w:pStyle w:val="Normal"/>
        <w:spacing w:lineRule="auto" w:line="240" w:before="0" w:after="0"/>
        <w:jc w:val="center"/>
        <w:rPr>
          <w:b/>
          <w:color w:val="000000"/>
          <w:sz w:val="28"/>
          <w:szCs w:val="28"/>
        </w:rPr>
      </w:pPr>
      <w:r>
        <w:rPr>
          <w:b/>
          <w:color w:val="000000"/>
          <w:sz w:val="28"/>
          <w:szCs w:val="28"/>
        </w:rPr>
      </w:r>
    </w:p>
    <w:p>
      <w:pPr>
        <w:pStyle w:val="Normal"/>
        <w:jc w:val="center"/>
        <w:rPr>
          <w:b/>
        </w:rPr>
      </w:pPr>
      <w:r>
        <w:rPr>
          <w:b/>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color w:val="000000"/>
        </w:rPr>
      </w:pPr>
      <w:r>
        <w:rPr>
          <w:b/>
          <w:bCs/>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t>г. Севастополь, 2024</w:t>
      </w:r>
      <w:r>
        <w:br w:type="page"/>
      </w:r>
    </w:p>
    <w:p>
      <w:pPr>
        <w:pStyle w:val="Normal"/>
        <w:spacing w:before="0" w:after="160"/>
        <w:jc w:val="center"/>
        <w:rPr>
          <w:b/>
          <w:bCs/>
        </w:rPr>
      </w:pPr>
      <w:r>
        <w:rPr>
          <w:b/>
          <w:bCs/>
        </w:rPr>
        <w:t>ИЗВЕЩЕНИЕ О ПРОВЕДЕНИИ ЗАПРОСА КОТИРОВОК В ЭЛЕКТРОННОЙ ФОРМЕ</w:t>
      </w:r>
    </w:p>
    <w:p>
      <w:pPr>
        <w:pStyle w:val="Normal"/>
        <w:spacing w:lineRule="auto" w:line="240" w:before="0" w:after="0"/>
        <w:jc w:val="center"/>
        <w:rPr/>
      </w:pPr>
      <w:r>
        <w:rPr/>
        <w:t xml:space="preserve">Общая информация о заказе для размещения на сайте </w:t>
      </w:r>
      <w:hyperlink r:id="rId2">
        <w:r>
          <w:rPr>
            <w:rStyle w:val="ListLabel1"/>
          </w:rPr>
          <w:t>www.zakupki.gov.ru</w:t>
        </w:r>
      </w:hyperlink>
    </w:p>
    <w:tbl>
      <w:tblPr>
        <w:tblW w:w="10030" w:type="dxa"/>
        <w:jc w:val="center"/>
        <w:tblInd w:w="0" w:type="dxa"/>
        <w:tblLayout w:type="fixed"/>
        <w:tblCellMar>
          <w:top w:w="57" w:type="dxa"/>
          <w:start w:w="57" w:type="dxa"/>
          <w:bottom w:w="57" w:type="dxa"/>
          <w:end w:w="57" w:type="dxa"/>
        </w:tblCellMar>
      </w:tblPr>
      <w:tblGrid>
        <w:gridCol w:w="421"/>
        <w:gridCol w:w="2634"/>
        <w:gridCol w:w="6975"/>
      </w:tblGrid>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78"/>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Способ размещения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Запрос котировок в электронной форме (далее - запрос котировок).</w:t>
            </w:r>
          </w:p>
        </w:tc>
      </w:tr>
      <w:tr>
        <w:trPr>
          <w:trHeight w:val="17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79"/>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Наименование заказчика, место нахождения, контрактная информация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Государственное унитарное предприятие города Севастополя «Севэлектроавтотранс им. А.С.Круподёрова» (сокращённое наименование - ГУП «Севэлектроавтотранс им. А.С.Круподёрова»).</w:t>
            </w:r>
          </w:p>
          <w:p>
            <w:pPr>
              <w:pStyle w:val="Normal"/>
              <w:spacing w:lineRule="auto" w:line="240" w:before="0" w:after="0"/>
              <w:rPr>
                <w:color w:val="000000"/>
              </w:rPr>
            </w:pPr>
            <w:r>
              <w:rPr>
                <w:color w:val="000000"/>
              </w:rPr>
              <w:t>Юридический адрес: 299003, г. Севастополь, ул. Льва Толстого, 51.</w:t>
            </w:r>
          </w:p>
          <w:p>
            <w:pPr>
              <w:pStyle w:val="Normal"/>
              <w:spacing w:lineRule="auto" w:line="240" w:before="0" w:after="0"/>
              <w:rPr>
                <w:color w:val="000000"/>
              </w:rPr>
            </w:pPr>
            <w:r>
              <w:rPr>
                <w:color w:val="000000"/>
              </w:rPr>
              <w:t>Почтовый адрес: 299003, г. Севастополь, ул. Льва Толстого, 51.</w:t>
            </w:r>
          </w:p>
          <w:p>
            <w:pPr>
              <w:pStyle w:val="Normal"/>
              <w:spacing w:lineRule="auto" w:line="240" w:before="0" w:after="0"/>
              <w:ind w:end="70"/>
              <w:rPr>
                <w:b/>
                <w:bCs/>
              </w:rPr>
            </w:pPr>
            <w:r>
              <w:rPr>
                <w:b/>
                <w:bCs/>
              </w:rPr>
              <w:t>Инициатор закупки:</w:t>
            </w:r>
            <w:r>
              <w:rPr>
                <w:b w:val="false"/>
                <w:bCs w:val="false"/>
              </w:rPr>
              <w:t>Гук О.В.</w:t>
            </w:r>
          </w:p>
          <w:p>
            <w:pPr>
              <w:pStyle w:val="Normal"/>
              <w:widowControl w:val="false"/>
              <w:suppressAutoHyphens w:val="true"/>
              <w:spacing w:before="0" w:after="0"/>
              <w:rPr>
                <w:b/>
                <w:bCs/>
              </w:rPr>
            </w:pPr>
            <w:r>
              <w:rPr>
                <w:rFonts w:cs="Times New Roman"/>
                <w:b/>
                <w:bCs/>
                <w:sz w:val="21"/>
                <w:szCs w:val="21"/>
                <w:lang w:val="en-US"/>
              </w:rPr>
              <w:t xml:space="preserve">Ответственный исполнитель: </w:t>
            </w:r>
            <w:r>
              <w:rPr>
                <w:rFonts w:cs="Times New Roman"/>
                <w:b w:val="false"/>
                <w:bCs w:val="false"/>
                <w:color w:val="auto"/>
                <w:sz w:val="21"/>
                <w:szCs w:val="21"/>
                <w:lang w:val="ru-RU"/>
              </w:rPr>
              <w:t>Сизонов А. В.</w:t>
            </w:r>
          </w:p>
          <w:p>
            <w:pPr>
              <w:pStyle w:val="Normal"/>
              <w:spacing w:lineRule="auto" w:line="240" w:before="0" w:after="0"/>
              <w:ind w:end="70"/>
              <w:rPr>
                <w:lang w:val="en-US"/>
              </w:rPr>
            </w:pPr>
            <w:r>
              <w:rPr>
                <w:b/>
                <w:bCs/>
                <w:color w:val="000000"/>
              </w:rPr>
              <w:t>Закупочная документация</w:t>
            </w:r>
            <w:r>
              <w:rPr>
                <w:b/>
                <w:bCs/>
              </w:rPr>
              <w:t>:</w:t>
            </w:r>
            <w:r>
              <w:rPr/>
              <w:t xml:space="preserve"> </w:t>
            </w:r>
            <w:r>
              <w:rPr>
                <w:lang w:val="en-US"/>
              </w:rPr>
              <w:t>отдел закупок comm2@sevgortrans.ru</w:t>
            </w:r>
          </w:p>
        </w:tc>
      </w:tr>
      <w:tr>
        <w:trPr>
          <w:trHeight w:val="39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0"/>
              </w:numPr>
              <w:snapToGrid w:val="false"/>
              <w:spacing w:lineRule="auto" w:line="240" w:before="0" w:after="0"/>
              <w:ind w:hanging="357" w:start="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hd w:val="clear" w:fill="FFFFFF"/>
              <w:spacing w:lineRule="auto" w:line="240" w:before="0" w:after="0"/>
              <w:jc w:val="both"/>
              <w:rPr/>
            </w:pPr>
            <w:r>
              <w:rPr/>
              <w:t>Наименование объекта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Heading2"/>
              <w:spacing w:before="240" w:after="60"/>
              <w:ind w:hanging="0" w:start="0"/>
              <w:rPr>
                <w:sz w:val="24"/>
                <w:szCs w:val="24"/>
              </w:rPr>
            </w:pPr>
            <w:r>
              <w:rPr>
                <w:rFonts w:eastAsia="Times New Roman" w:cs="Times New Roman" w:ascii="Times New Roman" w:hAnsi="Times New Roman"/>
                <w:b w:val="false"/>
                <w:bCs w:val="false"/>
                <w:i w:val="false"/>
                <w:strike w:val="false"/>
                <w:dstrike w:val="false"/>
                <w:outline w:val="false"/>
                <w:shadow w:val="false"/>
                <w:color w:val="auto"/>
                <w:sz w:val="24"/>
                <w:szCs w:val="24"/>
                <w:u w:val="none"/>
                <w:em w:val="none"/>
                <w:lang w:val="ru-RU" w:eastAsia="ru-RU" w:bidi="ar-SA"/>
                <w14:textFill>
                  <w14:solidFill>
                    <w14:schemeClr w14:val="tx1"/>
                  </w14:solidFill>
                </w14:textFill>
              </w:rPr>
              <w:t xml:space="preserve"> </w:t>
            </w:r>
            <w:r>
              <w:rPr>
                <w:rFonts w:eastAsia="Times New Roman" w:cs="Times New Roman" w:ascii="Times New Roman" w:hAnsi="Times New Roman"/>
                <w:bCs/>
                <w:i w:val="false"/>
                <w:strike w:val="false"/>
                <w:dstrike w:val="false"/>
                <w:outline w:val="false"/>
                <w:shadow w:val="false"/>
                <w:color w:val="auto"/>
                <w:kern w:val="2"/>
                <w:sz w:val="24"/>
                <w:szCs w:val="24"/>
                <w:u w:val="none"/>
                <w:em w:val="none"/>
                <w:lang w:val="ru-RU" w:eastAsia="ru-RU" w:bidi="ar-SA"/>
              </w:rPr>
              <w:t>«</w:t>
            </w:r>
            <w:r>
              <w:rPr>
                <w:rFonts w:eastAsia="Times New Roman" w:cs="Times New Roman" w:ascii="Times New Roman" w:hAnsi="Times New Roman"/>
                <w:bCs/>
                <w:i w:val="false"/>
                <w:strike w:val="false"/>
                <w:dstrike w:val="false"/>
                <w:outline w:val="false"/>
                <w:shadow w:val="false"/>
                <w:color w:val="auto"/>
                <w:kern w:val="2"/>
                <w:sz w:val="24"/>
                <w:szCs w:val="24"/>
                <w:u w:val="none"/>
                <w:em w:val="none"/>
                <w:lang w:val="en-US" w:eastAsia="ru-RU" w:bidi="ar-SA"/>
              </w:rPr>
              <w:t>Оказание услуг по предоставлению судов в тайм-чартер</w:t>
            </w:r>
            <w:r>
              <w:rPr>
                <w:rFonts w:eastAsia="Times New Roman" w:cs="Times New Roman" w:ascii="Times New Roman" w:hAnsi="Times New Roman"/>
                <w:bCs/>
                <w:i w:val="false"/>
                <w:strike w:val="false"/>
                <w:dstrike w:val="false"/>
                <w:outline w:val="false"/>
                <w:shadow w:val="false"/>
                <w:color w:themeColor="text1" w:val="000000"/>
                <w:kern w:val="2"/>
                <w:sz w:val="24"/>
                <w:szCs w:val="24"/>
                <w:u w:val="none"/>
                <w:em w:val="none"/>
                <w:lang w:val="ru-RU" w:eastAsia="ru-RU" w:bidi="ar-SA"/>
                <w14:textFill>
                  <w14:solidFill>
                    <w14:schemeClr w14:val="tx1"/>
                  </w14:solidFill>
                </w14:textFill>
              </w:rPr>
              <w:t>»</w:t>
            </w:r>
          </w:p>
        </w:tc>
      </w:tr>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1"/>
              </w:numPr>
              <w:snapToGrid w:val="false"/>
              <w:spacing w:lineRule="auto" w:line="240" w:before="0" w:after="0"/>
              <w:ind w:hanging="357" w:start="470"/>
              <w:contextualSpacing/>
              <w:jc w:val="center"/>
              <w:rPr>
                <w:rFonts w:ascii="Times New Roman" w:hAnsi="Times New Roman" w:cs="Times New Roman"/>
                <w:b/>
                <w:lang w:val="ru-RU"/>
              </w:rPr>
            </w:pPr>
            <w:r>
              <w:rPr>
                <w:rFonts w:cs="Times New Roman" w:ascii="Times New Roman" w:hAnsi="Times New Roman"/>
                <w:b/>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Описание объекта закупки (характеристики и количество поставляемого товара, объёма выполняемых работ, оказываемых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В соответствии с Техническим заданием (Приложение № 1 к Извещению).</w:t>
            </w:r>
          </w:p>
        </w:tc>
      </w:tr>
      <w:tr>
        <w:trPr>
          <w:trHeight w:val="102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Место, условия и сроки поставки товара,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Указано в Техническом задании (Приложение № 1 к настоящему Извещению) и Проекте договора (Приложение № 6 к настоящему Извещению).</w:t>
            </w:r>
          </w:p>
          <w:p>
            <w:pPr>
              <w:pStyle w:val="Normal"/>
              <w:spacing w:lineRule="auto" w:line="240" w:before="0" w:after="0"/>
              <w:contextualSpacing/>
              <w:jc w:val="both"/>
              <w:rPr/>
            </w:pPr>
            <w:r>
              <w:rPr/>
              <w:t xml:space="preserve">Сроки поставки товара: </w:t>
            </w:r>
            <w:r>
              <w:rPr>
                <w:b/>
                <w:bCs/>
                <w:color w:val="000000"/>
              </w:rPr>
              <w:t>в соответствии с техническим заданием</w:t>
            </w:r>
            <w:r>
              <w:rPr>
                <w:color w:val="000000"/>
              </w:rPr>
              <w:t>.</w:t>
            </w:r>
          </w:p>
          <w:p>
            <w:pPr>
              <w:pStyle w:val="Normal"/>
              <w:spacing w:lineRule="auto" w:line="240" w:before="0" w:after="0"/>
              <w:contextualSpacing/>
              <w:jc w:val="both"/>
              <w:rPr>
                <w:rFonts w:eastAsia="LiberationSerif"/>
                <w:color w:val="000000"/>
                <w:lang w:eastAsia="zh-CN" w:bidi="ar-SA"/>
              </w:rPr>
            </w:pPr>
            <w:r>
              <w:rPr>
                <w:color w:val="000000"/>
              </w:rPr>
              <w:t xml:space="preserve">Место поставки товара: </w:t>
            </w:r>
            <w:r>
              <w:rPr>
                <w:rFonts w:eastAsia="LiberationSerif"/>
                <w:color w:val="000000"/>
                <w:lang w:eastAsia="zh-CN" w:bidi="ar-SA"/>
              </w:rPr>
              <w:t>В соответствии с техническим заданием</w:t>
            </w:r>
          </w:p>
          <w:p>
            <w:pPr>
              <w:pStyle w:val="Normal"/>
              <w:spacing w:lineRule="auto" w:line="240" w:before="0" w:after="0"/>
              <w:contextualSpacing/>
              <w:jc w:val="both"/>
              <w:rPr>
                <w:rFonts w:eastAsia="SimSun;Times New Roman"/>
                <w:color w:val="000000"/>
              </w:rPr>
            </w:pPr>
            <w:r>
              <w:rPr>
                <w:rFonts w:eastAsia="SimSun;Times New Roman"/>
                <w:color w:val="000000"/>
              </w:rPr>
              <w:t>Поставка Товара осуществляется силами и за счёт средств Поставщика, в том числе путём привлечения третьих лиц, путём отгрузки (передачи) Товара на складе Покупателя.</w:t>
            </w:r>
          </w:p>
        </w:tc>
      </w:tr>
      <w:tr>
        <w:trPr>
          <w:trHeight w:val="35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3"/>
              </w:numPr>
              <w:snapToGrid w:val="false"/>
              <w:spacing w:lineRule="auto" w:line="240" w:before="0" w:after="0"/>
              <w:ind w:hanging="357" w:start="470"/>
              <w:contextualSpacing/>
              <w:jc w:val="center"/>
              <w:rPr>
                <w:rFonts w:ascii="Times New Roman" w:hAnsi="Times New Roman" w:cs="Times New Roman"/>
                <w:color w:val="000000"/>
                <w:lang w:val="ru-RU"/>
              </w:rPr>
            </w:pPr>
            <w:r>
              <w:rPr>
                <w:rFonts w:cs="Times New Roman" w:ascii="Times New Roman" w:hAnsi="Times New Roman"/>
                <w:color w:val="000000"/>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Начальная (максимальная) цена договора (НМЦД)</w:t>
            </w:r>
          </w:p>
          <w:p>
            <w:pPr>
              <w:pStyle w:val="Normal"/>
              <w:spacing w:lineRule="auto" w:line="240" w:before="0" w:after="0"/>
              <w:contextualSpacing/>
              <w:jc w:val="both"/>
              <w:rPr/>
            </w:pPr>
            <w:r>
              <w:rPr/>
            </w:r>
          </w:p>
        </w:tc>
        <w:tc>
          <w:tcPr>
            <w:tcW w:w="6975" w:type="dxa"/>
            <w:tcBorders>
              <w:top w:val="single" w:sz="4" w:space="0" w:color="000000"/>
              <w:start w:val="single" w:sz="4" w:space="0" w:color="000000"/>
              <w:bottom w:val="single" w:sz="4" w:space="0" w:color="000000"/>
              <w:end w:val="single" w:sz="4" w:space="0" w:color="000000"/>
            </w:tcBorders>
          </w:tcPr>
          <w:p>
            <w:pPr>
              <w:pStyle w:val="NoSpacing"/>
              <w:spacing w:lineRule="auto" w:line="240" w:before="0" w:after="0"/>
              <w:jc w:val="both"/>
              <w:rPr>
                <w:sz w:val="24"/>
                <w:szCs w:val="24"/>
              </w:rPr>
            </w:pPr>
            <w:r>
              <w:rPr>
                <w:sz w:val="24"/>
                <w:szCs w:val="24"/>
              </w:rPr>
              <w:t>Максимальная(предельная) цена договора установлена</w:t>
            </w:r>
            <w:r>
              <w:rPr>
                <w:b/>
                <w:bCs/>
                <w:sz w:val="24"/>
                <w:szCs w:val="24"/>
              </w:rPr>
              <w:t xml:space="preserve">: </w:t>
            </w:r>
            <w:r>
              <w:rPr>
                <w:rFonts w:cs="Times New Roman"/>
                <w:b/>
                <w:bCs/>
                <w:color w:val="auto"/>
                <w:kern w:val="0"/>
                <w:sz w:val="22"/>
                <w:szCs w:val="22"/>
                <w:lang w:val="ru-RU" w:bidi="ar-SA"/>
                <w14:textFill>
                  <w14:solidFill>
                    <w14:schemeClr w14:val="tx1"/>
                  </w14:solidFill>
                </w14:textFill>
              </w:rPr>
              <w:t>2 280 000,00руб (два миллиона двести восемьдесят тысяч)рублей 00 копеек.</w:t>
            </w:r>
          </w:p>
          <w:p>
            <w:pPr>
              <w:pStyle w:val="NoSpacing"/>
              <w:spacing w:lineRule="auto" w:line="240" w:before="0" w:after="0"/>
              <w:jc w:val="both"/>
              <w:rPr>
                <w:b/>
                <w:bCs/>
                <w:sz w:val="24"/>
                <w:szCs w:val="24"/>
              </w:rPr>
            </w:pPr>
            <w:r>
              <w:rPr>
                <w:b/>
                <w:bCs/>
                <w:sz w:val="24"/>
                <w:szCs w:val="24"/>
              </w:rPr>
            </w:r>
          </w:p>
          <w:p>
            <w:pPr>
              <w:pStyle w:val="Normal"/>
              <w:spacing w:lineRule="auto" w:line="240" w:before="0" w:after="0"/>
              <w:jc w:val="both"/>
              <w:rPr/>
            </w:pPr>
            <w:r>
              <w:rPr/>
              <w:t>НМЦД рассчитана из средней суммы цен за единицу товара.</w:t>
            </w:r>
          </w:p>
          <w:p>
            <w:pPr>
              <w:pStyle w:val="Normal"/>
              <w:spacing w:lineRule="auto" w:line="240" w:before="0" w:after="0"/>
              <w:ind w:end="70"/>
              <w:jc w:val="both"/>
              <w:rPr/>
            </w:pPr>
            <w:r>
              <w:rPr/>
              <w:t>Фактическая цена Договора определяется по фактическому объёму поставленного товара и рассчитывается по формуле:</w:t>
            </w:r>
          </w:p>
          <w:p>
            <w:pPr>
              <w:pStyle w:val="Normal"/>
              <w:spacing w:lineRule="auto" w:line="240" w:before="0" w:after="0"/>
              <w:ind w:end="70"/>
              <w:jc w:val="both"/>
              <w:rPr/>
            </w:pPr>
            <w:r>
              <w:rPr/>
              <w:t>ЦД = Ʃ</w:t>
            </w:r>
            <w:r>
              <w:rPr>
                <w:vertAlign w:val="superscript"/>
              </w:rPr>
              <w:t>n</w:t>
            </w:r>
            <w:r>
              <w:rPr/>
              <w:t>Ц</w:t>
            </w:r>
            <w:r>
              <w:rPr>
                <w:vertAlign w:val="subscript"/>
              </w:rPr>
              <w:t>з</w:t>
            </w:r>
          </w:p>
          <w:p>
            <w:pPr>
              <w:pStyle w:val="Normal"/>
              <w:spacing w:lineRule="auto" w:line="240" w:before="0" w:after="0"/>
              <w:ind w:end="70"/>
              <w:jc w:val="both"/>
              <w:rPr/>
            </w:pPr>
            <w:r>
              <w:rPr/>
              <w:t>где:</w:t>
            </w:r>
          </w:p>
          <w:p>
            <w:pPr>
              <w:pStyle w:val="NoSpacing"/>
              <w:spacing w:lineRule="auto" w:line="240" w:before="0" w:after="0"/>
              <w:jc w:val="both"/>
              <w:rPr>
                <w:sz w:val="24"/>
                <w:szCs w:val="24"/>
              </w:rPr>
            </w:pPr>
            <w:r>
              <w:rPr>
                <w:sz w:val="24"/>
                <w:szCs w:val="24"/>
              </w:rPr>
              <w:t>ЦД – фактическая цена договора по итогам поставок товаров, определённая по указанной формуле, которая не может превышать максимальной цены договора.</w:t>
            </w:r>
          </w:p>
          <w:p>
            <w:pPr>
              <w:pStyle w:val="Normal"/>
              <w:spacing w:lineRule="auto" w:line="240" w:before="0" w:after="0"/>
              <w:ind w:end="70"/>
              <w:jc w:val="both"/>
              <w:rPr/>
            </w:pPr>
            <w:r>
              <w:rPr/>
              <w:t>Ц</w:t>
            </w:r>
            <w:r>
              <w:rPr>
                <w:vertAlign w:val="subscript"/>
              </w:rPr>
              <w:t>з</w:t>
            </w:r>
            <w:r>
              <w:rPr/>
              <w:t xml:space="preserve"> – цена за единицу </w:t>
            </w:r>
            <w:r>
              <w:rPr>
                <w:shd w:fill="FFFFFF" w:val="clear"/>
              </w:rPr>
              <w:t>товара</w:t>
            </w:r>
            <w:r>
              <w:rPr/>
              <w:t>, установленная по итогам закупки.</w:t>
            </w:r>
          </w:p>
          <w:p>
            <w:pPr>
              <w:pStyle w:val="Normal"/>
              <w:spacing w:lineRule="auto" w:line="240" w:before="0" w:after="0"/>
              <w:ind w:end="70"/>
              <w:jc w:val="both"/>
              <w:rPr/>
            </w:pPr>
            <w:r>
              <w:rPr/>
              <w:t>n - фактическое количество поставленных товаров.</w:t>
            </w:r>
          </w:p>
          <w:p>
            <w:pPr>
              <w:pStyle w:val="NoSpacing"/>
              <w:spacing w:lineRule="auto" w:line="240" w:before="0" w:after="0"/>
              <w:jc w:val="both"/>
              <w:rPr>
                <w:sz w:val="24"/>
                <w:szCs w:val="24"/>
              </w:rPr>
            </w:pPr>
            <w:r>
              <w:rPr>
                <w:bCs/>
                <w:sz w:val="24"/>
                <w:szCs w:val="24"/>
              </w:rPr>
              <w:t>Расчёт начальной (максимальной) цены договора представлен в Приложении № 7 настоящего Извещения о проведении запроса котировок в электронной форме. НМЦД рассчитана методом сопоставимых рыночных цен (прикреплено отдельным файлом</w:t>
            </w:r>
            <w:r>
              <w:rPr>
                <w:sz w:val="24"/>
                <w:szCs w:val="24"/>
              </w:rPr>
              <w:t>)</w:t>
            </w:r>
            <w:r>
              <w:rPr>
                <w:bCs/>
                <w:sz w:val="24"/>
                <w:szCs w:val="24"/>
              </w:rPr>
              <w:t>.</w:t>
            </w:r>
          </w:p>
          <w:p>
            <w:pPr>
              <w:pStyle w:val="Normal"/>
              <w:spacing w:lineRule="auto" w:line="240" w:before="0" w:after="0"/>
              <w:contextualSpacing/>
              <w:jc w:val="both"/>
              <w:rPr/>
            </w:pPr>
            <w:r>
              <w:rPr/>
              <w:t>По согласованию Сторон максимальная цена договора (лимит потребления) может быть увеличен в соответствии с условиями договора.</w:t>
            </w:r>
          </w:p>
        </w:tc>
      </w:tr>
      <w:tr>
        <w:trPr>
          <w:trHeight w:val="2142"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4"/>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Срок и условия оплаты поставки товаров,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spacing w:before="0" w:after="160"/>
              <w:jc w:val="both"/>
              <w:rPr/>
            </w:pPr>
            <w:r>
              <w:rPr/>
              <w:t xml:space="preserve">В соответствии с условиями Проекта договора (Договор) (Приложение № 6 к настоящему Извещению). Безналичная форма оплаты на основании выставленного Поставщиком счета на оплату в размере 100% от стоимости принятого Заказчиком товара, </w:t>
            </w:r>
            <w:r>
              <w:rPr>
                <w:b/>
                <w:bCs/>
              </w:rPr>
              <w:t>в течение 7 (семи) рабочих дней</w:t>
            </w:r>
            <w:r>
              <w:rPr/>
              <w:t xml:space="preserve"> с момента подписания Сторонами товарной накладной унифицированной формы № ТОРГ–12 (либо универсального передаточного документа – УПД).</w:t>
            </w:r>
          </w:p>
        </w:tc>
      </w:tr>
      <w:tr>
        <w:trPr>
          <w:trHeight w:val="5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5"/>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Источник финансирования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Собственные средства предприятия.</w:t>
            </w:r>
          </w:p>
        </w:tc>
      </w:tr>
      <w:tr>
        <w:trPr>
          <w:trHeight w:val="412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6"/>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Порядок формирования цены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before="0" w:after="160"/>
              <w:jc w:val="both"/>
              <w:rPr>
                <w:rFonts w:eastAsia="SimSun;Times New Roman"/>
              </w:rPr>
            </w:pPr>
            <w:r>
              <w:rPr>
                <w:rFonts w:eastAsia="SimSun;Times New Roman"/>
              </w:rPr>
              <w:t>В цену Договора включены все расходы Поставщика, необходимые для выполнения им своих обязательств по настоящему договору, в том числе, стоимость товара, стоимость транспортных расходов на доставку товара до установленного договором места поставки, стоимость тары (если в соответствии с условиями Технического задания не определено, что тара является возвратной), затаривания, упаковки, маркировки, затраты на осуществление погрузочно-разгрузочных работ (в т.ч., стоимость разгрузки в месте поставки товара – если иное не определено условиями Технического задания), в том числе все подлежащие к уплате Поставщиком налоги, сборы и другие обязательные для Поставщика платежи, расходы на страхование, сертификацию, иные расходы Поставщика, связанные с выполнением обязательств по настоящему договору.</w:t>
            </w:r>
          </w:p>
        </w:tc>
      </w:tr>
      <w:tr>
        <w:trPr>
          <w:trHeight w:val="69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87"/>
              </w:numPr>
              <w:snapToGrid w:val="false"/>
              <w:spacing w:lineRule="auto" w:line="240" w:before="0" w:after="0"/>
              <w:ind w:hanging="357" w:start="470"/>
              <w:contextualSpacing/>
              <w:jc w:val="center"/>
              <w:rPr>
                <w:rFonts w:ascii="Times New Roman" w:hAnsi="Times New Roman" w:eastAsia="SimSun;Times New Roman" w:cs="Times New Roman"/>
              </w:rPr>
            </w:pPr>
            <w:r>
              <w:rPr>
                <w:rFonts w:eastAsia="SimSun;Times New Roman"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Требования, предъявляемые к участникам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b/>
                <w:bCs/>
              </w:rPr>
              <w:t>Участник закупки</w:t>
            </w:r>
            <w:r>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настоящим пунктом.</w:t>
            </w:r>
          </w:p>
          <w:p>
            <w:pPr>
              <w:pStyle w:val="Normal"/>
              <w:spacing w:lineRule="auto" w:line="240" w:before="0" w:after="0"/>
              <w:contextualSpacing/>
              <w:jc w:val="both"/>
              <w:rPr/>
            </w:pPr>
            <w:r>
              <w:rPr/>
              <w:t xml:space="preserve">10.1. При проведении закупок заказчик устанавливает следующие </w:t>
            </w:r>
            <w:r>
              <w:rPr>
                <w:b/>
                <w:bCs/>
              </w:rPr>
              <w:t>единые обязательные требования к участникам закупки</w:t>
            </w:r>
            <w:r>
              <w:rPr/>
              <w:t>:</w:t>
            </w:r>
          </w:p>
          <w:p>
            <w:pPr>
              <w:pStyle w:val="Normal"/>
              <w:numPr>
                <w:ilvl w:val="0"/>
                <w:numId w:val="88"/>
              </w:numPr>
              <w:tabs>
                <w:tab w:val="clear" w:pos="708"/>
                <w:tab w:val="left" w:pos="240" w:leader="none"/>
              </w:tabs>
              <w:spacing w:lineRule="auto" w:line="240" w:before="0" w:after="0"/>
              <w:ind w:hanging="0" w:start="0"/>
              <w:contextualSpacing/>
              <w:jc w:val="both"/>
              <w:rPr/>
            </w:pPr>
            <w:r>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numPr>
                <w:ilvl w:val="0"/>
                <w:numId w:val="89"/>
              </w:numPr>
              <w:tabs>
                <w:tab w:val="clear" w:pos="708"/>
                <w:tab w:val="left" w:pos="240" w:leader="none"/>
              </w:tabs>
              <w:spacing w:lineRule="auto" w:line="240" w:before="0" w:after="0"/>
              <w:ind w:hanging="0" w:start="0"/>
              <w:contextualSpacing/>
              <w:jc w:val="both"/>
              <w:rPr/>
            </w:pPr>
            <w:r>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numPr>
                <w:ilvl w:val="0"/>
                <w:numId w:val="90"/>
              </w:numPr>
              <w:tabs>
                <w:tab w:val="clear" w:pos="708"/>
                <w:tab w:val="left" w:pos="240" w:leader="none"/>
              </w:tabs>
              <w:spacing w:lineRule="auto" w:line="240" w:before="0" w:after="0"/>
              <w:ind w:hanging="0" w:start="0"/>
              <w:contextualSpacing/>
              <w:jc w:val="both"/>
              <w:rPr/>
            </w:pPr>
            <w:r>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numPr>
                <w:ilvl w:val="0"/>
                <w:numId w:val="91"/>
              </w:numPr>
              <w:tabs>
                <w:tab w:val="clear" w:pos="708"/>
                <w:tab w:val="left" w:pos="240" w:leader="none"/>
              </w:tabs>
              <w:spacing w:lineRule="auto" w:line="240" w:before="0" w:after="0"/>
              <w:ind w:hanging="0" w:start="0"/>
              <w:contextualSpacing/>
              <w:jc w:val="both"/>
              <w:rPr/>
            </w:pPr>
            <w: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(исполнителя, подрядчика) не принято;</w:t>
            </w:r>
          </w:p>
          <w:p>
            <w:pPr>
              <w:pStyle w:val="Normal"/>
              <w:numPr>
                <w:ilvl w:val="0"/>
                <w:numId w:val="92"/>
              </w:numPr>
              <w:tabs>
                <w:tab w:val="clear" w:pos="708"/>
                <w:tab w:val="left" w:pos="240" w:leader="none"/>
              </w:tabs>
              <w:spacing w:lineRule="auto" w:line="240" w:before="0" w:after="0"/>
              <w:ind w:hanging="0" w:start="0"/>
              <w:contextualSpacing/>
              <w:jc w:val="both"/>
              <w:rPr/>
            </w:pPr>
            <w: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numPr>
                <w:ilvl w:val="0"/>
                <w:numId w:val="93"/>
              </w:numPr>
              <w:tabs>
                <w:tab w:val="clear" w:pos="708"/>
                <w:tab w:val="left" w:pos="240" w:leader="none"/>
              </w:tabs>
              <w:spacing w:lineRule="auto" w:line="240" w:before="0" w:after="0"/>
              <w:ind w:hanging="0" w:start="0"/>
              <w:contextualSpacing/>
              <w:jc w:val="both"/>
              <w:rPr/>
            </w:pPr>
            <w:r>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pPr>
              <w:pStyle w:val="Normal"/>
              <w:numPr>
                <w:ilvl w:val="0"/>
                <w:numId w:val="94"/>
              </w:numPr>
              <w:tabs>
                <w:tab w:val="clear" w:pos="708"/>
                <w:tab w:val="left" w:pos="240" w:leader="none"/>
              </w:tabs>
              <w:spacing w:lineRule="auto" w:line="240" w:before="0" w:after="0"/>
              <w:ind w:hanging="0" w:start="0"/>
              <w:contextualSpacing/>
              <w:jc w:val="both"/>
              <w:rPr/>
            </w:pPr>
            <w:r>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numPr>
                <w:ilvl w:val="0"/>
                <w:numId w:val="95"/>
              </w:numPr>
              <w:tabs>
                <w:tab w:val="clear" w:pos="708"/>
                <w:tab w:val="left" w:pos="240" w:leader="none"/>
              </w:tabs>
              <w:spacing w:lineRule="auto" w:line="240" w:before="0" w:after="0"/>
              <w:ind w:hanging="0" w:start="0"/>
              <w:contextualSpacing/>
              <w:jc w:val="both"/>
              <w:rPr/>
            </w:pPr>
            <w:r>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numPr>
                <w:ilvl w:val="0"/>
                <w:numId w:val="96"/>
              </w:numPr>
              <w:tabs>
                <w:tab w:val="clear" w:pos="708"/>
                <w:tab w:val="left" w:pos="240" w:leader="none"/>
              </w:tabs>
              <w:spacing w:lineRule="auto" w:line="240" w:before="0" w:after="0"/>
              <w:ind w:hanging="0" w:start="0"/>
              <w:contextualSpacing/>
              <w:jc w:val="both"/>
              <w:rPr/>
            </w:pPr>
            <w:r>
              <w:rPr/>
              <w:t>участник закупки не является офшорной компанией;</w:t>
            </w:r>
          </w:p>
          <w:p>
            <w:pPr>
              <w:pStyle w:val="Normal"/>
              <w:numPr>
                <w:ilvl w:val="0"/>
                <w:numId w:val="97"/>
              </w:numPr>
              <w:tabs>
                <w:tab w:val="clear" w:pos="708"/>
                <w:tab w:val="left" w:pos="240" w:leader="none"/>
              </w:tabs>
              <w:spacing w:lineRule="auto" w:line="240" w:before="0" w:after="0"/>
              <w:ind w:hanging="0" w:start="0"/>
              <w:contextualSpacing/>
              <w:jc w:val="both"/>
              <w:rPr/>
            </w:pPr>
            <w:r>
              <w:rPr/>
              <w:t>отсутствие у участника закупки ограничений для участия в закупках, установленных законодательством Российской Федерации.</w:t>
            </w:r>
          </w:p>
          <w:p>
            <w:pPr>
              <w:pStyle w:val="Normal"/>
              <w:numPr>
                <w:ilvl w:val="0"/>
                <w:numId w:val="98"/>
              </w:numPr>
              <w:tabs>
                <w:tab w:val="clear" w:pos="708"/>
                <w:tab w:val="left" w:pos="240" w:leader="none"/>
              </w:tabs>
              <w:spacing w:lineRule="auto" w:line="240" w:before="0" w:after="0"/>
              <w:ind w:hanging="0" w:start="0"/>
              <w:contextualSpacing/>
              <w:jc w:val="both"/>
              <w:rPr/>
            </w:pPr>
            <w:r>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99"/>
              </w:numPr>
              <w:tabs>
                <w:tab w:val="clear" w:pos="708"/>
                <w:tab w:val="left" w:pos="240" w:leader="none"/>
              </w:tabs>
              <w:spacing w:lineRule="auto" w:line="240" w:before="0" w:after="0"/>
              <w:ind w:hanging="0" w:start="0"/>
              <w:contextualSpacing/>
              <w:jc w:val="both"/>
              <w:rPr/>
            </w:pPr>
            <w:r>
              <w:rPr/>
              <w:t>отсутствие сведений об участнике закупки в реестре недобросовестных поставщиков, предусмотренном Федеральном законом от 18.07.2011 № 223-ФЗ «О закупках товаров, работ, услуг отдельными видами юридических лиц»</w:t>
            </w:r>
          </w:p>
          <w:p>
            <w:pPr>
              <w:pStyle w:val="Normal"/>
              <w:spacing w:lineRule="auto" w:line="240" w:before="0" w:after="0"/>
              <w:contextualSpacing/>
              <w:jc w:val="both"/>
              <w:rPr/>
            </w:pPr>
            <w:r>
              <w:rPr/>
              <w:t>10.2. Требования, предъявляемые к участникам закупки, применяются в равной степени ко всем участникам закупки.</w:t>
            </w:r>
          </w:p>
          <w:p>
            <w:pPr>
              <w:pStyle w:val="Normal"/>
              <w:spacing w:lineRule="auto" w:line="240" w:before="0" w:after="0"/>
              <w:contextualSpacing/>
              <w:jc w:val="both"/>
              <w:rPr/>
            </w:pPr>
            <w:r>
              <w:rPr/>
              <w:t>10.3. Требование о наличии действующих лицензий - Сертификация товара и/или услуг, работ в соответствии с техническим заданием</w:t>
            </w:r>
          </w:p>
        </w:tc>
      </w:tr>
      <w:tr>
        <w:trPr>
          <w:trHeight w:val="7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00"/>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ind w:start="-2" w:end="70"/>
              <w:jc w:val="both"/>
              <w:rPr/>
            </w:pPr>
            <w:r>
              <w:rPr/>
              <w:t>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а также работам и услугам, выполняемым и оказываемым иностранными лицами.</w:t>
            </w:r>
          </w:p>
          <w:p>
            <w:pPr>
              <w:pStyle w:val="Normal"/>
              <w:spacing w:lineRule="auto" w:line="240" w:before="0" w:after="0"/>
              <w:ind w:end="70"/>
              <w:jc w:val="both"/>
              <w:rPr/>
            </w:pPr>
            <w:r>
              <w:rPr/>
              <w:t>Отсутствие в заявке на участие в закупке указания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spacing w:lineRule="auto" w:line="240" w:before="0" w:after="0"/>
              <w:ind w:end="70"/>
              <w:jc w:val="both"/>
              <w:rPr/>
            </w:pPr>
            <w:r>
              <w:rPr/>
              <w:t>В рамках законодательства РФ в отношении участников закупки устанавливается ответственность за предоставление недостоверных сведений о стране происхождения товара, указанного в заявке на участие в закупке.</w:t>
            </w:r>
          </w:p>
          <w:p>
            <w:pPr>
              <w:pStyle w:val="Normal"/>
              <w:spacing w:lineRule="auto" w:line="240" w:before="0" w:after="0"/>
              <w:ind w:end="70"/>
              <w:jc w:val="both"/>
              <w:rPr/>
            </w:pPr>
            <w:r>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w:t>
            </w:r>
          </w:p>
          <w:p>
            <w:pPr>
              <w:pStyle w:val="Normal"/>
              <w:spacing w:lineRule="auto" w:line="240" w:before="0" w:after="0"/>
              <w:ind w:end="70"/>
              <w:jc w:val="both"/>
              <w:rPr/>
            </w:pPr>
            <w:r>
              <w:rPr/>
              <w:t>Приоритет не предоставляется в случаях, если:</w:t>
            </w:r>
          </w:p>
          <w:p>
            <w:pPr>
              <w:pStyle w:val="Normal"/>
              <w:spacing w:lineRule="auto" w:line="240" w:before="0" w:after="0"/>
              <w:ind w:end="70"/>
              <w:jc w:val="both"/>
              <w:rPr/>
            </w:pPr>
            <w:r>
              <w:rPr/>
              <w:t>а) закупка признана несостоявшейся и договор заключается с единственным участником закупки;</w:t>
            </w:r>
          </w:p>
          <w:p>
            <w:pPr>
              <w:pStyle w:val="Normal"/>
              <w:spacing w:lineRule="auto" w:line="240" w:before="0" w:after="0"/>
              <w:ind w:end="70"/>
              <w:jc w:val="both"/>
              <w:rPr/>
            </w:pPr>
            <w:r>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Normal"/>
              <w:spacing w:lineRule="auto" w:line="240" w:before="0" w:after="0"/>
              <w:ind w:end="70"/>
              <w:jc w:val="both"/>
              <w:rPr/>
            </w:pPr>
            <w:r>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Normal"/>
              <w:spacing w:lineRule="auto" w:line="240" w:before="0" w:after="0"/>
              <w:ind w:end="70"/>
              <w:jc w:val="both"/>
              <w:rPr/>
            </w:pPr>
            <w:r>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Normal"/>
              <w:spacing w:lineRule="auto" w:line="240" w:before="0" w:after="0"/>
              <w:ind w:start="-2" w:end="70"/>
              <w:jc w:val="both"/>
              <w:rPr/>
            </w:pPr>
            <w:r>
              <w:rPr/>
              <w:t>Исходя из п. 1 постановления Правительства Российской Федерации от 16.09.2016 № 925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путём проведения конкурса, аукциона и иных способов закупки, за исключением закупки у единственного поставщика (исполнителя, подрядчика), устанавливается по отношению к товарам, происходящим из иностранного государства, работам, услугам, выполняемым, оказываемым иностранными лицами.</w:t>
            </w:r>
          </w:p>
          <w:p>
            <w:pPr>
              <w:pStyle w:val="Normal"/>
              <w:spacing w:lineRule="auto" w:line="240" w:before="0" w:after="0"/>
              <w:ind w:end="70"/>
              <w:jc w:val="both"/>
              <w:rPr/>
            </w:pPr>
            <w:r>
              <w:rPr/>
              <w:t>На основании п. 8 постановления Правительства РФ от 16.09.2016 № 925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pPr>
              <w:pStyle w:val="Normal"/>
              <w:spacing w:lineRule="auto" w:line="240" w:before="0" w:after="0"/>
              <w:ind w:end="70"/>
              <w:jc w:val="both"/>
              <w:rPr/>
            </w:pPr>
            <w:r>
              <w:rPr/>
              <w:t>В состав Генерального соглашения по тарифам и торговле 1994 года входит Генеральное соглашение по тарифам и торговле 1947 года.</w:t>
            </w:r>
          </w:p>
          <w:p>
            <w:pPr>
              <w:pStyle w:val="Normal"/>
              <w:spacing w:lineRule="auto" w:line="240" w:before="0" w:after="0"/>
              <w:ind w:end="70"/>
              <w:jc w:val="both"/>
              <w:rPr/>
            </w:pPr>
            <w:r>
              <w:rPr/>
              <w:t>В соответствии с п. 1 ст. 1 Генерального соглашения по тарифам и торговле 1947 года установлено следующее:</w:t>
            </w:r>
          </w:p>
          <w:p>
            <w:pPr>
              <w:pStyle w:val="Normal"/>
              <w:spacing w:lineRule="auto" w:line="240" w:before="0" w:after="0"/>
              <w:ind w:end="70"/>
              <w:jc w:val="both"/>
              <w:rPr/>
            </w:pPr>
            <w:r>
              <w:rPr/>
              <w:t>«Любое преимущество, благоприятствование, привилегия или иммунитет, предоставляемые любой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происходящему из или предназначаемому для территорий всех других Договаривающихся Сторон».</w:t>
            </w:r>
          </w:p>
          <w:p>
            <w:pPr>
              <w:pStyle w:val="Normal"/>
              <w:spacing w:lineRule="auto" w:line="240" w:before="0" w:after="0"/>
              <w:ind w:end="70"/>
              <w:jc w:val="both"/>
              <w:rPr/>
            </w:pPr>
            <w:r>
              <w:rPr/>
              <w:t>Согласно пунктам 4, 8 «а» ст. III ч. II Генерального соглашения по тарифам и торговле 1947 года товарам с территории любой договаривающейся стороны, ввозимым на территорию другой договаривающейся стороны, предоставляется режим не менее благоприятный, чем тот, который предоставлен аналогичным товарам отечественного происхождения в отношении всех законов, правил и требований, затрагивающих их внутреннюю продажу, предложение к продаже, покупку, транспортировку, распределение или использование.</w:t>
            </w:r>
          </w:p>
          <w:p>
            <w:pPr>
              <w:pStyle w:val="Normal"/>
              <w:spacing w:lineRule="auto" w:line="240" w:before="0" w:after="0"/>
              <w:ind w:end="70"/>
              <w:jc w:val="both"/>
              <w:rPr/>
            </w:pPr>
            <w:r>
              <w:rPr/>
              <w:t>В соответствии с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Normal"/>
              <w:spacing w:lineRule="auto" w:line="240" w:before="0" w:after="0"/>
              <w:ind w:end="70"/>
              <w:jc w:val="both"/>
              <w:rPr/>
            </w:pPr>
            <w:r>
              <w:rPr/>
              <w:t>На основании вышеуказанных соглашений иностранной продукции стран-участниц ВТО предоставляется приоритет наравне с российской продукцией, которая была создана на основе Генерального соглашения по тарифам и торговле 1994 года.</w:t>
            </w:r>
          </w:p>
          <w:p>
            <w:pPr>
              <w:pStyle w:val="Normal"/>
              <w:spacing w:lineRule="auto" w:line="240" w:before="0" w:after="0"/>
              <w:contextualSpacing/>
              <w:jc w:val="both"/>
              <w:rPr>
                <w:b/>
                <w:bCs/>
              </w:rPr>
            </w:pPr>
            <w:r>
              <w:rPr>
                <w:b/>
                <w:bCs/>
              </w:rPr>
              <w:t>- Установлен.</w:t>
            </w:r>
          </w:p>
        </w:tc>
      </w:tr>
      <w:tr>
        <w:trPr>
          <w:trHeight w:val="9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0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color w:val="000000"/>
              </w:rPr>
            </w:pPr>
            <w:r>
              <w:rPr>
                <w:color w:val="000000"/>
              </w:rPr>
              <w:t>Требования к содержанию, форме, оформлению и составу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1134" w:leader="none"/>
              </w:tabs>
              <w:spacing w:lineRule="auto" w:line="240" w:before="0" w:after="0"/>
              <w:jc w:val="both"/>
              <w:rPr/>
            </w:pPr>
            <w:r>
              <w:rPr>
                <w:rStyle w:val="Wmi-callto"/>
                <w:shd w:fill="FFFFFF" w:val="clear"/>
              </w:rPr>
              <w:t>12.1 Заявка на участие в запросе котировок должна содержать сведения и документы, требования о предоставлении которых предусмотрены Извещением о закупке, а именно:</w:t>
            </w:r>
          </w:p>
          <w:p>
            <w:pPr>
              <w:pStyle w:val="Normal"/>
              <w:numPr>
                <w:ilvl w:val="0"/>
                <w:numId w:val="102"/>
              </w:numPr>
              <w:spacing w:lineRule="auto" w:line="240" w:before="0" w:after="0"/>
              <w:ind w:hanging="0" w:start="0"/>
              <w:contextualSpacing/>
              <w:jc w:val="both"/>
              <w:rPr/>
            </w:pPr>
            <w:r>
              <w:rPr/>
              <w:t xml:space="preserve">указание фирменного наименования (наименования), сведения об организационно-правовой форме, о месте нахождения, почтовый адрес </w:t>
            </w:r>
            <w:r>
              <w:rPr>
                <w:b/>
                <w:bCs/>
              </w:rPr>
              <w:t>(для юридического лица)</w:t>
            </w:r>
            <w:r>
              <w:rPr/>
              <w:t xml:space="preserve">, фамилия, имя, отчество, паспортные данные, сведения о месте жительства </w:t>
            </w:r>
            <w:r>
              <w:rPr>
                <w:b/>
                <w:bCs/>
              </w:rPr>
              <w:t>(для физического лица)</w:t>
            </w:r>
            <w:r>
              <w:rPr/>
              <w:t>, номер контактного телефона, адрес электронной почты участника закупки;</w:t>
            </w:r>
          </w:p>
          <w:p>
            <w:pPr>
              <w:pStyle w:val="Normal"/>
              <w:numPr>
                <w:ilvl w:val="0"/>
                <w:numId w:val="103"/>
              </w:numPr>
              <w:spacing w:lineRule="auto" w:line="240" w:before="0" w:after="0"/>
              <w:ind w:hanging="0" w:start="0"/>
              <w:contextualSpacing/>
              <w:jc w:val="both"/>
              <w:rPr/>
            </w:pPr>
            <w:r>
              <w:rPr/>
              <w:t xml:space="preserve">копии учредительных документов участника закупки </w:t>
            </w:r>
            <w:r>
              <w:rPr>
                <w:b/>
                <w:bCs/>
              </w:rPr>
              <w:t>(для юридических лиц)</w:t>
            </w:r>
            <w:r>
              <w:rPr/>
              <w:t>;</w:t>
            </w:r>
          </w:p>
          <w:p>
            <w:pPr>
              <w:pStyle w:val="Normal"/>
              <w:numPr>
                <w:ilvl w:val="0"/>
                <w:numId w:val="104"/>
              </w:numPr>
              <w:spacing w:lineRule="auto" w:line="240" w:before="0" w:after="0"/>
              <w:ind w:hanging="0" w:start="0"/>
              <w:contextualSpacing/>
              <w:jc w:val="both"/>
              <w:rPr/>
            </w:pPr>
            <w:r>
              <w:rPr/>
              <w:t xml:space="preserve">выписка из Единого государственного реестра юридических лиц </w:t>
            </w:r>
            <w:r>
              <w:rPr>
                <w:b/>
                <w:bCs/>
              </w:rPr>
              <w:t>(для юридических лиц)</w:t>
            </w:r>
            <w:r>
              <w:rPr/>
              <w:t xml:space="preserve">, либо выписка из Единого государственного реестра индивидуальных предпринимателей </w:t>
            </w:r>
            <w:r>
              <w:rPr>
                <w:b/>
                <w:bCs/>
              </w:rPr>
              <w:t>(для индивидуальных предпринимателей)</w:t>
            </w:r>
            <w:r>
              <w:rPr/>
              <w:t xml:space="preserve">,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b/>
                <w:bCs/>
              </w:rPr>
              <w:t>(для иностранных лиц)</w:t>
            </w:r>
            <w:r>
              <w:rPr/>
              <w:t>;</w:t>
            </w:r>
          </w:p>
          <w:p>
            <w:pPr>
              <w:pStyle w:val="Normal"/>
              <w:numPr>
                <w:ilvl w:val="0"/>
                <w:numId w:val="105"/>
              </w:numPr>
              <w:spacing w:lineRule="auto" w:line="240" w:before="0" w:after="0"/>
              <w:ind w:hanging="0" w:start="0"/>
              <w:contextualSpacing/>
              <w:jc w:val="both"/>
              <w:rPr/>
            </w:pPr>
            <w:r>
              <w:rPr/>
              <w:t>документ, подтверждающий полномочия лица на осуществление действий от имени участника закупки;</w:t>
            </w:r>
          </w:p>
          <w:p>
            <w:pPr>
              <w:pStyle w:val="Normal"/>
              <w:numPr>
                <w:ilvl w:val="0"/>
                <w:numId w:val="106"/>
              </w:numPr>
              <w:spacing w:lineRule="auto" w:line="240" w:before="0" w:after="0"/>
              <w:ind w:hanging="0" w:start="0"/>
              <w:contextualSpacing/>
              <w:jc w:val="both"/>
              <w:rPr/>
            </w:pPr>
            <w:r>
              <w:rPr/>
              <w:t>декларация о соответствии участника закупки требованиям, установленным в подпунктах 2-8 пункта 10.1 Извещения;</w:t>
            </w:r>
          </w:p>
          <w:p>
            <w:pPr>
              <w:pStyle w:val="Normal"/>
              <w:numPr>
                <w:ilvl w:val="0"/>
                <w:numId w:val="107"/>
              </w:numPr>
              <w:spacing w:lineRule="auto" w:line="240" w:before="0" w:after="0"/>
              <w:ind w:hanging="0" w:start="0"/>
              <w:contextualSpacing/>
              <w:jc w:val="both"/>
              <w:rPr/>
            </w:pPr>
            <w:r>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 указанным в Техническом задании (Приложение № 1 к настоящему Извещению);</w:t>
            </w:r>
          </w:p>
          <w:p>
            <w:pPr>
              <w:pStyle w:val="Normal"/>
              <w:numPr>
                <w:ilvl w:val="0"/>
                <w:numId w:val="108"/>
              </w:numPr>
              <w:spacing w:lineRule="auto" w:line="240" w:before="0" w:after="0"/>
              <w:ind w:hanging="0" w:start="0"/>
              <w:contextualSpacing/>
              <w:jc w:val="both"/>
              <w:rPr/>
            </w:pPr>
            <w:r>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pPr>
              <w:pStyle w:val="Normal"/>
              <w:numPr>
                <w:ilvl w:val="0"/>
                <w:numId w:val="109"/>
              </w:numPr>
              <w:spacing w:lineRule="auto" w:line="240" w:before="0" w:after="0"/>
              <w:ind w:hanging="0" w:start="0"/>
              <w:contextualSpacing/>
              <w:jc w:val="both"/>
              <w:rPr/>
            </w:pPr>
            <w:r>
              <w:rPr/>
              <w:t>указание (декларирование) участником закупки в заявке на участие в закупке наименования страны происхождения поставляемых товаров;</w:t>
            </w:r>
          </w:p>
          <w:p>
            <w:pPr>
              <w:pStyle w:val="Normal"/>
              <w:numPr>
                <w:ilvl w:val="0"/>
                <w:numId w:val="110"/>
              </w:numPr>
              <w:spacing w:lineRule="auto" w:line="240" w:before="0" w:after="0"/>
              <w:ind w:hanging="0" w:start="0"/>
              <w:contextualSpacing/>
              <w:jc w:val="both"/>
              <w:rPr/>
            </w:pPr>
            <w:r>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w:t>
            </w:r>
          </w:p>
          <w:p>
            <w:pPr>
              <w:pStyle w:val="Normal"/>
              <w:numPr>
                <w:ilvl w:val="0"/>
                <w:numId w:val="111"/>
              </w:numPr>
              <w:spacing w:lineRule="auto" w:line="240" w:before="0" w:after="0"/>
              <w:ind w:hanging="0" w:start="0"/>
              <w:contextualSpacing/>
              <w:jc w:val="both"/>
              <w:rPr/>
            </w:pPr>
            <w:r>
              <w:rPr/>
              <w:t>иные сведения, установленные Заказчиком Извещении о закупке в соответствии с Положением.</w:t>
            </w:r>
          </w:p>
        </w:tc>
      </w:tr>
      <w:tr>
        <w:trPr>
          <w:trHeight w:val="76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Дата начала и дата окончания срока подачи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b/>
                <w:bCs/>
              </w:rPr>
              <w:t>Дата начала подачи заявок – с момента публикации извещения на официальном сайте Единой информационной системы в сфере закупок (</w:t>
            </w:r>
            <w:hyperlink r:id="rId3">
              <w:r>
                <w:rPr>
                  <w:rStyle w:val="ListLabel1378"/>
                  <w:b/>
                  <w:bCs/>
                </w:rPr>
                <w:t>www.zakupki.gov.ru</w:t>
              </w:r>
            </w:hyperlink>
            <w:r>
              <w:rPr>
                <w:b/>
                <w:bCs/>
              </w:rPr>
              <w:t>).</w:t>
            </w:r>
          </w:p>
          <w:p>
            <w:pPr>
              <w:pStyle w:val="Normal"/>
              <w:spacing w:lineRule="auto" w:line="240" w:before="0" w:after="0"/>
              <w:rPr>
                <w:highlight w:val="none"/>
                <w:shd w:fill="auto" w:val="clear"/>
              </w:rPr>
            </w:pPr>
            <w:r>
              <w:rPr>
                <w:b/>
                <w:bCs/>
                <w:shd w:fill="auto" w:val="clear"/>
              </w:rPr>
              <w:t>Дата окончания подачи заявок – _</w:t>
            </w:r>
            <w:r>
              <w:rPr>
                <w:b/>
                <w:bCs/>
                <w:u w:val="single"/>
                <w:shd w:fill="auto" w:val="clear"/>
              </w:rPr>
              <w:t>14.11.2024г</w:t>
            </w:r>
            <w:r>
              <w:rPr>
                <w:b/>
                <w:bCs/>
                <w:u w:val="single"/>
                <w:shd w:fill="auto" w:val="clear"/>
              </w:rPr>
              <w:t xml:space="preserve"> 10:00 ч. МСК.</w:t>
            </w:r>
          </w:p>
        </w:tc>
      </w:tr>
      <w:tr>
        <w:trPr>
          <w:trHeight w:val="274"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spacing w:lineRule="auto" w:line="240" w:before="0" w:after="160"/>
              <w:jc w:val="both"/>
              <w:rPr>
                <w:bCs/>
              </w:rPr>
            </w:pPr>
            <w:r>
              <w:rPr>
                <w:bCs/>
              </w:rPr>
              <w:t>Адрес электронной торговой площадки в сети «Интернет», на которой проводится закупка (при осуществлении конкурентной закупки в электронной форме)</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spacing w:lineRule="auto" w:line="240" w:before="0" w:after="160"/>
              <w:jc w:val="both"/>
              <w:rPr>
                <w:bCs/>
              </w:rPr>
            </w:pPr>
            <w:r>
              <w:rPr>
                <w:bCs/>
              </w:rPr>
              <w:t xml:space="preserve">Извещение о закупке размещается в Единой информационной системе в сфере закупок по адресу в сети Интернет: </w:t>
            </w:r>
            <w:hyperlink r:id="rId4">
              <w:r>
                <w:rPr>
                  <w:rStyle w:val="ListLabel1379"/>
                  <w:bCs/>
                </w:rPr>
                <w:t>www.zakupki.gov.ru</w:t>
              </w:r>
            </w:hyperlink>
            <w:r>
              <w:rPr>
                <w:bCs/>
              </w:rPr>
              <w:t xml:space="preserve"> (далее - ЕИС) и на электронной площадке Электронные Торги России, </w:t>
            </w:r>
            <w:hyperlink r:id="rId5">
              <w:r>
                <w:rPr>
                  <w:rStyle w:val="ListLabel1379"/>
                  <w:bCs/>
                </w:rPr>
                <w:t>https://torgi82.ru/.</w:t>
              </w:r>
            </w:hyperlink>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14"/>
              </w:numPr>
              <w:snapToGrid w:val="false"/>
              <w:spacing w:lineRule="auto" w:line="240" w:before="0" w:after="0"/>
              <w:ind w:hanging="357" w:start="470"/>
              <w:contextualSpacing/>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Форма и порядок подачи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b/>
              </w:rPr>
            </w:pPr>
            <w:r>
              <w:rPr>
                <w:b/>
              </w:rPr>
              <w:t>Порядок подачи заявки:</w:t>
            </w:r>
          </w:p>
          <w:p>
            <w:pPr>
              <w:pStyle w:val="ListParagraph"/>
              <w:numPr>
                <w:ilvl w:val="0"/>
                <w:numId w:val="115"/>
              </w:numPr>
              <w:spacing w:lineRule="auto" w:line="240" w:before="0" w:after="0"/>
              <w:ind w:hanging="36" w:start="36"/>
              <w:contextualSpacing/>
              <w:jc w:val="both"/>
              <w:rPr/>
            </w:pPr>
            <w:r>
              <w:rPr>
                <w:rStyle w:val="Wmi-callto"/>
                <w:rFonts w:cs="Times New Roman" w:ascii="Times New Roman" w:hAnsi="Times New Roman"/>
                <w:shd w:fill="FFFFFF" w:val="clear"/>
              </w:rPr>
              <w:t xml:space="preserve">Заявка </w:t>
            </w:r>
            <w:r>
              <w:rPr>
                <w:rStyle w:val="Wmi-callto"/>
                <w:rFonts w:cs="Times New Roman" w:ascii="Times New Roman" w:hAnsi="Times New Roman"/>
                <w:shd w:fill="FFFFFF" w:val="clear"/>
                <w:lang w:val="ru-RU"/>
              </w:rPr>
              <w:t xml:space="preserve">Участника закупки </w:t>
            </w:r>
            <w:r>
              <w:rPr>
                <w:rStyle w:val="Wmi-callto"/>
                <w:rFonts w:cs="Times New Roman" w:ascii="Times New Roman" w:hAnsi="Times New Roman"/>
                <w:shd w:fill="FFFFFF" w:val="clear"/>
              </w:rPr>
              <w:t xml:space="preserve">на участие в запросе котировок </w:t>
            </w:r>
            <w:r>
              <w:rPr>
                <w:rStyle w:val="Wmi-callto"/>
                <w:rFonts w:cs="Times New Roman" w:ascii="Times New Roman" w:hAnsi="Times New Roman"/>
                <w:shd w:fill="FFFFFF" w:val="clear"/>
                <w:lang w:val="ru-RU"/>
              </w:rPr>
              <w:t>в электронной форме подаётся (направляется) оператору электронной площадки в форме электронных документов;</w:t>
            </w:r>
          </w:p>
          <w:p>
            <w:pPr>
              <w:pStyle w:val="ListParagraph"/>
              <w:numPr>
                <w:ilvl w:val="0"/>
                <w:numId w:val="116"/>
              </w:numPr>
              <w:spacing w:lineRule="auto" w:line="240" w:before="0" w:after="0"/>
              <w:ind w:hanging="36" w:start="36"/>
              <w:contextualSpacing/>
              <w:jc w:val="both"/>
              <w:rPr/>
            </w:pPr>
            <w:r>
              <w:rPr>
                <w:rStyle w:val="Wmi-callto"/>
                <w:rFonts w:cs="Times New Roman" w:ascii="Times New Roman" w:hAnsi="Times New Roman"/>
                <w:shd w:fill="FFFFFF" w:val="clear"/>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запроса котировок (в случае выделения в закупке лотов)</w:t>
            </w:r>
            <w:r>
              <w:rPr>
                <w:rStyle w:val="Wmi-callto"/>
                <w:rFonts w:cs="Times New Roman" w:ascii="Times New Roman" w:hAnsi="Times New Roman"/>
                <w:shd w:fill="FFFFFF" w:val="clear"/>
                <w:lang w:val="ru-RU"/>
              </w:rPr>
              <w:t>;</w:t>
            </w:r>
          </w:p>
          <w:p>
            <w:pPr>
              <w:pStyle w:val="ListParagraph"/>
              <w:numPr>
                <w:ilvl w:val="0"/>
                <w:numId w:val="117"/>
              </w:numPr>
              <w:spacing w:lineRule="auto" w:line="240" w:before="0" w:after="0"/>
              <w:ind w:hanging="36" w:start="36"/>
              <w:contextualSpacing/>
              <w:jc w:val="both"/>
              <w:rPr/>
            </w:pPr>
            <w:r>
              <w:rPr>
                <w:rStyle w:val="Wmi-callto"/>
                <w:rFonts w:cs="Times New Roman" w:ascii="Times New Roman" w:hAnsi="Times New Roman"/>
                <w:shd w:fill="FFFFFF" w:val="clear"/>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Pr>
                <w:rStyle w:val="Wmi-callto"/>
                <w:rFonts w:cs="Times New Roman" w:ascii="Times New Roman" w:hAnsi="Times New Roman"/>
                <w:shd w:fill="FFFFFF" w:val="clear"/>
                <w:lang w:val="ru-RU"/>
              </w:rPr>
              <w:t>;</w:t>
            </w:r>
          </w:p>
          <w:p>
            <w:pPr>
              <w:pStyle w:val="ListParagraph"/>
              <w:numPr>
                <w:ilvl w:val="0"/>
                <w:numId w:val="118"/>
              </w:numPr>
              <w:spacing w:lineRule="auto" w:line="240" w:before="0" w:after="0"/>
              <w:ind w:hanging="36" w:start="36"/>
              <w:contextualSpacing/>
              <w:jc w:val="both"/>
              <w:rPr/>
            </w:pPr>
            <w:r>
              <w:rPr>
                <w:rStyle w:val="Wmi-callto"/>
                <w:rFonts w:cs="Times New Roman" w:ascii="Times New Roman" w:hAnsi="Times New Roman"/>
                <w:shd w:fill="FFFFFF" w:val="clear"/>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r>
              <w:rPr>
                <w:rStyle w:val="Wmi-callto"/>
                <w:rFonts w:cs="Times New Roman" w:ascii="Times New Roman" w:hAnsi="Times New Roman"/>
                <w:shd w:fill="FFFFFF" w:val="clear"/>
                <w:lang w:val="ru-RU"/>
              </w:rPr>
              <w:t>;</w:t>
            </w:r>
          </w:p>
          <w:p>
            <w:pPr>
              <w:pStyle w:val="ListParagraph"/>
              <w:numPr>
                <w:ilvl w:val="0"/>
                <w:numId w:val="119"/>
              </w:numPr>
              <w:spacing w:lineRule="auto" w:line="240" w:before="0" w:after="0"/>
              <w:ind w:hanging="36" w:start="36"/>
              <w:contextualSpacing/>
              <w:jc w:val="both"/>
              <w:rPr/>
            </w:pPr>
            <w:r>
              <w:rPr>
                <w:rStyle w:val="Wmi-callto"/>
                <w:rFonts w:cs="Times New Roman" w:ascii="Times New Roman" w:hAnsi="Times New Roman"/>
                <w:shd w:fill="FFFFFF" w:val="clear"/>
              </w:rPr>
              <w:t>Порядок отзыва и изменения заявки осуществляется посредством функционала ЭТП и в соответствии с регламентом ЭТП, на которой проводится закупка.</w:t>
            </w:r>
          </w:p>
          <w:p>
            <w:pPr>
              <w:pStyle w:val="ListParagraph"/>
              <w:numPr>
                <w:ilvl w:val="0"/>
                <w:numId w:val="120"/>
              </w:numPr>
              <w:spacing w:lineRule="auto" w:line="240" w:before="0" w:after="0"/>
              <w:ind w:hanging="36" w:start="36"/>
              <w:contextualSpacing/>
              <w:jc w:val="both"/>
              <w:rPr/>
            </w:pPr>
            <w:r>
              <w:rPr>
                <w:rFonts w:cs="Times New Roman" w:ascii="Times New Roman" w:hAnsi="Times New Roman"/>
                <w:lang w:val="ru-RU"/>
              </w:rPr>
              <w:t xml:space="preserve">Подача заявки </w:t>
            </w:r>
            <w:r>
              <w:rPr>
                <w:rFonts w:cs="Times New Roman" w:ascii="Times New Roman" w:hAnsi="Times New Roman"/>
                <w:b/>
                <w:lang w:val="ru-RU"/>
              </w:rPr>
              <w:t>является согласием</w:t>
            </w:r>
            <w:r>
              <w:rPr>
                <w:rFonts w:cs="Times New Roman" w:ascii="Times New Roman" w:hAnsi="Times New Roman"/>
                <w:lang w:val="ru-RU"/>
              </w:rPr>
              <w:t xml:space="preserve"> заключить договор на условиях, предусмотренных настоящим извещением и проектом договора и осуществить поставку товаров (выполнение работ, оказание услуг) в соответствии с требованиями и условиями, перечисленными в них.</w:t>
            </w:r>
          </w:p>
          <w:p>
            <w:pPr>
              <w:pStyle w:val="Normal"/>
              <w:spacing w:lineRule="auto" w:line="240" w:before="0" w:after="0"/>
              <w:contextualSpacing/>
              <w:jc w:val="center"/>
              <w:rPr>
                <w:b/>
                <w:bCs/>
                <w:iCs/>
              </w:rPr>
            </w:pPr>
            <w:r>
              <w:rPr>
                <w:b/>
                <w:bCs/>
                <w:iCs/>
              </w:rPr>
              <w:t>Инструкция по заполнению заявки</w:t>
            </w:r>
          </w:p>
          <w:p>
            <w:pPr>
              <w:pStyle w:val="Style181"/>
              <w:widowControl/>
              <w:spacing w:lineRule="auto" w:line="240" w:before="0" w:after="0"/>
              <w:ind w:hanging="0" w:end="19"/>
              <w:contextualSpacing/>
              <w:rPr/>
            </w:pPr>
            <w:r>
              <w:rPr>
                <w:rStyle w:val="FontStyle24"/>
                <w:sz w:val="24"/>
                <w:szCs w:val="24"/>
              </w:rPr>
              <w:t>Заявка на участие в запросе котировок, подготовленная участником закупки, должна быть составлена на русском языке. 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Style181"/>
              <w:widowControl/>
              <w:spacing w:lineRule="auto" w:line="240" w:before="0" w:after="0"/>
              <w:ind w:hanging="0" w:end="24"/>
              <w:contextualSpacing/>
              <w:rPr/>
            </w:pPr>
            <w:r>
              <w:rPr>
                <w:rStyle w:val="FontStyle24"/>
                <w:sz w:val="24"/>
                <w:szCs w:val="24"/>
              </w:rPr>
              <w:t>Все документы, входящие в состав заявки на участие в запросе котировок, должны иметь чётко читаемый текст.</w:t>
            </w:r>
          </w:p>
          <w:p>
            <w:pPr>
              <w:pStyle w:val="Style181"/>
              <w:widowControl/>
              <w:spacing w:lineRule="auto" w:line="240" w:before="0" w:after="0"/>
              <w:ind w:hanging="0" w:end="24"/>
              <w:contextualSpacing/>
              <w:rPr/>
            </w:pPr>
            <w:r>
              <w:rPr>
                <w:rStyle w:val="FontStyle24"/>
                <w:b/>
                <w:color w:val="FF0000"/>
                <w:sz w:val="24"/>
                <w:szCs w:val="24"/>
              </w:rPr>
              <w:t>Информация, содержащаяся в заявке на участие в запросе котировок в электронной форме, не должна допускать двусмысленных толкований (разночтений), должна трактоваться однозначно.</w:t>
            </w:r>
          </w:p>
          <w:p>
            <w:pPr>
              <w:pStyle w:val="Normal"/>
              <w:spacing w:lineRule="auto" w:line="240" w:before="0" w:after="0"/>
              <w:contextualSpacing/>
              <w:jc w:val="both"/>
              <w:rPr/>
            </w:pPr>
            <w:r>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pPr>
              <w:pStyle w:val="Normal"/>
              <w:spacing w:lineRule="auto" w:line="240" w:before="0" w:after="0"/>
              <w:contextualSpacing/>
              <w:jc w:val="both"/>
              <w:rPr/>
            </w:pPr>
            <w:r>
              <w:rPr/>
              <w:t>Участники закупки, при предоставлении конкретных показателей используемого товара, соответствующих значениям, установленным извещением о запросе котировок в электронной форме, должны учитывать, что максимальные и (или) минимальные значения таких показателей, а также значения показателей, которые не могут изменяться установлены заказчиком следующим образом:</w:t>
            </w:r>
          </w:p>
          <w:p>
            <w:pPr>
              <w:pStyle w:val="Normal"/>
              <w:spacing w:lineRule="auto" w:line="240" w:before="0" w:after="0"/>
              <w:contextualSpacing/>
              <w:jc w:val="both"/>
              <w:rPr/>
            </w:pPr>
            <w:r>
              <w:rPr/>
              <w:t>1. Значения показателей без сопровождения слов «не более», «не выше», «не менее», «не ниже», «более», «свыше», «менее», «выше», знаков «&gt;», «≥», «&lt;», «≤» и другими обозначениями по своему смыслу аналогичными указанным, являются неизменными и должны быть представлены в неизменном виде.</w:t>
            </w:r>
          </w:p>
          <w:p>
            <w:pPr>
              <w:pStyle w:val="Normal"/>
              <w:spacing w:lineRule="auto" w:line="240" w:before="0" w:after="0"/>
              <w:contextualSpacing/>
              <w:jc w:val="both"/>
              <w:rPr/>
            </w:pPr>
            <w:r>
              <w:rPr/>
              <w:t>Диапазоны значений показателей, которые не могут изменяться (остаются неизменными) обозначаются следующими знаками «…» (многоточие), «-» (тире).</w:t>
            </w:r>
          </w:p>
          <w:p>
            <w:pPr>
              <w:pStyle w:val="Normal"/>
              <w:spacing w:lineRule="auto" w:line="240" w:before="0" w:after="0"/>
              <w:contextualSpacing/>
              <w:jc w:val="both"/>
              <w:rPr/>
            </w:pPr>
            <w:r>
              <w:rPr/>
              <w:t>2. Значения показателей, которые должны быть представлены в виде одного конкретного значения, обозначены словами «не менее», «не более», «более», «свыше», «менее», «от», «до», «не выше», «не ниже», «не менее и не более», «более и не более», «не менее и менее», «от и до», знаков «&gt;», «≥», «&lt;», «≤» и другими обозначениями по своему смыслу аналогичными указанным.</w:t>
            </w:r>
          </w:p>
          <w:p>
            <w:pPr>
              <w:pStyle w:val="Normal"/>
              <w:spacing w:lineRule="auto" w:line="240" w:before="0" w:after="0"/>
              <w:contextualSpacing/>
              <w:jc w:val="both"/>
              <w:rPr/>
            </w:pPr>
            <w:r>
              <w:rPr/>
              <w:t>При этом в случае указания показателей со словами, «не более», «не выше», «до», и другими обозначениями по своему смыслу аналогичными указанным, означает требование значения, не превышающего (не выше) или равному указанного, в случае указания показателей со словами «не менее», «не ниже», «от» и другими обозначениями по своему смыслу аналогичными указанным, означает требование значения, не понижающего (не ниже) или равному указанного, в случае указания показателей со словами «более», «свыше», «менее», «выше» и другими обозначениями по своему смыслу аналогичными указанным, участники закупки должны учитывать, что крайнее значение показателя не входит в допустимое.</w:t>
            </w:r>
          </w:p>
          <w:p>
            <w:pPr>
              <w:pStyle w:val="Normal"/>
              <w:spacing w:lineRule="auto" w:line="240" w:before="0" w:after="0"/>
              <w:contextualSpacing/>
              <w:jc w:val="both"/>
              <w:rPr/>
            </w:pPr>
            <w:r>
              <w:rPr/>
              <w:t>Знак «&lt;» - означает что, участнику следует предоставить в заявке конкретный показатель, менее указанного значения. Знак «&gt;» - означает что, участнику следует предоставить в заявке конкретный показатель, более указанного значения. Знак «≥» - означает что, участнику следует предоставить в заявке конкретный показатель, более указанного значения или равный ему. Знак «≤» - означает что, участнику следует предоставить в заявке конкретный показатель, менее указанного значения или равный ему. При этом, знак «&lt;», «&gt;», «≥», «≤» устанавливаются в требуемом значении сведений о товарах слева от числового значения показателя</w:t>
            </w:r>
          </w:p>
          <w:p>
            <w:pPr>
              <w:pStyle w:val="Normal"/>
              <w:spacing w:lineRule="auto" w:line="240" w:before="0" w:after="0"/>
              <w:contextualSpacing/>
              <w:jc w:val="both"/>
              <w:rPr/>
            </w:pPr>
            <w:r>
              <w:rPr/>
              <w:t>3. Значения показателей, которые должны быть представлены в виде конкретного диапазона, обозначаются следующим образом «… в диапазоне» со словами «не менее и не более», «не выше и не ниже», «свыше и не более», «более и не более», «не менее и менее», «от и до» и другими обозначениями по своему смыслу аналогичными указанным.</w:t>
            </w:r>
          </w:p>
          <w:p>
            <w:pPr>
              <w:pStyle w:val="Normal"/>
              <w:spacing w:lineRule="auto" w:line="240" w:before="0" w:after="0"/>
              <w:contextualSpacing/>
              <w:jc w:val="both"/>
              <w:rPr/>
            </w:pPr>
            <w:r>
              <w:rPr/>
              <w:t>4. Значения показателей, должны быть представлены в виде одного конкретного значения, в случае если идет перечисление допустимых значений и обозначенных союзами «или», «либо», знаком «/» и другими обозначениями по своему смыслу аналогичными указанным.</w:t>
            </w:r>
          </w:p>
          <w:p>
            <w:pPr>
              <w:pStyle w:val="Normal"/>
              <w:spacing w:lineRule="auto" w:line="240" w:before="0" w:after="0"/>
              <w:contextualSpacing/>
              <w:jc w:val="both"/>
              <w:rPr/>
            </w:pPr>
            <w:r>
              <w:rPr/>
              <w:t>В случае если идет перечисление допустимых значений и обозначенных союзами «и/или», участнику следует предоставить в заявке одно из указанных значений либо несколько с союзом «и».</w:t>
            </w:r>
          </w:p>
          <w:p>
            <w:pPr>
              <w:pStyle w:val="Normal"/>
              <w:spacing w:lineRule="auto" w:line="240" w:before="0" w:after="0"/>
              <w:contextualSpacing/>
              <w:jc w:val="both"/>
              <w:rPr/>
            </w:pPr>
            <w:r>
              <w:rPr/>
              <w:t>5. Значения, обозначенные словами «должен быть», «может быть», «должен соответствовать», «соответствие» и другими обозначениями по своему смыслу аналогичными указанным, должны быть представлены конкретно не иметь двусмысленных трактовок и обозначать одно конкретное значение.</w:t>
            </w:r>
          </w:p>
          <w:p>
            <w:pPr>
              <w:pStyle w:val="Normal"/>
              <w:spacing w:lineRule="auto" w:line="240" w:before="0" w:after="0"/>
              <w:contextualSpacing/>
              <w:jc w:val="both"/>
              <w:rPr/>
            </w:pPr>
            <w:r>
              <w:rPr/>
              <w:t>6. Заказчиком в извещении о запросе котировок в электронной форме используются показатели товаров (материалов) с одними физическими и химическими свойствами, но отличным по геометрическим параметрам (толщина, длина, диаметр, фракция, типоразмер, число жил и т. д), эти показатели в извещении о запросе котировок в электронной форме перечисляются в одной строке через знак «;». Участник в заявке на участие в запросе котировок в электронной форме указывает, весь набор конкретных показателей по данному товару (материалу) в соответствии с нормативными документами и извещением о запросе котировок в электронной форме, для каждого параметра.</w:t>
            </w:r>
          </w:p>
          <w:p>
            <w:pPr>
              <w:pStyle w:val="Normal"/>
              <w:spacing w:lineRule="auto" w:line="240" w:before="0" w:after="0"/>
              <w:contextualSpacing/>
              <w:jc w:val="both"/>
              <w:rPr/>
            </w:pPr>
            <w:r>
              <w:rPr/>
              <w:t>7. Единицы измерения показателей и наименование показателей при заполнении заявки должны оставаться без изменений, т.е. не должны изменяться участником закупки.</w:t>
            </w:r>
          </w:p>
          <w:p>
            <w:pPr>
              <w:pStyle w:val="Normal"/>
              <w:spacing w:lineRule="auto" w:line="240" w:before="0" w:after="0"/>
              <w:contextualSpacing/>
              <w:jc w:val="both"/>
              <w:rPr/>
            </w:pPr>
            <w:r>
              <w:rPr/>
              <w:t>8.</w:t>
            </w:r>
            <w:r>
              <w:rPr>
                <w:rFonts w:cs="Times New Roman"/>
              </w:rPr>
              <w:t xml:space="preserve"> </w:t>
            </w:r>
            <w:r>
              <w:rPr>
                <w:rFonts w:cs="Times New Roman"/>
                <w:u w:val="single"/>
              </w:rPr>
              <w:t>Если предлагаемый товар в соответствии с ГОСТом, ТУ, сертификатом, паспортом, инструкцией по применению, информацией изготовителя и т.д. имеет неконкретные (в том числе диапазонные, многозначные, временные и т.п.) характеристики, в таком случае следует указать их в том же виде, в каком указано в соответствующем ГОСТе, ТУ, сертификате, паспорте, инструкции по применению, информации изготовителя и т.д. с пояснением, например, сопровождением словами «установлено производителем», «согласно ГОСТу» и т. п.). ССЫЛКИ на технические регламенты и государственные стандарты (ГОСТ, ОСТ и т.д.), технические условия и т.д. БЕЗ УКАЗАНИЯ конкретных показателей поставляемого товара НЕ ДОПУСКАЮТСЯ</w:t>
            </w:r>
          </w:p>
          <w:p>
            <w:pPr>
              <w:pStyle w:val="Normal"/>
              <w:spacing w:lineRule="auto" w:line="240" w:before="0" w:after="0"/>
              <w:contextualSpacing/>
              <w:jc w:val="both"/>
              <w:rPr/>
            </w:pPr>
            <w:r>
              <w:rPr>
                <w:rFonts w:cs="Times New Roman"/>
              </w:rPr>
              <w:t xml:space="preserve">   </w:t>
            </w:r>
            <w:r>
              <w:rPr>
                <w:rFonts w:cs="Times New Roman"/>
              </w:rPr>
              <w:t>Все характеристики объекта закупки, указанные в техническом задании извещении о запросе котировок в электронной форме, обязательны для предоставления в заявке на участие в запросе котировок в электронной форме в соответствии с вышеуказанными требованиями.</w:t>
            </w:r>
          </w:p>
        </w:tc>
      </w:tr>
      <w:tr>
        <w:trPr>
          <w:trHeight w:val="55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highlight w:val="none"/>
                <w:shd w:fill="auto" w:val="clear"/>
              </w:rPr>
            </w:pPr>
            <w:r>
              <w:rPr>
                <w:shd w:fill="auto" w:val="clear"/>
              </w:rPr>
              <w:t>Дата рассмотрения заявок и подведения итогов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highlight w:val="none"/>
                <w:shd w:fill="auto" w:val="clear"/>
              </w:rPr>
            </w:pPr>
            <w:r>
              <w:rPr>
                <w:shd w:fill="auto" w:val="clear"/>
              </w:rPr>
              <w:t xml:space="preserve">Дата рассмотрения и подведения итогов закупки не позднее </w:t>
            </w:r>
            <w:r>
              <w:rPr>
                <w:u w:val="single"/>
                <w:shd w:fill="auto" w:val="clear"/>
              </w:rPr>
              <w:t>19.11.2024г.</w:t>
            </w:r>
          </w:p>
        </w:tc>
      </w:tr>
      <w:tr>
        <w:trPr>
          <w:trHeight w:val="40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2"/>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Допуск участников закупки (их представителей) на процедуру оценки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Не установлен.</w:t>
            </w:r>
          </w:p>
        </w:tc>
      </w:tr>
      <w:tr>
        <w:trPr>
          <w:trHeight w:val="558"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2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Критерии и порядок оценки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1134" w:leader="none"/>
              </w:tabs>
              <w:spacing w:lineRule="auto" w:line="240" w:before="0" w:after="0"/>
              <w:jc w:val="both"/>
              <w:rPr>
                <w:b/>
              </w:rPr>
            </w:pPr>
            <w:r>
              <w:rPr>
                <w:b/>
              </w:rPr>
              <w:t>Порядок подведения итогов запроса котировок:</w:t>
            </w:r>
          </w:p>
          <w:p>
            <w:pPr>
              <w:pStyle w:val="ListParagraph"/>
              <w:numPr>
                <w:ilvl w:val="1"/>
                <w:numId w:val="124"/>
              </w:numPr>
              <w:tabs>
                <w:tab w:val="clear" w:pos="708"/>
                <w:tab w:val="left" w:pos="601" w:leader="none"/>
              </w:tabs>
              <w:spacing w:lineRule="auto" w:line="240" w:before="0" w:after="0"/>
              <w:ind w:hanging="0" w:start="0"/>
              <w:contextualSpacing/>
              <w:jc w:val="both"/>
              <w:rPr/>
            </w:pPr>
            <w:r>
              <w:rPr>
                <w:rFonts w:cs="Times New Roman" w:ascii="Times New Roman" w:hAnsi="Times New Roman"/>
              </w:rPr>
              <w:t>Доступ к открытию поступивших заявок на участие в запросе котировок в электронной форме осуществляется в заранее назначенное время на электронной площадке согласно извещению о проведении запроса котировок в электронной форме в соответствии с регламентом электронной площадки</w:t>
            </w:r>
            <w:r>
              <w:rPr>
                <w:rFonts w:cs="Times New Roman" w:ascii="Times New Roman" w:hAnsi="Times New Roman"/>
                <w:lang w:val="ru-RU"/>
              </w:rPr>
              <w:t>;</w:t>
            </w:r>
          </w:p>
          <w:p>
            <w:pPr>
              <w:pStyle w:val="ListParagraph"/>
              <w:numPr>
                <w:ilvl w:val="1"/>
                <w:numId w:val="125"/>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Рассмотрение заявок, поданных на участие в запросе котировок и подведение итогов осуществляется закупочной комиссией заказчика</w:t>
            </w:r>
            <w:r>
              <w:rPr>
                <w:rFonts w:cs="Times New Roman" w:ascii="Times New Roman" w:hAnsi="Times New Roman"/>
                <w:lang w:val="ru-RU"/>
              </w:rPr>
              <w:t>;</w:t>
            </w:r>
          </w:p>
          <w:p>
            <w:pPr>
              <w:pStyle w:val="ListParagraph"/>
              <w:numPr>
                <w:ilvl w:val="1"/>
                <w:numId w:val="126"/>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Закупочная комиссия рассматривает заявки, проверяет участников на соблюдение и соответствие требований извещения и действующего законодательства</w:t>
            </w:r>
            <w:r>
              <w:rPr>
                <w:rFonts w:cs="Times New Roman" w:ascii="Times New Roman" w:hAnsi="Times New Roman"/>
                <w:lang w:val="ru-RU"/>
              </w:rPr>
              <w:t xml:space="preserve"> и </w:t>
            </w:r>
            <w:r>
              <w:rPr>
                <w:rFonts w:cs="Times New Roman" w:ascii="Times New Roman" w:hAnsi="Times New Roman"/>
              </w:rPr>
              <w:t>подводит итоги</w:t>
            </w:r>
            <w:r>
              <w:rPr>
                <w:rFonts w:cs="Times New Roman" w:ascii="Times New Roman" w:hAnsi="Times New Roman"/>
                <w:lang w:val="ru-RU"/>
              </w:rPr>
              <w:t>;</w:t>
            </w:r>
          </w:p>
          <w:p>
            <w:pPr>
              <w:pStyle w:val="ListParagraph"/>
              <w:numPr>
                <w:ilvl w:val="1"/>
                <w:numId w:val="127"/>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 xml:space="preserve">Оценка заявок осуществляется </w:t>
            </w:r>
            <w:r>
              <w:rPr>
                <w:rFonts w:cs="Times New Roman" w:ascii="Times New Roman" w:hAnsi="Times New Roman"/>
                <w:lang w:val="ru-RU"/>
              </w:rPr>
              <w:t>путём</w:t>
            </w:r>
            <w:r>
              <w:rPr>
                <w:rFonts w:cs="Times New Roman" w:ascii="Times New Roman" w:hAnsi="Times New Roman"/>
              </w:rPr>
              <w:t xml:space="preserve"> сравнения </w:t>
            </w:r>
            <w:r>
              <w:rPr>
                <w:rFonts w:cs="Times New Roman" w:ascii="Times New Roman" w:hAnsi="Times New Roman"/>
                <w:lang w:val="ru-RU"/>
              </w:rPr>
              <w:t xml:space="preserve">поданных </w:t>
            </w:r>
            <w:r>
              <w:rPr>
                <w:rFonts w:cs="Times New Roman" w:ascii="Times New Roman" w:hAnsi="Times New Roman"/>
              </w:rPr>
              <w:t>предложений участников запроса котировок о цене договора и их ранжирования по степени предпочтительности в порядке возрастания</w:t>
            </w:r>
            <w:r>
              <w:rPr>
                <w:rFonts w:cs="Times New Roman" w:ascii="Times New Roman" w:hAnsi="Times New Roman"/>
                <w:lang w:val="ru-RU"/>
              </w:rPr>
              <w:t>;</w:t>
            </w:r>
          </w:p>
          <w:p>
            <w:pPr>
              <w:pStyle w:val="ListParagraph"/>
              <w:numPr>
                <w:ilvl w:val="1"/>
                <w:numId w:val="128"/>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Заявке на участие в закупке</w:t>
            </w:r>
            <w:r>
              <w:rPr>
                <w:rFonts w:cs="Times New Roman" w:ascii="Times New Roman" w:hAnsi="Times New Roman"/>
                <w:lang w:val="ru-RU"/>
              </w:rPr>
              <w:t xml:space="preserve">, </w:t>
            </w:r>
            <w:r>
              <w:rPr>
                <w:rFonts w:cs="Times New Roman" w:ascii="Times New Roman" w:hAnsi="Times New Roman"/>
              </w:rPr>
              <w:t>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r>
              <w:rPr>
                <w:rFonts w:cs="Times New Roman" w:ascii="Times New Roman" w:hAnsi="Times New Roman"/>
                <w:lang w:val="ru-RU"/>
              </w:rPr>
              <w:t>;</w:t>
            </w:r>
          </w:p>
          <w:p>
            <w:pPr>
              <w:pStyle w:val="ListParagraph"/>
              <w:numPr>
                <w:ilvl w:val="1"/>
                <w:numId w:val="129"/>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r>
              <w:rPr>
                <w:rFonts w:cs="Times New Roman" w:ascii="Times New Roman" w:hAnsi="Times New Roman"/>
                <w:lang w:val="ru-RU"/>
              </w:rPr>
              <w:t>;</w:t>
            </w:r>
          </w:p>
          <w:p>
            <w:pPr>
              <w:pStyle w:val="ListParagraph"/>
              <w:numPr>
                <w:ilvl w:val="1"/>
                <w:numId w:val="130"/>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Комиссия имеет право осуществлять любые иные 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r>
              <w:rPr>
                <w:rFonts w:cs="Times New Roman" w:ascii="Times New Roman" w:hAnsi="Times New Roman"/>
                <w:lang w:val="ru-RU"/>
              </w:rPr>
              <w:t>;</w:t>
            </w:r>
          </w:p>
          <w:p>
            <w:pPr>
              <w:pStyle w:val="ListParagraph"/>
              <w:numPr>
                <w:ilvl w:val="1"/>
                <w:numId w:val="131"/>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r>
              <w:rPr>
                <w:rFonts w:cs="Times New Roman" w:ascii="Times New Roman" w:hAnsi="Times New Roman"/>
                <w:lang w:val="ru-RU"/>
              </w:rPr>
              <w:t>;</w:t>
            </w:r>
          </w:p>
          <w:p>
            <w:pPr>
              <w:pStyle w:val="ListParagraph"/>
              <w:numPr>
                <w:ilvl w:val="1"/>
                <w:numId w:val="132"/>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r>
              <w:rPr>
                <w:rFonts w:cs="Times New Roman" w:ascii="Times New Roman" w:hAnsi="Times New Roman"/>
                <w:lang w:val="ru-RU"/>
              </w:rPr>
              <w:t>;</w:t>
            </w:r>
          </w:p>
          <w:p>
            <w:pPr>
              <w:pStyle w:val="ListParagraph"/>
              <w:numPr>
                <w:ilvl w:val="1"/>
                <w:numId w:val="133"/>
              </w:numPr>
              <w:tabs>
                <w:tab w:val="clear" w:pos="708"/>
                <w:tab w:val="left" w:pos="601" w:leader="none"/>
                <w:tab w:val="left" w:pos="851" w:leader="none"/>
              </w:tabs>
              <w:spacing w:lineRule="auto" w:line="240" w:before="0" w:after="0"/>
              <w:ind w:hanging="0" w:start="0"/>
              <w:contextualSpacing/>
              <w:jc w:val="both"/>
              <w:rPr/>
            </w:pPr>
            <w:r>
              <w:rPr>
                <w:rFonts w:cs="Times New Roman" w:ascii="Times New Roman" w:hAnsi="Times New Roman"/>
              </w:rPr>
              <w:t>С помощью функционала и регламента электронной площадки по результатам рассмотрения заявок и подведения итогов комиссией оформляется протокол рассмотрения заявок и подведения итогов</w:t>
            </w:r>
            <w:r>
              <w:rPr>
                <w:rFonts w:cs="Times New Roman" w:ascii="Times New Roman" w:hAnsi="Times New Roman"/>
                <w:lang w:val="ru-RU"/>
              </w:rPr>
              <w:t>;</w:t>
            </w:r>
          </w:p>
          <w:p>
            <w:pPr>
              <w:pStyle w:val="ListParagraph"/>
              <w:numPr>
                <w:ilvl w:val="1"/>
                <w:numId w:val="134"/>
              </w:numPr>
              <w:tabs>
                <w:tab w:val="clear" w:pos="708"/>
                <w:tab w:val="left" w:pos="601" w:leader="none"/>
              </w:tabs>
              <w:spacing w:lineRule="auto" w:line="240" w:before="0" w:after="0"/>
              <w:ind w:hanging="0" w:start="0"/>
              <w:contextualSpacing/>
              <w:jc w:val="both"/>
              <w:rPr>
                <w:rFonts w:ascii="Times New Roman" w:hAnsi="Times New Roman" w:cs="Times New Roman"/>
              </w:rPr>
            </w:pPr>
            <w:r>
              <w:rPr>
                <w:rFonts w:cs="Times New Roman" w:ascii="Times New Roman" w:hAnsi="Times New Roman"/>
              </w:rPr>
              <w:t>Протокол рассмотрения заявок и подведения итогов подписывается присутствующими членами комиссии в день рассмотрения заявок и подведения итогов, размещается в ЕИС в течение 3 (трёх) дней со дня его подписания.</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35"/>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Заключение договора по итогам запроса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numPr>
                <w:ilvl w:val="0"/>
                <w:numId w:val="136"/>
              </w:numPr>
              <w:spacing w:lineRule="auto" w:line="240" w:before="0" w:after="0"/>
              <w:ind w:firstLine="355" w:start="5"/>
              <w:jc w:val="both"/>
              <w:rPr/>
            </w:pPr>
            <w:r>
              <w:rPr/>
              <w:t>Договор по результатам запроса котировок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запроса котировок, оператора электронной площадки.</w:t>
            </w:r>
          </w:p>
          <w:p>
            <w:pPr>
              <w:pStyle w:val="Normal"/>
              <w:numPr>
                <w:ilvl w:val="0"/>
                <w:numId w:val="137"/>
              </w:numPr>
              <w:spacing w:lineRule="auto" w:line="240" w:before="0" w:after="0"/>
              <w:ind w:firstLine="355" w:start="5"/>
              <w:jc w:val="both"/>
              <w:rPr/>
            </w:pPr>
            <w:r>
              <w:rPr/>
              <w:t xml:space="preserve">Проект договора, заключаемого по результатам запроса котировок в электронной форме, направляется Заказчиком победителю или участнику, с которым заключается договор, в срок не позднее </w:t>
            </w:r>
            <w:r>
              <w:rPr>
                <w:b/>
              </w:rPr>
              <w:t>3 (трёх) рабочих</w:t>
            </w:r>
            <w:r>
              <w:rPr/>
              <w:t xml:space="preserve"> </w:t>
            </w:r>
            <w:r>
              <w:rPr>
                <w:b/>
              </w:rPr>
              <w:t>дней</w:t>
            </w:r>
            <w:r>
              <w:rPr/>
              <w:t xml:space="preserve">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(трёх) рабочих дней с даты признания такого победителя или участника уклонившимся от заключения договора.</w:t>
            </w:r>
          </w:p>
          <w:p>
            <w:pPr>
              <w:pStyle w:val="Normal"/>
              <w:numPr>
                <w:ilvl w:val="0"/>
                <w:numId w:val="138"/>
              </w:numPr>
              <w:spacing w:lineRule="auto" w:line="240" w:before="0" w:after="0"/>
              <w:ind w:firstLine="355" w:start="5"/>
              <w:jc w:val="both"/>
              <w:rPr/>
            </w:pPr>
            <w:r>
              <w:rPr/>
              <w:t xml:space="preserve">Победитель запроса котировок в электронной форме или участник занявший второе место (в случае признания победителя запроса котировок уклонившимся) с использованием электронной цифровой подписи уполномоченного лица в срок не превышающий </w:t>
            </w:r>
            <w:r>
              <w:rPr>
                <w:b/>
              </w:rPr>
              <w:t xml:space="preserve">5 (пяти) календарных дней, </w:t>
            </w:r>
            <w:r>
              <w:rPr>
                <w:bCs/>
              </w:rPr>
              <w:t xml:space="preserve">с даты получения Договора, </w:t>
            </w:r>
            <w:r>
              <w:rPr/>
              <w:t xml:space="preserve">подписывает договор или направляет протокол разногласий, </w:t>
            </w:r>
            <w:r>
              <w:rPr>
                <w:color w:val="000000"/>
              </w:rPr>
              <w:t xml:space="preserve">с указанием замечаний к положениям проекта договора, </w:t>
            </w:r>
            <w:r>
              <w:rPr>
                <w:color w:val="000000"/>
                <w:u w:val="single"/>
              </w:rPr>
              <w:t>не соответствующим извещению и своей заявке</w:t>
            </w:r>
            <w:r>
              <w:rPr>
                <w:color w:val="000000"/>
              </w:rPr>
              <w:t xml:space="preserve">, с указанием соответствующих положений данных документов и направляет его заказчику в рамках того же срока. </w:t>
            </w:r>
            <w:r>
              <w:rPr/>
              <w:t>Протокол разногласий составляется в письменной форме. Он должен содержать следующие сведения:</w:t>
            </w:r>
          </w:p>
          <w:p>
            <w:pPr>
              <w:pStyle w:val="Normal"/>
              <w:spacing w:before="0" w:after="0"/>
              <w:ind w:firstLine="355" w:start="5"/>
              <w:jc w:val="both"/>
              <w:rPr/>
            </w:pPr>
            <w:r>
              <w:rPr/>
              <w:t>а) место, дату составления протокола;</w:t>
            </w:r>
          </w:p>
          <w:p>
            <w:pPr>
              <w:pStyle w:val="Normal"/>
              <w:spacing w:before="0" w:after="0"/>
              <w:ind w:firstLine="355" w:start="5"/>
              <w:jc w:val="both"/>
              <w:rPr/>
            </w:pPr>
            <w:r>
              <w:rPr/>
              <w:t>б) наименование предмета закупки и номер закупки;</w:t>
            </w:r>
          </w:p>
          <w:p>
            <w:pPr>
              <w:pStyle w:val="Normal"/>
              <w:spacing w:lineRule="auto" w:line="240" w:before="0" w:after="0"/>
              <w:ind w:firstLine="355" w:start="5"/>
              <w:jc w:val="both"/>
              <w:rPr/>
            </w:pPr>
            <w:r>
              <w:rPr/>
              <w:t>в) положения договора, которые, по мнению победителя запроса котировок (единственного участника), не соответствуют извещению, и заявке участника.</w:t>
            </w:r>
          </w:p>
          <w:p>
            <w:pPr>
              <w:pStyle w:val="Normal"/>
              <w:numPr>
                <w:ilvl w:val="0"/>
                <w:numId w:val="139"/>
              </w:numPr>
              <w:spacing w:lineRule="auto" w:line="240" w:before="0" w:after="0"/>
              <w:ind w:firstLine="355" w:start="5"/>
              <w:jc w:val="both"/>
              <w:rPr/>
            </w:pPr>
            <w:r>
              <w:rPr/>
              <w:t xml:space="preserve">Заказчик рассматривает протокол разногласий в </w:t>
            </w:r>
            <w:r>
              <w:rPr>
                <w:b/>
              </w:rPr>
              <w:t>течение двух</w:t>
            </w:r>
            <w:r>
              <w:rPr/>
              <w:t xml:space="preserve"> </w:t>
            </w:r>
            <w:r>
              <w:rPr>
                <w:b/>
              </w:rPr>
              <w:t>рабочих</w:t>
            </w:r>
            <w:r>
              <w:rPr/>
              <w:t xml:space="preserve"> дней со дня его получения от победителя запроса котировок в электронной форме (единственного участника) и вправе принять одно из следующих решений:</w:t>
            </w:r>
          </w:p>
          <w:p>
            <w:pPr>
              <w:pStyle w:val="Normal"/>
              <w:spacing w:before="0" w:after="0"/>
              <w:jc w:val="both"/>
              <w:rPr/>
            </w:pPr>
            <w:r>
              <w:rPr/>
              <w:t>- учесть полностью или частично возражения победителя запроса котировок в электронной форме (единственного участника), с которым заключается договор, путем внесения изменений в проект договора и повторно направить его для подписания;</w:t>
            </w:r>
          </w:p>
          <w:p>
            <w:pPr>
              <w:pStyle w:val="Normal"/>
              <w:spacing w:lineRule="auto" w:line="240" w:before="0" w:after="0"/>
              <w:jc w:val="both"/>
              <w:rPr/>
            </w:pPr>
            <w:r>
              <w:rPr/>
              <w:t>- направить договор в первоначальном варианте и отдельный документ с указанием причин, по которым в принятии замечаний, содержащихся в протоколе разногласий победителя запроса котировок в электронной форме (единственного участника), с которым заключается договор, отказано.</w:t>
            </w:r>
          </w:p>
          <w:p>
            <w:pPr>
              <w:pStyle w:val="Normal"/>
              <w:numPr>
                <w:ilvl w:val="0"/>
                <w:numId w:val="140"/>
              </w:numPr>
              <w:spacing w:lineRule="auto" w:line="240" w:before="0" w:after="0"/>
              <w:ind w:firstLine="355" w:start="5"/>
              <w:jc w:val="both"/>
              <w:rPr/>
            </w:pPr>
            <w:r>
              <w:rPr/>
              <w:t>Победитель запроса котировок (единственный участник) или участник занявший второе место (в случае признания победителя запроса котировок уклонившимся), с которым заключается договор, в течение 3 (трёх) рабочих дней со дня получения проекта договора после протокола разногласий, подписывает договор в окончательной редакции заказчика с использованием электронной цифровой подписи уполномоченного лица.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rPr/>
            </w:pPr>
            <w:r>
              <w:rPr/>
              <w:t>Условия признания победителя конкурентной закупки или иного её участника уклонившимся от заключения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26"/>
              <w:spacing w:lineRule="auto" w:line="240" w:before="0" w:after="0"/>
              <w:contextualSpacing/>
              <w:jc w:val="both"/>
              <w:rPr>
                <w:sz w:val="24"/>
                <w:szCs w:val="24"/>
              </w:rPr>
            </w:pPr>
            <w:r>
              <w:rPr>
                <w:rFonts w:cs="Times New Roman" w:ascii="Times New Roman" w:hAnsi="Times New Roman"/>
                <w:sz w:val="24"/>
                <w:szCs w:val="24"/>
              </w:rPr>
              <w:t>Победитель конкурентной закупки или иной её участник признаются уклонившимся от заключения договора в следующих случаях:</w:t>
            </w:r>
          </w:p>
          <w:p>
            <w:pPr>
              <w:pStyle w:val="ListParagraph"/>
              <w:numPr>
                <w:ilvl w:val="0"/>
                <w:numId w:val="142"/>
              </w:numPr>
              <w:tabs>
                <w:tab w:val="clear" w:pos="708"/>
                <w:tab w:val="left" w:pos="420" w:leader="none"/>
              </w:tabs>
              <w:spacing w:lineRule="auto" w:line="240" w:before="0" w:after="0"/>
              <w:ind w:hanging="0" w:start="0"/>
              <w:contextualSpacing/>
              <w:jc w:val="both"/>
              <w:rPr/>
            </w:pPr>
            <w:r>
              <w:rPr>
                <w:rFonts w:cs="Times New Roman" w:ascii="Times New Roman" w:hAnsi="Times New Roman"/>
              </w:rPr>
              <w:t xml:space="preserve">непредставления, подписанного им договора в предусмотренные документацией и (или) извещением о </w:t>
            </w:r>
            <w:r>
              <w:rPr>
                <w:rFonts w:cs="Times New Roman" w:ascii="Times New Roman" w:hAnsi="Times New Roman"/>
                <w:lang w:val="ru-RU"/>
              </w:rPr>
              <w:t xml:space="preserve">конкурентной </w:t>
            </w:r>
            <w:r>
              <w:rPr>
                <w:rFonts w:cs="Times New Roman" w:ascii="Times New Roman" w:hAnsi="Times New Roman"/>
              </w:rPr>
              <w:t>закупке сроки;</w:t>
            </w:r>
          </w:p>
          <w:p>
            <w:pPr>
              <w:pStyle w:val="ListParagraph"/>
              <w:numPr>
                <w:ilvl w:val="0"/>
                <w:numId w:val="143"/>
              </w:numPr>
              <w:tabs>
                <w:tab w:val="clear" w:pos="708"/>
                <w:tab w:val="left" w:pos="480" w:leader="none"/>
              </w:tabs>
              <w:spacing w:lineRule="auto" w:line="240" w:before="0" w:after="0"/>
              <w:ind w:hanging="0" w:start="0"/>
              <w:contextualSpacing/>
              <w:jc w:val="both"/>
              <w:rPr/>
            </w:pPr>
            <w:r>
              <w:rPr>
                <w:rFonts w:cs="Times New Roman"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w:t>
            </w:r>
            <w:r>
              <w:rPr>
                <w:rFonts w:cs="Times New Roman" w:ascii="Times New Roman" w:hAnsi="Times New Roman"/>
                <w:lang w:val="ru-RU"/>
              </w:rPr>
              <w:t xml:space="preserve">конкурентной </w:t>
            </w:r>
            <w:r>
              <w:rPr>
                <w:rFonts w:cs="Times New Roman" w:ascii="Times New Roman" w:hAnsi="Times New Roman"/>
              </w:rPr>
              <w:t>закупке или предоставление обеспечения исполнения договора в ненадлежащей форме;</w:t>
            </w:r>
          </w:p>
          <w:p>
            <w:pPr>
              <w:pStyle w:val="ListParagraph"/>
              <w:numPr>
                <w:ilvl w:val="0"/>
                <w:numId w:val="144"/>
              </w:numPr>
              <w:tabs>
                <w:tab w:val="clear" w:pos="708"/>
                <w:tab w:val="left" w:pos="480" w:leader="none"/>
              </w:tabs>
              <w:spacing w:lineRule="auto" w:line="240" w:before="0" w:after="0"/>
              <w:ind w:hanging="0" w:start="0"/>
              <w:contextualSpacing/>
              <w:jc w:val="both"/>
              <w:rPr>
                <w:highlight w:val="none"/>
                <w:shd w:fill="auto" w:val="clear"/>
              </w:rPr>
            </w:pPr>
            <w:r>
              <w:rPr>
                <w:rFonts w:cs="Times New Roman" w:ascii="Times New Roman" w:hAnsi="Times New Roman"/>
                <w:shd w:fill="auto" w:val="clear"/>
              </w:rPr>
              <w:t>непредставление обоснования предлагаемой цены договора в случае</w:t>
            </w:r>
            <w:r>
              <w:rPr>
                <w:rFonts w:cs="Times New Roman" w:ascii="Times New Roman" w:hAnsi="Times New Roman"/>
                <w:shd w:fill="auto" w:val="clear"/>
                <w:lang w:val="ru-RU"/>
              </w:rPr>
              <w:t xml:space="preserve">, если таким </w:t>
            </w:r>
            <w:r>
              <w:rPr>
                <w:rFonts w:cs="Times New Roman" w:ascii="Times New Roman" w:hAnsi="Times New Roman"/>
                <w:shd w:fill="auto" w:val="clear"/>
              </w:rPr>
              <w:t xml:space="preserve">участником </w:t>
            </w:r>
            <w:r>
              <w:rPr>
                <w:rFonts w:cs="Times New Roman" w:ascii="Times New Roman" w:hAnsi="Times New Roman"/>
                <w:shd w:fill="auto" w:val="clear"/>
                <w:lang w:val="ru-RU"/>
              </w:rPr>
              <w:t xml:space="preserve">закупки, предложена </w:t>
            </w:r>
            <w:r>
              <w:rPr>
                <w:rFonts w:cs="Times New Roman" w:ascii="Times New Roman" w:hAnsi="Times New Roman"/>
                <w:shd w:fill="auto" w:val="clear"/>
              </w:rPr>
              <w:t>цен</w:t>
            </w:r>
            <w:r>
              <w:rPr>
                <w:rFonts w:cs="Times New Roman" w:ascii="Times New Roman" w:hAnsi="Times New Roman"/>
                <w:shd w:fill="auto" w:val="clear"/>
                <w:lang w:val="ru-RU"/>
              </w:rPr>
              <w:t>а</w:t>
            </w:r>
            <w:r>
              <w:rPr>
                <w:rFonts w:cs="Times New Roman" w:ascii="Times New Roman" w:hAnsi="Times New Roman"/>
                <w:shd w:fill="auto" w:val="clear"/>
              </w:rPr>
              <w:t xml:space="preserve"> договора (цена единицы (сумма цен единиц) товара, работы, услуги), которая на 25 и более процентов ниже НМЦД</w:t>
            </w:r>
            <w:r>
              <w:rPr>
                <w:rFonts w:cs="Times New Roman" w:ascii="Times New Roman" w:hAnsi="Times New Roman"/>
                <w:shd w:fill="auto" w:val="clear"/>
                <w:lang w:val="ru-RU"/>
              </w:rPr>
              <w:t>;</w:t>
            </w:r>
          </w:p>
          <w:p>
            <w:pPr>
              <w:pStyle w:val="ListParagraph"/>
              <w:numPr>
                <w:ilvl w:val="0"/>
                <w:numId w:val="145"/>
              </w:numPr>
              <w:tabs>
                <w:tab w:val="clear" w:pos="708"/>
                <w:tab w:val="left" w:pos="480" w:leader="none"/>
              </w:tabs>
              <w:spacing w:lineRule="auto" w:line="240" w:before="0" w:after="0"/>
              <w:ind w:hanging="0" w:start="0"/>
              <w:contextualSpacing/>
              <w:jc w:val="both"/>
              <w:rPr/>
            </w:pPr>
            <w:r>
              <w:rPr>
                <w:rFonts w:cs="Times New Roman" w:ascii="Times New Roman" w:hAnsi="Times New Roman"/>
              </w:rPr>
              <w:t>поступления Заказчику в письменной форме решения об отказе</w:t>
            </w:r>
            <w:r>
              <w:rPr>
                <w:rFonts w:cs="Times New Roman" w:ascii="Times New Roman" w:hAnsi="Times New Roman"/>
                <w:lang w:val="ru-RU"/>
              </w:rPr>
              <w:t xml:space="preserve"> </w:t>
            </w:r>
            <w:r>
              <w:rPr>
                <w:rFonts w:cs="Times New Roman" w:ascii="Times New Roman" w:hAnsi="Times New Roman"/>
              </w:rPr>
              <w:t>от подписания договора.</w:t>
            </w:r>
          </w:p>
          <w:p>
            <w:pPr>
              <w:pStyle w:val="26"/>
              <w:spacing w:lineRule="auto" w:line="240" w:before="0" w:after="0"/>
              <w:contextualSpacing/>
              <w:jc w:val="both"/>
              <w:rPr>
                <w:sz w:val="24"/>
                <w:szCs w:val="24"/>
              </w:rPr>
            </w:pPr>
            <w:r>
              <w:rPr>
                <w:rFonts w:cs="Times New Roman" w:ascii="Times New Roman" w:hAnsi="Times New Roman"/>
                <w:sz w:val="24"/>
                <w:szCs w:val="24"/>
              </w:rPr>
              <w:t>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причинённых уклонением от заключения договора, и заключить договор с участником запроса котировок, предложившим такую же цену договора, как и победитель конкурентной закупки, или при отсутствии этого участника с участником конкурентной закупки, предложение о цене договора которого содержит лучшее условие по цене договора, следующее после предложенного победителем условия, если цена договора не превышает начальную (максимальную) цену договора, указанную в извещении.</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6"/>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Изменение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pPr>
            <w:r>
              <w:rPr/>
              <w:t>Изменение существенных условий договора при его исполнении не допускается, за исключением их изменения по соглашению сторон в случаях, определённых в п. 11.3 Положения о закупке товаров, работ, услуг Заказчика и действующим законодательством.</w:t>
            </w:r>
          </w:p>
        </w:tc>
      </w:tr>
      <w:tr>
        <w:trPr>
          <w:trHeight w:val="14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7"/>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Расторжение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В соответствии с условиями договора.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8"/>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 xml:space="preserve">Форма, порядок, дата и время окончания срока предоставления участникам закупки разъяснений положений извещения </w:t>
            </w:r>
            <w:r>
              <w:rPr>
                <w:rFonts w:eastAsia="Calibri;Trebuchet MS"/>
                <w:bCs/>
              </w:rPr>
              <w:t xml:space="preserve">и (или) документации </w:t>
            </w:r>
            <w:r>
              <w:rPr/>
              <w:t>о закупке.</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jc w:val="both"/>
              <w:rPr/>
            </w:pPr>
            <w:r>
              <w:rPr>
                <w:rFonts w:eastAsia="Calibri;Trebuchet MS"/>
                <w:bCs/>
              </w:rPr>
              <w:t xml:space="preserve">1. Любой </w:t>
            </w:r>
            <w:r>
              <w:rPr>
                <w:rFonts w:eastAsia="Calibri;Trebuchet MS"/>
                <w:bCs/>
                <w:color w:val="000000"/>
              </w:rPr>
              <w:t xml:space="preserve">участник конкурентной закупки </w:t>
            </w:r>
            <w:r>
              <w:rPr>
                <w:rFonts w:eastAsia="Calibri;Trebuchet MS"/>
                <w:bCs/>
              </w:rPr>
              <w:t xml:space="preserve">вправе направить Заказчику </w:t>
            </w:r>
            <w:r>
              <w:rPr/>
              <w:t xml:space="preserve">в порядке, предусмотренном Федеральным законом от 18.07.2011 № 223-ФЗ и Положением о закупке Заказчика </w:t>
            </w:r>
            <w:r>
              <w:rPr>
                <w:rFonts w:eastAsia="Calibri;Trebuchet MS"/>
                <w:bCs/>
              </w:rPr>
              <w:t>запрос на предоставление разъяснений положений извещения и (или) документации о проведении закупки, с учётом следующих требований:</w:t>
            </w:r>
            <w:r>
              <w:rPr>
                <w:rFonts w:eastAsia="Calibri;Trebuchet MS"/>
                <w:b/>
                <w:bCs/>
              </w:rPr>
              <w:t xml:space="preserve"> </w:t>
            </w:r>
            <w:r>
              <w:rPr>
                <w:rFonts w:eastAsia="Calibri;Trebuchet MS"/>
                <w:bCs/>
              </w:rPr>
              <w:t>электронная форма такого запроса подаётся участником закупки с использованием программно-аппаратных средств электронной площадки, на которой планируется проведение такой закупки. В запросе должны быть указаны номер извещения и наименование предмета закупки.</w:t>
            </w:r>
          </w:p>
          <w:p>
            <w:pPr>
              <w:pStyle w:val="Normal"/>
              <w:spacing w:lineRule="auto" w:line="240" w:before="0" w:after="0"/>
              <w:jc w:val="both"/>
              <w:rPr>
                <w:rFonts w:eastAsia="Calibri;Trebuchet MS"/>
                <w:bCs/>
              </w:rPr>
            </w:pPr>
            <w:r>
              <w:rPr>
                <w:rFonts w:eastAsia="Calibri;Trebuchet MS"/>
                <w:bCs/>
              </w:rPr>
              <w:t>2. Заказчик обязан предоставить разъяснение положений извещения и (или) документации о проведении закупки (далее – разъяснение), в соответствии с поданным запросом, путём его размещения в ЕИС через использование программно-аппаратных средств электронной площадки в течение 3 (трёх) рабочих дней с даты его получения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pStyle w:val="Normal"/>
              <w:spacing w:lineRule="auto" w:line="240" w:before="0" w:after="0"/>
              <w:jc w:val="both"/>
              <w:rPr>
                <w:rFonts w:eastAsia="Calibri;Trebuchet MS"/>
                <w:bCs/>
              </w:rPr>
            </w:pPr>
            <w:r>
              <w:rPr>
                <w:rFonts w:eastAsia="Calibri;Trebuchet MS"/>
                <w:bCs/>
              </w:rPr>
              <w:t>3. Разъяснения не должны изменять предмет закупки и существенные условия проекта договора.</w:t>
            </w:r>
          </w:p>
          <w:p>
            <w:pPr>
              <w:pStyle w:val="Normal"/>
              <w:spacing w:lineRule="auto" w:line="240" w:before="0" w:after="0"/>
              <w:contextualSpacing/>
              <w:jc w:val="both"/>
              <w:rPr/>
            </w:pPr>
            <w:r>
              <w:rPr>
                <w:rFonts w:eastAsia="Calibri;Trebuchet MS"/>
                <w:b/>
                <w:shd w:fill="auto" w:val="clear"/>
                <w:lang w:eastAsia="ar-SA"/>
              </w:rPr>
              <w:t xml:space="preserve">Дата и время окончания срока предоставления участникам закупки разъяснений извещения о закупке: </w:t>
            </w:r>
            <w:r>
              <w:rPr>
                <w:rFonts w:eastAsia="Calibri;Trebuchet MS"/>
                <w:b/>
                <w:u w:val="single"/>
                <w:shd w:fill="auto" w:val="clear"/>
                <w:lang w:eastAsia="ar-SA"/>
              </w:rPr>
              <w:t>11.11.2024г</w:t>
            </w:r>
            <w:r>
              <w:rPr>
                <w:rFonts w:eastAsia="Calibri;Trebuchet MS"/>
                <w:b/>
                <w:lang w:eastAsia="ar-SA"/>
              </w:rPr>
              <w:t xml:space="preserve"> при условии, что запрос на разъяснение поступил не позднее чем за 3 (три) рабочих дня до даты окончания срока подачи заявок на участие в такой закупке.</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49"/>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160"/>
              <w:rPr/>
            </w:pPr>
            <w:r>
              <w:rPr/>
              <w:t>Размер обеспечения исполнения договора, срок и порядок его предоставления и возврата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Обеспечение исполнения договора не установлено..</w:t>
            </w:r>
          </w:p>
          <w:p>
            <w:pPr>
              <w:pStyle w:val="Normal"/>
              <w:spacing w:lineRule="auto" w:line="240" w:before="0" w:after="0"/>
              <w:contextualSpacing/>
              <w:jc w:val="both"/>
              <w:rPr>
                <w:lang w:eastAsia="ar-SA"/>
              </w:rPr>
            </w:pPr>
            <w:r>
              <w:rPr>
                <w:lang w:eastAsia="ar-SA"/>
              </w:rPr>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0"/>
              </w:numPr>
              <w:snapToGrid w:val="false"/>
              <w:spacing w:lineRule="auto" w:line="240" w:before="0" w:after="0"/>
              <w:ind w:hanging="357" w:start="470"/>
              <w:contextualSpacing/>
              <w:jc w:val="center"/>
              <w:rPr>
                <w:rFonts w:ascii="Times New Roman" w:hAnsi="Times New Roman" w:cs="Times New Roman"/>
                <w:lang w:eastAsia="ar-SA"/>
              </w:rPr>
            </w:pPr>
            <w:r>
              <w:rPr>
                <w:rFonts w:cs="Times New Roman" w:ascii="Times New Roman" w:hAnsi="Times New Roman"/>
                <w:lang w:eastAsia="ar-SA"/>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spacing w:lineRule="auto" w:line="240" w:before="0" w:after="160"/>
              <w:rPr/>
            </w:pPr>
            <w:r>
              <w:rPr/>
              <w:t>Размер обеспечения заявки, срок и порядок его предоставления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Не установлено.</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1"/>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Обеспечение исполнения гарантийных обязательств</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Не установлено.</w:t>
            </w:r>
          </w:p>
          <w:p>
            <w:pPr>
              <w:pStyle w:val="Normal"/>
              <w:spacing w:lineRule="auto" w:line="240" w:before="0" w:after="0"/>
              <w:contextualSpacing/>
              <w:jc w:val="both"/>
              <w:rPr>
                <w:rFonts w:eastAsia="Calibri;Trebuchet MS"/>
                <w:b/>
                <w:lang w:eastAsia="ar-SA"/>
              </w:rPr>
            </w:pPr>
            <w:r>
              <w:rPr>
                <w:rFonts w:eastAsia="Calibri;Trebuchet MS"/>
                <w:b/>
                <w:lang w:eastAsia="ar-SA"/>
              </w:rPr>
            </w:r>
          </w:p>
        </w:tc>
      </w:tr>
      <w:tr>
        <w:trPr>
          <w:trHeight w:val="23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2"/>
              </w:numPr>
              <w:snapToGrid w:val="false"/>
              <w:spacing w:lineRule="auto" w:line="240" w:before="0" w:after="0"/>
              <w:ind w:hanging="357" w:start="470"/>
              <w:contextualSpacing/>
              <w:jc w:val="center"/>
              <w:rPr>
                <w:rFonts w:ascii="Times New Roman" w:hAnsi="Times New Roman" w:eastAsia="Calibri;Trebuchet MS" w:cs="Times New Roman"/>
                <w:b/>
                <w:lang w:eastAsia="ar-SA"/>
              </w:rPr>
            </w:pPr>
            <w:r>
              <w:rPr>
                <w:rFonts w:eastAsia="Calibri;Trebuchet MS" w:cs="Times New Roman" w:ascii="Times New Roman" w:hAnsi="Times New Roman"/>
                <w:b/>
                <w:lang w:eastAsia="ar-SA"/>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Валюта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rPr/>
            </w:pPr>
            <w:r>
              <w:rPr/>
              <w:t>Российский рубль.</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numPr>
                <w:ilvl w:val="0"/>
                <w:numId w:val="153"/>
              </w:numPr>
              <w:snapToGrid w:val="false"/>
              <w:spacing w:lineRule="auto" w:line="240" w:before="0" w:after="0"/>
              <w:ind w:hanging="357" w:start="470"/>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0"/>
              <w:contextualSpacing/>
              <w:jc w:val="both"/>
              <w:rPr/>
            </w:pPr>
            <w:r>
              <w:rPr/>
              <w:t>Приложения, являющиеся неотъемлемой частью данного извещения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spacing w:lineRule="auto" w:line="240" w:before="0" w:after="160"/>
              <w:contextualSpacing/>
              <w:jc w:val="both"/>
              <w:rPr/>
            </w:pPr>
            <w:r>
              <w:rPr/>
              <w:t>Приложение №1 Техническое задание;</w:t>
            </w:r>
          </w:p>
          <w:p>
            <w:pPr>
              <w:pStyle w:val="Normal"/>
              <w:spacing w:lineRule="auto" w:line="240" w:before="0" w:after="160"/>
              <w:contextualSpacing/>
              <w:jc w:val="both"/>
              <w:rPr/>
            </w:pPr>
            <w:r>
              <w:rPr/>
              <w:t>Приложение №2 Форма заявки на участие в запросе котировок;</w:t>
            </w:r>
          </w:p>
          <w:p>
            <w:pPr>
              <w:pStyle w:val="Normal"/>
              <w:spacing w:lineRule="auto" w:line="240" w:before="0" w:after="160"/>
              <w:contextualSpacing/>
              <w:jc w:val="both"/>
              <w:rPr/>
            </w:pPr>
            <w:r>
              <w:rPr/>
              <w:t>Приложение №3 Форма анкеты участника;</w:t>
            </w:r>
          </w:p>
          <w:p>
            <w:pPr>
              <w:pStyle w:val="Normal"/>
              <w:spacing w:lineRule="auto" w:line="240" w:before="0" w:after="160"/>
              <w:contextualSpacing/>
              <w:jc w:val="both"/>
              <w:rPr/>
            </w:pPr>
            <w:r>
              <w:rPr/>
              <w:t>Приложение №4 Форма согласия обработки персональных данных;</w:t>
            </w:r>
          </w:p>
          <w:p>
            <w:pPr>
              <w:pStyle w:val="Normal"/>
              <w:spacing w:lineRule="auto" w:line="240" w:before="0" w:after="160"/>
              <w:contextualSpacing/>
              <w:jc w:val="both"/>
              <w:rPr/>
            </w:pPr>
            <w:r>
              <w:rPr/>
              <w:t>Приложение №5 Коммерческое предложение;</w:t>
            </w:r>
          </w:p>
          <w:p>
            <w:pPr>
              <w:pStyle w:val="Normal"/>
              <w:spacing w:lineRule="auto" w:line="240" w:before="0" w:after="160"/>
              <w:contextualSpacing/>
              <w:jc w:val="both"/>
              <w:rPr/>
            </w:pPr>
            <w:r>
              <w:rPr/>
              <w:t>Приложение №6 Проект договора;</w:t>
            </w:r>
          </w:p>
          <w:p>
            <w:pPr>
              <w:pStyle w:val="Normal"/>
              <w:spacing w:lineRule="auto" w:line="240" w:before="0" w:after="0"/>
              <w:contextualSpacing/>
              <w:jc w:val="both"/>
              <w:rPr/>
            </w:pPr>
            <w:r>
              <w:rPr/>
              <w:t>Приложение №7 затратный метод расчета НМЦД</w:t>
            </w:r>
          </w:p>
        </w:tc>
      </w:tr>
    </w:tbl>
    <w:p>
      <w:pPr>
        <w:pStyle w:val="Normal"/>
        <w:spacing w:before="0" w:after="160"/>
        <w:rPr/>
      </w:pPr>
      <w:r>
        <w:rPr/>
      </w:r>
    </w:p>
    <w:sectPr>
      <w:headerReference w:type="default" r:id="rId6"/>
      <w:headerReference w:type="first" r:id="rId7"/>
      <w:footerReference w:type="default" r:id="rId8"/>
      <w:footerReference w:type="first" r:id="rId9"/>
      <w:type w:val="nextPage"/>
      <w:pgSz w:w="11906" w:h="16838"/>
      <w:pgMar w:left="1170" w:right="656" w:gutter="0" w:header="720" w:top="777" w:footer="709" w:bottom="85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Times New Roman">
    <w:charset w:val="01" w:characterSet="utf-8"/>
    <w:family w:val="roman"/>
    <w:pitch w:val="variable"/>
  </w:font>
  <w:font w:name="SimSun">
    <w:altName w:val="Times New Roman"/>
    <w:charset w:val="01" w:characterSet="utf-8"/>
    <w:family w:val="roman"/>
    <w:pitch w:val="variable"/>
  </w:font>
  <w:font w:name="Arial">
    <w:charset w:val="01" w:characterSet="utf-8"/>
    <w:family w:val="roman"/>
    <w:pitch w:val="variable"/>
  </w:font>
  <w:font w:name="Symbol">
    <w:altName w:val="Andale Mono"/>
    <w:charset w:val="01" w:characterSet="utf-8"/>
    <w:family w:val="roman"/>
    <w:pitch w:val="variable"/>
  </w:font>
  <w:font w:name="Courier New">
    <w:charset w:val="01" w:characterSet="utf-8"/>
    <w:family w:val="roman"/>
    <w:pitch w:val="variable"/>
  </w:font>
  <w:font w:name="Wingdings">
    <w:altName w:val="Andale Mono"/>
    <w:charset w:val="01" w:characterSet="utf-8"/>
    <w:family w:val="roman"/>
    <w:pitch w:val="variable"/>
  </w:font>
  <w:font w:name="Arial Unicode MS">
    <w:altName w:val="Arial"/>
    <w:charset w:val="01" w:characterSet="utf-8"/>
    <w:family w:val="roman"/>
    <w:pitch w:val="variable"/>
  </w:font>
  <w:font w:name="Calibri">
    <w:altName w:val="Trebuchet MS"/>
    <w:charset w:val="01" w:characterSet="utf-8"/>
    <w:family w:val="roman"/>
    <w:pitch w:val="variable"/>
  </w:font>
  <w:font w:name="Tahoma">
    <w:charset w:val="01" w:characterSet="utf-8"/>
    <w:family w:val="roman"/>
    <w:pitch w:val="variable"/>
  </w:font>
  <w:font w:name="Open Sans">
    <w:charset w:val="01" w:characterSet="utf-8"/>
    <w:family w:val="roman"/>
    <w:pitch w:val="variable"/>
  </w:font>
  <w:font w:name="Liberation Sans">
    <w:altName w:val="Arial"/>
    <w:charset w:val="01" w:characterSet="utf-8"/>
    <w:family w:val="roman"/>
    <w:pitch w:val="variable"/>
  </w:font>
  <w:font w:name="Consolas">
    <w:altName w:val="Liberation Sans Narrow"/>
    <w:charset w:val="01" w:characterSet="utf-8"/>
    <w:family w:val="roman"/>
    <w:pitch w:val="variable"/>
  </w:font>
  <w:font w:name="Liberation Mono">
    <w:altName w:val="Courier New"/>
    <w:charset w:val="01" w:characterSet="utf-8"/>
    <w:family w:val="roman"/>
    <w:pitch w:val="variable"/>
  </w:font>
  <w:font w:name="Verdan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ind w:end="360"/>
      <w:jc w:val="end"/>
      <w:rPr>
        <w:rFonts w:cs="Courier New"/>
      </w:rPr>
    </w:pPr>
    <w:r>
      <w:rPr>
        <w:rFonts w:cs="Courier New"/>
      </w:rPr>
      <mc:AlternateContent>
        <mc:Choice Requires="wps">
          <w:drawing>
            <wp:anchor behindDoc="1" distT="0" distB="0" distL="635" distR="0" simplePos="0" locked="0" layoutInCell="0" allowOverlap="1" relativeHeight="28">
              <wp:simplePos x="0" y="0"/>
              <wp:positionH relativeFrom="rightMargin">
                <wp:posOffset>0</wp:posOffset>
              </wp:positionH>
              <wp:positionV relativeFrom="paragraph">
                <wp:posOffset>5080</wp:posOffset>
              </wp:positionV>
              <wp:extent cx="15875" cy="175260"/>
              <wp:effectExtent l="635" t="0" r="0" b="0"/>
              <wp:wrapNone/>
              <wp:docPr id="1" name="Врезка 1"/>
              <a:graphic xmlns:a="http://schemas.openxmlformats.org/drawingml/2006/main">
                <a:graphicData uri="http://schemas.microsoft.com/office/word/2010/wordprocessingShape">
                  <wps:wsp>
                    <wps:cNvSpPr/>
                    <wps:spPr>
                      <a:xfrm>
                        <a:off x="0" y="0"/>
                        <a:ext cx="15840" cy="175320"/>
                      </a:xfrm>
                      <a:prstGeom prst="rect">
                        <a:avLst/>
                      </a:prstGeom>
                      <a:noFill/>
                      <a:ln w="0">
                        <a:noFill/>
                      </a:ln>
                    </wps:spPr>
                    <wps:style>
                      <a:lnRef idx="0"/>
                      <a:fillRef idx="0"/>
                      <a:effectRef idx="0"/>
                      <a:fontRef idx="minor"/>
                    </wps:style>
                    <wps:txbx>
                      <w:txbxContent>
                        <w:p>
                          <w:pPr>
                            <w:pStyle w:val="Style27"/>
                            <w:spacing w:before="0" w:after="160"/>
                            <w:rPr>
                              <w:color w:val="000000"/>
                            </w:rPr>
                          </w:pPr>
                          <w:r>
                            <w:rPr>
                              <w:color w:val="000000"/>
                            </w:rPr>
                          </w:r>
                        </w:p>
                      </w:txbxContent>
                    </wps:txbx>
                    <wps:bodyPr lIns="720" rIns="720" tIns="720" bIns="720" anchor="t">
                      <a:spAutoFit/>
                    </wps:bodyPr>
                  </wps:wsp>
                </a:graphicData>
              </a:graphic>
            </wp:anchor>
          </w:drawing>
        </mc:Choice>
        <mc:Fallback>
          <w:pict>
            <v:rect id="shape_0" ID="Врезка 1" path="m0,0l-2147483645,0l-2147483645,-2147483646l0,-2147483646xe" stroked="f" o:allowincell="f" style="position:absolute;margin-left:0pt;margin-top:0.4pt;width:1.2pt;height:13.75pt;mso-wrap-style:none;v-text-anchor:middle;mso-position-horizontal-relative:page">
              <v:fill o:detectmouseclick="t" on="false"/>
              <v:stroke color="#3465a4" joinstyle="round" endcap="flat"/>
              <v:textbox>
                <w:txbxContent>
                  <w:p>
                    <w:pPr>
                      <w:pStyle w:val="Style27"/>
                      <w:spacing w:before="0" w:after="160"/>
                      <w:rPr>
                        <w:color w:val="000000"/>
                      </w:rPr>
                    </w:pPr>
                    <w:r>
                      <w:rPr>
                        <w:color w:val="000000"/>
                      </w:rPr>
                    </w:r>
                  </w:p>
                </w:txbxContent>
              </v:textbox>
              <w10:wrap type="none"/>
            </v:rect>
          </w:pict>
        </mc:Fallback>
      </mc:AlternateContent>
      <w:fldChar w:fldCharType="begin"/>
    </w:r>
    <w:r>
      <w:rPr>
        <w:rFonts w:cs="Courier New"/>
      </w:rPr>
      <w:instrText xml:space="preserve"> PAGE </w:instrText>
    </w:r>
    <w:r>
      <w:rPr>
        <w:rFonts w:cs="Courier New"/>
      </w:rPr>
      <w:fldChar w:fldCharType="separate"/>
    </w:r>
    <w:r>
      <w:rPr>
        <w:rFonts w:cs="Courier New"/>
      </w:rPr>
      <w:t>15</w:t>
    </w:r>
    <w:r>
      <w:rPr>
        <w:rFonts w:cs="Courier New"/>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jc w:val="end"/>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5">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6">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8">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9">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0">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1">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2">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3">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7">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8">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9">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0">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1">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2">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3">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4">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5">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6">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7">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9">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0">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1">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2">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3">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5">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6">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7">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8">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1"/>
    <w:lvlOverride w:ilvl="0">
      <w:startOverride w:val="1"/>
    </w:lvlOverride>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1"/>
    <w:lvlOverride w:ilvl="0">
      <w:startOverride w:val="1"/>
    </w:lvlOverride>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
  </w:num>
  <w:num w:numId="101">
    <w:abstractNumId w:val="1"/>
  </w:num>
  <w:num w:numId="102">
    <w:abstractNumId w:val="25"/>
    <w:lvlOverride w:ilvl="0">
      <w:startOverride w:val="1"/>
    </w:lvlOverride>
  </w:num>
  <w:num w:numId="103">
    <w:abstractNumId w:val="25"/>
  </w:num>
  <w:num w:numId="104">
    <w:abstractNumId w:val="25"/>
  </w:num>
  <w:num w:numId="105">
    <w:abstractNumId w:val="25"/>
  </w:num>
  <w:num w:numId="106">
    <w:abstractNumId w:val="25"/>
  </w:num>
  <w:num w:numId="107">
    <w:abstractNumId w:val="25"/>
  </w:num>
  <w:num w:numId="108">
    <w:abstractNumId w:val="25"/>
  </w:num>
  <w:num w:numId="109">
    <w:abstractNumId w:val="25"/>
  </w:num>
  <w:num w:numId="110">
    <w:abstractNumId w:val="25"/>
  </w:num>
  <w:num w:numId="111">
    <w:abstractNumId w:val="25"/>
  </w:num>
  <w:num w:numId="112">
    <w:abstractNumId w:val="1"/>
  </w:num>
  <w:num w:numId="113">
    <w:abstractNumId w:val="1"/>
  </w:num>
  <w:num w:numId="114">
    <w:abstractNumId w:val="1"/>
  </w:num>
  <w:num w:numId="115">
    <w:abstractNumId w:val="38"/>
    <w:lvlOverride w:ilvl="0">
      <w:startOverride w:val="1"/>
    </w:lvlOverride>
  </w:num>
  <w:num w:numId="116">
    <w:abstractNumId w:val="38"/>
  </w:num>
  <w:num w:numId="117">
    <w:abstractNumId w:val="38"/>
  </w:num>
  <w:num w:numId="118">
    <w:abstractNumId w:val="38"/>
  </w:num>
  <w:num w:numId="119">
    <w:abstractNumId w:val="38"/>
  </w:num>
  <w:num w:numId="120">
    <w:abstractNumId w:val="38"/>
  </w:num>
  <w:num w:numId="121">
    <w:abstractNumId w:val="1"/>
  </w:num>
  <w:num w:numId="122">
    <w:abstractNumId w:val="1"/>
  </w:num>
  <w:num w:numId="123">
    <w:abstractNumId w:val="1"/>
  </w:num>
  <w:num w:numId="124">
    <w:abstractNumId w:val="47"/>
    <w:lvlOverride w:ilvl="0">
      <w:startOverride w:val="1"/>
    </w:lvlOverride>
    <w:lvlOverride w:ilvl="1">
      <w:startOverride w:val="1"/>
    </w:lvlOverride>
  </w:num>
  <w:num w:numId="125">
    <w:abstractNumId w:val="47"/>
  </w:num>
  <w:num w:numId="126">
    <w:abstractNumId w:val="47"/>
  </w:num>
  <w:num w:numId="127">
    <w:abstractNumId w:val="47"/>
  </w:num>
  <w:num w:numId="128">
    <w:abstractNumId w:val="47"/>
  </w:num>
  <w:num w:numId="129">
    <w:abstractNumId w:val="47"/>
  </w:num>
  <w:num w:numId="130">
    <w:abstractNumId w:val="47"/>
  </w:num>
  <w:num w:numId="131">
    <w:abstractNumId w:val="47"/>
  </w:num>
  <w:num w:numId="132">
    <w:abstractNumId w:val="47"/>
  </w:num>
  <w:num w:numId="133">
    <w:abstractNumId w:val="47"/>
  </w:num>
  <w:num w:numId="134">
    <w:abstractNumId w:val="47"/>
  </w:num>
  <w:num w:numId="135">
    <w:abstractNumId w:val="1"/>
  </w:num>
  <w:num w:numId="136">
    <w:abstractNumId w:val="59"/>
    <w:lvlOverride w:ilvl="0">
      <w:startOverride w:val="1"/>
    </w:lvlOverride>
  </w:num>
  <w:num w:numId="137">
    <w:abstractNumId w:val="59"/>
  </w:num>
  <w:num w:numId="138">
    <w:abstractNumId w:val="59"/>
  </w:num>
  <w:num w:numId="139">
    <w:abstractNumId w:val="59"/>
  </w:num>
  <w:num w:numId="140">
    <w:abstractNumId w:val="59"/>
  </w:num>
  <w:num w:numId="141">
    <w:abstractNumId w:val="1"/>
  </w:num>
  <w:num w:numId="142">
    <w:abstractNumId w:val="65"/>
    <w:lvlOverride w:ilvl="0">
      <w:startOverride w:val="1"/>
    </w:lvlOverride>
  </w:num>
  <w:num w:numId="143">
    <w:abstractNumId w:val="65"/>
  </w:num>
  <w:num w:numId="144">
    <w:abstractNumId w:val="65"/>
  </w:num>
  <w:num w:numId="145">
    <w:abstractNumId w:val="65"/>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bering>
</file>

<file path=word/settings.xml><?xml version="1.0" encoding="utf-8"?>
<w:settings xmlns:w="http://schemas.openxmlformats.org/wordprocessingml/2006/main">
  <w:zoom w:percent="110"/>
  <w:defaultTabStop w:val="708"/>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lang w:val="ru-RU" w:eastAsia="ru-RU" w:bidi="ar-SA"/>
      </w:rPr>
    </w:rPrDefault>
    <w:pPrDefault>
      <w:pPr>
        <w:suppressAutoHyphens w:val="true"/>
      </w:pPr>
    </w:pPrDefault>
  </w:docDefaults>
  <w:style w:type="paragraph" w:styleId="Normal">
    <w:name w:val="Normal"/>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pPr>
      <w:numPr>
        <w:ilvl w:val="0"/>
        <w:numId w:val="0"/>
      </w:numPr>
      <w:spacing w:before="100" w:after="100"/>
      <w:outlineLvl w:val="0"/>
    </w:pPr>
    <w:rPr>
      <w:rFonts w:ascii="SimSun;Times New Roman" w:hAnsi="SimSun;Times New Roman" w:eastAsia="SimSun;Times New Roman"/>
      <w:b/>
      <w:bCs/>
      <w:kern w:val="2"/>
      <w:sz w:val="48"/>
      <w:szCs w:val="48"/>
      <w:lang w:val="en-US" w:eastAsia="zh-CN"/>
    </w:rPr>
  </w:style>
  <w:style w:type="paragraph" w:styleId="Heading2">
    <w:name w:val="Heading 2"/>
    <w:basedOn w:val="Normal"/>
    <w:next w:val="Normal"/>
    <w:qFormat/>
    <w:pPr>
      <w:keepNext w:val="true"/>
      <w:numPr>
        <w:ilvl w:val="0"/>
        <w:numId w:val="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0"/>
        <w:numId w:val="0"/>
      </w:numPr>
      <w:tabs>
        <w:tab w:val="clear" w:pos="708"/>
        <w:tab w:val="left" w:pos="720" w:leader="none"/>
      </w:tabs>
      <w:spacing w:before="240" w:after="60"/>
      <w:ind w:hanging="720" w:start="720"/>
      <w:jc w:val="both"/>
      <w:outlineLvl w:val="2"/>
    </w:pPr>
    <w:rPr>
      <w:rFonts w:ascii="Arial" w:hAnsi="Arial" w:cs="Arial"/>
      <w:b/>
      <w:szCs w:val="20"/>
      <w:lang w:val="zh-CN" w:eastAsia="zh-CN"/>
    </w:rPr>
  </w:style>
  <w:style w:type="paragraph" w:styleId="Heading4">
    <w:name w:val="Heading 4"/>
    <w:basedOn w:val="Normal"/>
    <w:next w:val="Normal"/>
    <w:qFormat/>
    <w:pPr>
      <w:keepNext w:val="true"/>
      <w:numPr>
        <w:ilvl w:val="0"/>
        <w:numId w:val="0"/>
      </w:numPr>
      <w:spacing w:before="240" w:after="60"/>
      <w:outlineLvl w:val="3"/>
    </w:pPr>
    <w:rPr>
      <w:b/>
      <w:bCs/>
      <w:sz w:val="28"/>
      <w:szCs w:val="28"/>
    </w:rPr>
  </w:style>
  <w:style w:type="paragraph" w:styleId="Heading5">
    <w:name w:val="Heading 5"/>
    <w:basedOn w:val="Normal"/>
    <w:next w:val="Normal"/>
    <w:qFormat/>
    <w:pPr>
      <w:numPr>
        <w:ilvl w:val="0"/>
        <w:numId w:val="0"/>
      </w:numPr>
      <w:tabs>
        <w:tab w:val="clear" w:pos="708"/>
        <w:tab w:val="left" w:pos="1008" w:leader="none"/>
      </w:tabs>
      <w:spacing w:before="240" w:after="60"/>
      <w:ind w:hanging="1008" w:start="1008"/>
      <w:jc w:val="both"/>
      <w:outlineLvl w:val="4"/>
    </w:pPr>
    <w:rPr>
      <w:sz w:val="22"/>
      <w:szCs w:val="20"/>
      <w:lang w:val="zh-CN" w:eastAsia="zh-CN"/>
    </w:rPr>
  </w:style>
  <w:style w:type="paragraph" w:styleId="Heading6">
    <w:name w:val="Heading 6"/>
    <w:basedOn w:val="Normal"/>
    <w:next w:val="Normal"/>
    <w:qFormat/>
    <w:pPr>
      <w:numPr>
        <w:ilvl w:val="0"/>
        <w:numId w:val="0"/>
      </w:numPr>
      <w:tabs>
        <w:tab w:val="clear" w:pos="708"/>
        <w:tab w:val="left" w:pos="1152" w:leader="none"/>
      </w:tabs>
      <w:spacing w:before="240" w:after="60"/>
      <w:ind w:hanging="1152" w:start="1152"/>
      <w:jc w:val="both"/>
      <w:outlineLvl w:val="5"/>
    </w:pPr>
    <w:rPr>
      <w:i/>
      <w:sz w:val="22"/>
      <w:szCs w:val="20"/>
      <w:lang w:val="zh-CN" w:eastAsia="zh-CN"/>
    </w:rPr>
  </w:style>
  <w:style w:type="paragraph" w:styleId="Heading7">
    <w:name w:val="Heading 7"/>
    <w:basedOn w:val="Normal"/>
    <w:next w:val="Normal"/>
    <w:qFormat/>
    <w:pPr>
      <w:numPr>
        <w:ilvl w:val="0"/>
        <w:numId w:val="0"/>
      </w:numPr>
      <w:tabs>
        <w:tab w:val="clear" w:pos="708"/>
        <w:tab w:val="left" w:pos="1296" w:leader="none"/>
      </w:tabs>
      <w:spacing w:before="240" w:after="60"/>
      <w:ind w:hanging="1296" w:start="1296"/>
      <w:jc w:val="both"/>
      <w:outlineLvl w:val="6"/>
    </w:pPr>
    <w:rPr>
      <w:rFonts w:ascii="Arial" w:hAnsi="Arial" w:cs="Arial"/>
      <w:sz w:val="20"/>
      <w:szCs w:val="20"/>
      <w:lang w:val="zh-CN" w:eastAsia="zh-CN"/>
    </w:rPr>
  </w:style>
  <w:style w:type="paragraph" w:styleId="Heading8">
    <w:name w:val="Heading 8"/>
    <w:basedOn w:val="Normal"/>
    <w:next w:val="Normal"/>
    <w:qFormat/>
    <w:pPr>
      <w:numPr>
        <w:ilvl w:val="0"/>
        <w:numId w:val="0"/>
      </w:numPr>
      <w:tabs>
        <w:tab w:val="clear" w:pos="708"/>
        <w:tab w:val="left" w:pos="1440" w:leader="none"/>
      </w:tabs>
      <w:spacing w:before="240" w:after="60"/>
      <w:ind w:hanging="1440" w:start="1440"/>
      <w:jc w:val="both"/>
      <w:outlineLvl w:val="7"/>
    </w:pPr>
    <w:rPr>
      <w:rFonts w:ascii="Arial" w:hAnsi="Arial" w:cs="Arial"/>
      <w:i/>
      <w:sz w:val="20"/>
      <w:szCs w:val="20"/>
      <w:lang w:val="zh-CN" w:eastAsia="zh-CN"/>
    </w:rPr>
  </w:style>
  <w:style w:type="paragraph" w:styleId="Heading9">
    <w:name w:val="Heading 9"/>
    <w:basedOn w:val="Normal"/>
    <w:next w:val="Normal"/>
    <w:qFormat/>
    <w:pPr>
      <w:numPr>
        <w:ilvl w:val="0"/>
        <w:numId w:val="0"/>
      </w:numPr>
      <w:tabs>
        <w:tab w:val="clear" w:pos="708"/>
        <w:tab w:val="left" w:pos="1584" w:leader="none"/>
      </w:tabs>
      <w:spacing w:before="240" w:after="60"/>
      <w:ind w:hanging="1584" w:start="1584"/>
      <w:jc w:val="both"/>
      <w:outlineLvl w:val="8"/>
    </w:pPr>
    <w:rPr>
      <w:rFonts w:ascii="Arial" w:hAnsi="Arial" w:cs="Arial"/>
      <w:b/>
      <w:i/>
      <w:sz w:val="18"/>
      <w:szCs w:val="20"/>
      <w:lang w:val="zh-CN" w:eastAsia="zh-CN"/>
    </w:rPr>
  </w:style>
  <w:style w:type="character" w:styleId="DefaultParagraphFont">
    <w:name w:val="Default Paragraph Font"/>
    <w:qFormat/>
    <w:rPr/>
  </w:style>
  <w:style w:type="character" w:styleId="Hyperlink">
    <w:name w:val="Hyperlink"/>
    <w:rPr>
      <w:color w:val="0000FF"/>
      <w:u w:val="single"/>
    </w:rPr>
  </w:style>
  <w:style w:type="character" w:styleId="Pagenumber">
    <w:name w:val="page number"/>
    <w:qFormat/>
    <w:rPr/>
  </w:style>
  <w:style w:type="character" w:styleId="Strong">
    <w:name w:val="Strong"/>
    <w:qFormat/>
    <w:rPr>
      <w:b/>
      <w:bCs/>
    </w:rPr>
  </w:style>
  <w:style w:type="character" w:styleId="WW8Num1z0">
    <w:name w:val="WW8Num1z0"/>
    <w:qFormat/>
    <w:rPr>
      <w:rFonts w:ascii="Times New Roman" w:hAnsi="Times New Roman" w:cs="Times New Roman"/>
      <w:sz w:val="21"/>
      <w:szCs w:val="21"/>
    </w:rPr>
  </w:style>
  <w:style w:type="character" w:styleId="WW8Num2z0">
    <w:name w:val="WW8Num2z0"/>
    <w:qFormat/>
    <w:rPr>
      <w:rFonts w:cs="Times New Roman"/>
      <w:b/>
    </w:rPr>
  </w:style>
  <w:style w:type="character" w:styleId="WW8Num2z1">
    <w:name w:val="WW8Num2z1"/>
    <w:qFormat/>
    <w:rPr>
      <w:rFonts w:cs="Times New Roman"/>
      <w:color w:val="000000"/>
      <w:spacing w:val="0"/>
      <w:w w:val="100"/>
      <w:kern w:val="0"/>
      <w:position w:val="0"/>
      <w:sz w:val="24"/>
      <w:sz w:val="24"/>
      <w:szCs w:val="24"/>
      <w:u w:val="none"/>
      <w:vertAlign w:val="baseline"/>
    </w:rPr>
  </w:style>
  <w:style w:type="character" w:styleId="WW8Num2z2">
    <w:name w:val="WW8Num2z2"/>
    <w:qFormat/>
    <w:rPr>
      <w:rFonts w:cs="Times New Roman"/>
    </w:rPr>
  </w:style>
  <w:style w:type="character" w:styleId="WW8Num2z3">
    <w:name w:val="WW8Num2z3"/>
    <w:qFormat/>
    <w:rPr>
      <w:rFonts w:cs="Times New Roman"/>
      <w:color w:val="000000"/>
      <w:spacing w:val="0"/>
      <w:w w:val="100"/>
      <w:kern w:val="0"/>
      <w:position w:val="0"/>
      <w:sz w:val="20"/>
      <w:sz w:val="20"/>
      <w:u w:val="none"/>
      <w:vertAlign w:val="baseline"/>
    </w:rPr>
  </w:style>
  <w:style w:type="character" w:styleId="WW8Num2z4">
    <w:name w:val="WW8Num2z4"/>
    <w:qFormat/>
    <w:rPr>
      <w:rFonts w:cs="Times New Roman"/>
    </w:rPr>
  </w:style>
  <w:style w:type="character" w:styleId="WW8Num2z5">
    <w:name w:val="WW8Num2z5"/>
    <w:qFormat/>
    <w:rPr>
      <w:rFonts w:ascii="Symbol;Andale Mono" w:hAnsi="Symbol;Andale Mono" w:cs="Symbol;Andale Mono"/>
    </w:rPr>
  </w:style>
  <w:style w:type="character" w:styleId="WW8Num4z0">
    <w:name w:val="WW8Num4z0"/>
    <w:qFormat/>
    <w:rPr>
      <w:rFonts w:ascii="Times New Roman" w:hAnsi="Times New Roman" w:cs="Times New Roman"/>
      <w:sz w:val="20"/>
      <w:szCs w:val="20"/>
    </w:rPr>
  </w:style>
  <w:style w:type="character" w:styleId="WW8Num5z1">
    <w:name w:val="WW8Num5z1"/>
    <w:qFormat/>
    <w:rPr>
      <w:rFonts w:ascii="Times New Roman" w:hAnsi="Times New Roman" w:cs="Times New Roman"/>
      <w:sz w:val="22"/>
      <w:szCs w:val="22"/>
    </w:rPr>
  </w:style>
  <w:style w:type="character" w:styleId="WW8Num6z0">
    <w:name w:val="WW8Num6z0"/>
    <w:qFormat/>
    <w:rPr>
      <w:rFonts w:ascii="Times New Roman" w:hAnsi="Times New Roman" w:cs="Times New Roman"/>
      <w:sz w:val="20"/>
      <w:szCs w:val="20"/>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Andale Mono" w:hAnsi="Wingdings;Andale Mono" w:cs="Wingdings;Andale Mono"/>
    </w:rPr>
  </w:style>
  <w:style w:type="character" w:styleId="WW8Num7z3">
    <w:name w:val="WW8Num7z3"/>
    <w:qFormat/>
    <w:rPr>
      <w:rFonts w:ascii="Symbol;Andale Mono" w:hAnsi="Symbol;Andale Mono" w:cs="Symbol;Andale Mono"/>
    </w:rPr>
  </w:style>
  <w:style w:type="character" w:styleId="WW8Num8z0">
    <w:name w:val="WW8Num8z0"/>
    <w:qFormat/>
    <w:rPr>
      <w:sz w:val="22"/>
      <w:szCs w:val="22"/>
    </w:rPr>
  </w:style>
  <w:style w:type="character" w:styleId="WW8Num9z1">
    <w:name w:val="WW8Num9z1"/>
    <w:qFormat/>
    <w:rPr>
      <w:rFonts w:ascii="Times New Roman" w:hAnsi="Times New Roman" w:eastAsia="Times New Roman" w:cs="Times New Roman"/>
    </w:rPr>
  </w:style>
  <w:style w:type="character" w:styleId="WW8Num9z2">
    <w:name w:val="WW8Num9z2"/>
    <w:qFormat/>
    <w:rPr>
      <w:sz w:val="22"/>
      <w:szCs w:val="22"/>
    </w:rPr>
  </w:style>
  <w:style w:type="character" w:styleId="WW8Num10z0">
    <w:name w:val="WW8Num10z0"/>
    <w:qFormat/>
    <w:rPr>
      <w:rFonts w:ascii="Times New Roman" w:hAnsi="Times New Roman" w:cs="Times New Roman"/>
      <w:sz w:val="21"/>
      <w:szCs w:val="21"/>
    </w:rPr>
  </w:style>
  <w:style w:type="character" w:styleId="11">
    <w:name w:val="Основной шрифт абзаца11"/>
    <w:qFormat/>
    <w:rPr/>
  </w:style>
  <w:style w:type="character" w:styleId="Style5">
    <w:name w:val="Символ сноски"/>
    <w:qFormat/>
    <w:rPr>
      <w:rFonts w:cs="Times New Roman"/>
      <w:vertAlign w:val="superscript"/>
    </w:rPr>
  </w:style>
  <w:style w:type="character" w:styleId="Style6">
    <w:name w:val="Название Знак"/>
    <w:qFormat/>
    <w:rPr>
      <w:rFonts w:eastAsia="Times New Roman"/>
      <w:sz w:val="24"/>
    </w:rPr>
  </w:style>
  <w:style w:type="character" w:styleId="CharStyle6">
    <w:name w:val="CharStyle6"/>
    <w:qFormat/>
    <w:rPr>
      <w:rFonts w:ascii="Times New Roman" w:hAnsi="Times New Roman" w:eastAsia="Times New Roman" w:cs="Times New Roman"/>
      <w:color w:val="000000"/>
      <w:spacing w:val="0"/>
      <w:w w:val="100"/>
      <w:position w:val="0"/>
      <w:sz w:val="26"/>
      <w:sz w:val="26"/>
      <w:szCs w:val="26"/>
      <w:u w:val="none"/>
      <w:vertAlign w:val="baseline"/>
    </w:rPr>
  </w:style>
  <w:style w:type="character" w:styleId="DefaultFontStyle">
    <w:name w:val="DefaultFontStyle"/>
    <w:qFormat/>
    <w:rPr>
      <w:rFonts w:ascii="Arial Unicode MS;Arial" w:hAnsi="Arial Unicode MS;Arial" w:eastAsia="Arial Unicode MS;Arial" w:cs="Arial Unicode MS;Arial"/>
      <w:color w:val="000000"/>
      <w:spacing w:val="0"/>
      <w:w w:val="100"/>
      <w:position w:val="0"/>
      <w:sz w:val="24"/>
      <w:sz w:val="24"/>
      <w:szCs w:val="24"/>
      <w:vertAlign w:val="baseline"/>
    </w:rPr>
  </w:style>
  <w:style w:type="character" w:styleId="7">
    <w:name w:val="Заголовок 7 Знак"/>
    <w:qFormat/>
    <w:rPr>
      <w:rFonts w:ascii="Arial" w:hAnsi="Arial" w:eastAsia="Times New Roman" w:cs="Arial"/>
      <w:lang w:val="zh-CN" w:eastAsia="zh-CN"/>
    </w:rPr>
  </w:style>
  <w:style w:type="character" w:styleId="5">
    <w:name w:val="Заголовок 5 Знак"/>
    <w:qFormat/>
    <w:rPr>
      <w:rFonts w:eastAsia="Times New Roman"/>
      <w:sz w:val="22"/>
      <w:lang w:val="zh-CN" w:eastAsia="zh-CN"/>
    </w:rPr>
  </w:style>
  <w:style w:type="character" w:styleId="8">
    <w:name w:val="Заголовок 8 Знак"/>
    <w:qFormat/>
    <w:rPr>
      <w:rFonts w:ascii="Arial" w:hAnsi="Arial" w:eastAsia="Times New Roman" w:cs="Arial"/>
      <w:i/>
      <w:lang w:val="zh-CN" w:eastAsia="zh-CN"/>
    </w:rPr>
  </w:style>
  <w:style w:type="character" w:styleId="2">
    <w:name w:val="Заголовок 2 Знак"/>
    <w:qFormat/>
    <w:rPr>
      <w:rFonts w:ascii="Arial" w:hAnsi="Arial" w:eastAsia="Times New Roman" w:cs="Arial"/>
      <w:b/>
      <w:bCs/>
      <w:i/>
      <w:iCs/>
      <w:sz w:val="28"/>
      <w:szCs w:val="28"/>
      <w:lang w:eastAsia="ru-RU"/>
    </w:rPr>
  </w:style>
  <w:style w:type="character" w:styleId="Pagenumber1">
    <w:name w:val="page number1"/>
    <w:qFormat/>
    <w:rPr/>
  </w:style>
  <w:style w:type="character" w:styleId="Hps">
    <w:name w:val="hps"/>
    <w:qFormat/>
    <w:rPr/>
  </w:style>
  <w:style w:type="character" w:styleId="1">
    <w:name w:val="Основной шрифт абзаца1"/>
    <w:qFormat/>
    <w:rPr/>
  </w:style>
  <w:style w:type="character" w:styleId="Style7">
    <w:name w:val="Текст концевой сноски Знак"/>
    <w:qFormat/>
    <w:rPr>
      <w:rFonts w:eastAsia="Times New Roman"/>
    </w:rPr>
  </w:style>
  <w:style w:type="character" w:styleId="3">
    <w:name w:val="Заголовок 3 Знак"/>
    <w:qFormat/>
    <w:rPr>
      <w:rFonts w:ascii="Arial" w:hAnsi="Arial" w:eastAsia="Times New Roman" w:cs="Arial"/>
      <w:b/>
      <w:sz w:val="24"/>
      <w:lang w:val="zh-CN" w:eastAsia="zh-CN"/>
    </w:rPr>
  </w:style>
  <w:style w:type="character" w:styleId="FootnoteCharacters">
    <w:name w:val="Footnote Characters"/>
    <w:qFormat/>
    <w:rPr>
      <w:rFonts w:cs="Times New Roman"/>
      <w:vertAlign w:val="superscript"/>
    </w:rPr>
  </w:style>
  <w:style w:type="character" w:styleId="6">
    <w:name w:val="Заголовок 6 Знак"/>
    <w:qFormat/>
    <w:rPr>
      <w:rFonts w:eastAsia="Times New Roman"/>
      <w:i/>
      <w:sz w:val="22"/>
      <w:lang w:val="zh-CN" w:eastAsia="zh-CN"/>
    </w:rPr>
  </w:style>
  <w:style w:type="character" w:styleId="Font31">
    <w:name w:val="font31"/>
    <w:qFormat/>
    <w:rPr>
      <w:rFonts w:ascii="Times New Roman" w:hAnsi="Times New Roman" w:cs="Times New Roman"/>
      <w:b/>
      <w:color w:val="000000"/>
      <w:sz w:val="20"/>
      <w:szCs w:val="20"/>
      <w:u w:val="none"/>
    </w:rPr>
  </w:style>
  <w:style w:type="character" w:styleId="Apple-converted-space">
    <w:name w:val="apple-converted-space"/>
    <w:qFormat/>
    <w:rPr/>
  </w:style>
  <w:style w:type="character" w:styleId="Hpsatn">
    <w:name w:val="hps atn"/>
    <w:qFormat/>
    <w:rPr/>
  </w:style>
  <w:style w:type="character" w:styleId="31">
    <w:name w:val="Основной текст с отступом 3 Знак"/>
    <w:qFormat/>
    <w:rPr>
      <w:rFonts w:eastAsia="Times New Roman"/>
      <w:sz w:val="16"/>
      <w:szCs w:val="16"/>
    </w:rPr>
  </w:style>
  <w:style w:type="character" w:styleId="FontStyle41">
    <w:name w:val="Font Style41"/>
    <w:qFormat/>
    <w:rPr>
      <w:rFonts w:ascii="Times New Roman" w:hAnsi="Times New Roman" w:cs="Times New Roman"/>
      <w:sz w:val="26"/>
    </w:rPr>
  </w:style>
  <w:style w:type="character" w:styleId="Font91">
    <w:name w:val="font91"/>
    <w:qFormat/>
    <w:rPr>
      <w:rFonts w:ascii="Times New Roman" w:hAnsi="Times New Roman" w:cs="Times New Roman"/>
      <w:b/>
      <w:color w:val="000000"/>
      <w:sz w:val="20"/>
      <w:szCs w:val="20"/>
      <w:u w:val="none"/>
    </w:rPr>
  </w:style>
  <w:style w:type="character" w:styleId="Style8">
    <w:name w:val="Абзац списка Знак"/>
    <w:qFormat/>
    <w:rPr>
      <w:rFonts w:ascii="Calibri;Trebuchet MS" w:hAnsi="Calibri;Trebuchet MS" w:cs="Calibri;Trebuchet MS"/>
      <w:sz w:val="24"/>
      <w:szCs w:val="24"/>
      <w:lang w:val="zh-CN" w:eastAsia="zh-CN"/>
    </w:rPr>
  </w:style>
  <w:style w:type="character" w:styleId="Style9">
    <w:name w:val="Текст сноски Знак"/>
    <w:qFormat/>
    <w:rPr>
      <w:rFonts w:ascii="Arial" w:hAnsi="Arial" w:cs="Arial"/>
      <w:sz w:val="22"/>
      <w:szCs w:val="22"/>
      <w:lang w:eastAsia="zh-CN"/>
    </w:rPr>
  </w:style>
  <w:style w:type="character" w:styleId="Strong1">
    <w:name w:val="Strong1"/>
    <w:qFormat/>
    <w:rPr>
      <w:b/>
      <w:bCs/>
    </w:rPr>
  </w:style>
  <w:style w:type="character" w:styleId="Font101">
    <w:name w:val="font101"/>
    <w:qFormat/>
    <w:rPr>
      <w:rFonts w:ascii="Times New Roman" w:hAnsi="Times New Roman" w:cs="Times New Roman"/>
      <w:b/>
      <w:color w:val="000000"/>
      <w:sz w:val="20"/>
      <w:szCs w:val="20"/>
      <w:u w:val="none"/>
    </w:rPr>
  </w:style>
  <w:style w:type="character" w:styleId="ListParagraphChar1">
    <w:name w:val="List Paragraph Char1"/>
    <w:qFormat/>
    <w:rPr>
      <w:sz w:val="24"/>
      <w:szCs w:val="24"/>
    </w:rPr>
  </w:style>
  <w:style w:type="character" w:styleId="Iceouttxt51">
    <w:name w:val="iceouttxt51"/>
    <w:qFormat/>
    <w:rPr>
      <w:rFonts w:ascii="Arial" w:hAnsi="Arial" w:cs="Arial"/>
      <w:color w:val="666666"/>
      <w:sz w:val="16"/>
      <w:szCs w:val="16"/>
    </w:rPr>
  </w:style>
  <w:style w:type="character" w:styleId="12">
    <w:name w:val="Неразрешенное упоминание1"/>
    <w:qFormat/>
    <w:rPr>
      <w:color w:val="605E5C"/>
      <w:shd w:fill="E1DFDD" w:val="clear"/>
    </w:rPr>
  </w:style>
  <w:style w:type="character" w:styleId="Font21">
    <w:name w:val="font21"/>
    <w:qFormat/>
    <w:rPr>
      <w:rFonts w:ascii="Times New Roman" w:hAnsi="Times New Roman" w:cs="Times New Roman"/>
      <w:b/>
      <w:color w:val="000000"/>
      <w:sz w:val="20"/>
      <w:szCs w:val="20"/>
      <w:u w:val="none"/>
    </w:rPr>
  </w:style>
  <w:style w:type="character" w:styleId="Style10">
    <w:name w:val="Нижний колонтитул Знак"/>
    <w:qFormat/>
    <w:rPr>
      <w:rFonts w:eastAsia="Times New Roman"/>
      <w:sz w:val="24"/>
      <w:szCs w:val="24"/>
    </w:rPr>
  </w:style>
  <w:style w:type="character" w:styleId="4">
    <w:name w:val="Заголовок 4 Знак"/>
    <w:qFormat/>
    <w:rPr>
      <w:rFonts w:ascii="Times New Roman" w:hAnsi="Times New Roman" w:eastAsia="Times New Roman" w:cs="Times New Roman"/>
      <w:b/>
      <w:bCs/>
      <w:sz w:val="28"/>
      <w:szCs w:val="28"/>
      <w:lang w:eastAsia="ru-RU"/>
    </w:rPr>
  </w:style>
  <w:style w:type="character" w:styleId="Font11">
    <w:name w:val="font11"/>
    <w:qFormat/>
    <w:rPr>
      <w:rFonts w:ascii="Times New Roman" w:hAnsi="Times New Roman" w:cs="Times New Roman"/>
      <w:color w:val="000000"/>
      <w:sz w:val="20"/>
      <w:szCs w:val="20"/>
      <w:u w:val="none"/>
    </w:rPr>
  </w:style>
  <w:style w:type="character" w:styleId="Font01">
    <w:name w:val="font01"/>
    <w:qFormat/>
    <w:rPr>
      <w:rFonts w:ascii="Times New Roman" w:hAnsi="Times New Roman" w:cs="Times New Roman"/>
      <w:i/>
      <w:color w:val="000000"/>
      <w:sz w:val="20"/>
      <w:szCs w:val="20"/>
      <w:u w:val="none"/>
    </w:rPr>
  </w:style>
  <w:style w:type="character" w:styleId="9">
    <w:name w:val="Заголовок 9 Знак"/>
    <w:qFormat/>
    <w:rPr>
      <w:rFonts w:ascii="Arial" w:hAnsi="Arial" w:eastAsia="Times New Roman" w:cs="Arial"/>
      <w:b/>
      <w:i/>
      <w:sz w:val="18"/>
      <w:lang w:val="zh-CN" w:eastAsia="zh-CN"/>
    </w:rPr>
  </w:style>
  <w:style w:type="character" w:styleId="Site-pagename">
    <w:name w:val="site-pagename"/>
    <w:qFormat/>
    <w:rPr/>
  </w:style>
  <w:style w:type="character" w:styleId="Hpsalt-edited">
    <w:name w:val="hps alt-edited"/>
    <w:qFormat/>
    <w:rPr/>
  </w:style>
  <w:style w:type="character" w:styleId="Wmi-callto">
    <w:name w:val="wmi-callto"/>
    <w:qFormat/>
    <w:rPr/>
  </w:style>
  <w:style w:type="character" w:styleId="Style11">
    <w:name w:val="Основной текст Знак"/>
    <w:qFormat/>
    <w:rPr>
      <w:rFonts w:ascii="Times New Roman" w:hAnsi="Times New Roman" w:eastAsia="Times New Roman" w:cs="Times New Roman"/>
      <w:sz w:val="20"/>
      <w:szCs w:val="20"/>
      <w:lang w:eastAsia="ru-RU"/>
    </w:rPr>
  </w:style>
  <w:style w:type="character" w:styleId="Style12">
    <w:name w:val="Верхний колонтитул Знак"/>
    <w:qFormat/>
    <w:rPr>
      <w:rFonts w:eastAsia="Times New Roman"/>
      <w:sz w:val="24"/>
      <w:szCs w:val="24"/>
    </w:rPr>
  </w:style>
  <w:style w:type="character" w:styleId="Style13">
    <w:name w:val="Текст выноски Знак"/>
    <w:qFormat/>
    <w:rPr>
      <w:rFonts w:ascii="Tahoma" w:hAnsi="Tahoma" w:eastAsia="Times New Roman" w:cs="Tahoma"/>
      <w:sz w:val="16"/>
      <w:szCs w:val="16"/>
      <w:lang w:eastAsia="ru-RU"/>
    </w:rPr>
  </w:style>
  <w:style w:type="character" w:styleId="Style14">
    <w:name w:val="Основной текст с отступом Знак"/>
    <w:qFormat/>
    <w:rPr>
      <w:rFonts w:ascii="Times New Roman" w:hAnsi="Times New Roman" w:eastAsia="Times New Roman" w:cs="Times New Roman"/>
      <w:sz w:val="20"/>
      <w:szCs w:val="20"/>
      <w:lang w:eastAsia="ru-RU"/>
    </w:rPr>
  </w:style>
  <w:style w:type="character" w:styleId="21">
    <w:name w:val="Основной текст (2)_"/>
    <w:qFormat/>
    <w:rPr>
      <w:rFonts w:ascii="Times New Roman" w:hAnsi="Times New Roman" w:eastAsia="Times New Roman" w:cs="Times New Roman"/>
      <w:color w:val="000000"/>
      <w:kern w:val="2"/>
      <w:sz w:val="26"/>
      <w:szCs w:val="26"/>
      <w:lang w:val="ru-RU" w:eastAsia="ru-RU" w:bidi="ar-SA"/>
    </w:rPr>
  </w:style>
  <w:style w:type="character" w:styleId="22">
    <w:name w:val="Основной текст (2) + Полужирный"/>
    <w:qFormat/>
    <w:rPr>
      <w:rFonts w:eastAsia="Times New Roman"/>
      <w:b/>
      <w:bCs/>
      <w:color w:val="000000"/>
      <w:spacing w:val="0"/>
      <w:w w:val="100"/>
      <w:position w:val="0"/>
      <w:sz w:val="24"/>
      <w:sz w:val="24"/>
      <w:shd w:fill="FFFFFF" w:val="clear"/>
      <w:vertAlign w:val="baseline"/>
      <w:lang w:val="ru-RU" w:eastAsia="ru-RU" w:bidi="ru-RU"/>
    </w:rPr>
  </w:style>
  <w:style w:type="character" w:styleId="Cm-reload-540">
    <w:name w:val="cm-reload-540"/>
    <w:qFormat/>
    <w:rPr/>
  </w:style>
  <w:style w:type="character" w:styleId="Strong2">
    <w:name w:val="strong2"/>
    <w:qFormat/>
    <w:rPr/>
  </w:style>
  <w:style w:type="character" w:styleId="FontStyle18">
    <w:name w:val="Font Style18"/>
    <w:qFormat/>
    <w:rPr>
      <w:rFonts w:ascii="Times New Roman" w:hAnsi="Times New Roman" w:cs="Times New Roman"/>
      <w:spacing w:val="10"/>
      <w:sz w:val="20"/>
      <w:szCs w:val="20"/>
    </w:rPr>
  </w:style>
  <w:style w:type="character" w:styleId="FontStyle24">
    <w:name w:val="Font Style24"/>
    <w:qFormat/>
    <w:rPr>
      <w:rFonts w:ascii="Times New Roman" w:hAnsi="Times New Roman" w:cs="Times New Roman"/>
      <w:sz w:val="22"/>
      <w:szCs w:val="22"/>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BalloonText">
    <w:name w:val="Balloon Text"/>
    <w:basedOn w:val="Normal"/>
    <w:qFormat/>
    <w:pPr/>
    <w:rPr>
      <w:rFonts w:ascii="Tahoma" w:hAnsi="Tahoma" w:cs="Tahoma"/>
      <w:sz w:val="16"/>
      <w:szCs w:val="16"/>
    </w:rPr>
  </w:style>
  <w:style w:type="paragraph" w:styleId="BodyTextIndent3">
    <w:name w:val="Body Text Indent 3"/>
    <w:basedOn w:val="Normal"/>
    <w:qFormat/>
    <w:pPr>
      <w:spacing w:before="0" w:after="120"/>
      <w:ind w:start="283"/>
    </w:pPr>
    <w:rPr>
      <w:sz w:val="16"/>
      <w:szCs w:val="16"/>
    </w:rPr>
  </w:style>
  <w:style w:type="paragraph" w:styleId="EndnoteText">
    <w:name w:val="Endnote Text"/>
    <w:basedOn w:val="Normal"/>
    <w:pPr>
      <w:spacing w:lineRule="auto" w:line="276"/>
    </w:pPr>
    <w:rPr>
      <w:sz w:val="20"/>
      <w:szCs w:val="20"/>
    </w:rPr>
  </w:style>
  <w:style w:type="paragraph" w:styleId="Caption1">
    <w:name w:val="caption1"/>
    <w:basedOn w:val="Normal"/>
    <w:qFormat/>
    <w:pPr>
      <w:suppressLineNumbers/>
      <w:spacing w:before="120" w:after="120"/>
    </w:pPr>
    <w:rPr>
      <w:rFonts w:cs="Lohit Devanagari"/>
      <w:i/>
      <w:iCs/>
    </w:rPr>
  </w:style>
  <w:style w:type="paragraph" w:styleId="FootnoteText">
    <w:name w:val="Footnote Text"/>
    <w:basedOn w:val="Normal"/>
    <w:pPr/>
    <w:rPr>
      <w:rFonts w:ascii="Arial" w:hAnsi="Arial" w:eastAsia="SimSun;Times New Roman" w:cs="Arial"/>
      <w:sz w:val="22"/>
      <w:szCs w:val="22"/>
      <w:lang w:eastAsia="zh-CN"/>
    </w:rPr>
  </w:style>
  <w:style w:type="paragraph" w:styleId="Style18">
    <w:name w:val="Колонтитул"/>
    <w:basedOn w:val="Normal"/>
    <w:qFormat/>
    <w:pPr/>
    <w:rPr/>
  </w:style>
  <w:style w:type="paragraph" w:styleId="Header">
    <w:name w:val="Header"/>
    <w:basedOn w:val="Normal"/>
    <w:pPr>
      <w:tabs>
        <w:tab w:val="clear" w:pos="708"/>
        <w:tab w:val="center" w:pos="4677" w:leader="none"/>
        <w:tab w:val="right" w:pos="9355" w:leader="none"/>
      </w:tabs>
    </w:pPr>
    <w:rPr/>
  </w:style>
  <w:style w:type="paragraph" w:styleId="BodyTextIndent">
    <w:name w:val="Body Text Indent"/>
    <w:basedOn w:val="Normal"/>
    <w:pPr>
      <w:spacing w:before="0" w:after="120"/>
      <w:ind w:start="283"/>
    </w:pPr>
    <w:rPr>
      <w:sz w:val="20"/>
      <w:szCs w:val="20"/>
    </w:rPr>
  </w:style>
  <w:style w:type="paragraph" w:styleId="Footer">
    <w:name w:val="Footer"/>
    <w:basedOn w:val="Normal"/>
    <w:pPr>
      <w:tabs>
        <w:tab w:val="clear" w:pos="708"/>
        <w:tab w:val="center" w:pos="4677" w:leader="none"/>
        <w:tab w:val="right" w:pos="9355" w:leader="none"/>
      </w:tabs>
    </w:pPr>
    <w:rPr/>
  </w:style>
  <w:style w:type="paragraph" w:styleId="NormalWeb">
    <w:name w:val="Normal (Web)"/>
    <w:basedOn w:val="Normal"/>
    <w:qFormat/>
    <w:pPr>
      <w:spacing w:before="280" w:after="280"/>
    </w:pPr>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before="120" w:after="160"/>
      <w:ind w:start="360"/>
      <w:jc w:val="both"/>
    </w:pPr>
    <w:rPr>
      <w:rFonts w:ascii="Arial" w:hAnsi="Arial" w:cs="Arial"/>
    </w:rPr>
  </w:style>
  <w:style w:type="paragraph" w:styleId="13">
    <w:name w:val="Заголовок1"/>
    <w:basedOn w:val="Normal"/>
    <w:next w:val="BodyText"/>
    <w:qFormat/>
    <w:pPr>
      <w:keepNext w:val="true"/>
      <w:spacing w:before="240" w:after="120"/>
    </w:pPr>
    <w:rPr>
      <w:rFonts w:ascii="Liberation Sans" w:hAnsi="Liberation Sans" w:eastAsia="Noto Sans SC Regular;Times New" w:cs="Noto Sans Devanagari"/>
      <w:sz w:val="28"/>
      <w:szCs w:val="28"/>
    </w:rPr>
  </w:style>
  <w:style w:type="paragraph" w:styleId="121">
    <w:name w:val="Указатель12"/>
    <w:basedOn w:val="Normal"/>
    <w:qFormat/>
    <w:pPr>
      <w:suppressLineNumbers/>
    </w:pPr>
    <w:rPr>
      <w:rFonts w:cs="Lohit Devanagari"/>
    </w:rPr>
  </w:style>
  <w:style w:type="paragraph" w:styleId="Caption11">
    <w:name w:val="caption11"/>
    <w:basedOn w:val="Normal"/>
    <w:qFormat/>
    <w:pPr>
      <w:suppressLineNumbers/>
      <w:spacing w:before="120" w:after="120"/>
    </w:pPr>
    <w:rPr>
      <w:rFonts w:cs="Lohit Devanagari"/>
      <w:i/>
      <w:iCs/>
    </w:rPr>
  </w:style>
  <w:style w:type="paragraph" w:styleId="111">
    <w:name w:val="Указатель11"/>
    <w:basedOn w:val="Normal"/>
    <w:qFormat/>
    <w:pPr>
      <w:suppressLineNumbers/>
    </w:pPr>
    <w:rPr>
      <w:rFonts w:cs="Lohit Devanagari"/>
    </w:rPr>
  </w:style>
  <w:style w:type="paragraph" w:styleId="Caption111">
    <w:name w:val="caption111"/>
    <w:basedOn w:val="Normal"/>
    <w:qFormat/>
    <w:pPr>
      <w:suppressLineNumbers/>
      <w:spacing w:before="120" w:after="120"/>
    </w:pPr>
    <w:rPr>
      <w:rFonts w:cs="Lohit Devanagari"/>
      <w:i/>
      <w:iCs/>
    </w:rPr>
  </w:style>
  <w:style w:type="paragraph" w:styleId="14">
    <w:name w:val="Указатель1"/>
    <w:basedOn w:val="Normal"/>
    <w:qFormat/>
    <w:pPr>
      <w:suppressLineNumbers/>
    </w:pPr>
    <w:rPr>
      <w:rFonts w:cs="Noto Sans Devanagari"/>
      <w:lang w:val="zh-CN" w:eastAsia="zh-CN" w:bidi="zh-CN"/>
    </w:rPr>
  </w:style>
  <w:style w:type="paragraph" w:styleId="15">
    <w:name w:val="Название объекта1"/>
    <w:basedOn w:val="Normal"/>
    <w:qFormat/>
    <w:pPr>
      <w:suppressLineNumbers/>
      <w:spacing w:before="120" w:after="120"/>
    </w:pPr>
    <w:rPr>
      <w:rFonts w:cs="Noto Sans Devanagari"/>
      <w:i/>
      <w:iCs/>
    </w:rPr>
  </w:style>
  <w:style w:type="paragraph" w:styleId="1CStyle9">
    <w:name w:val="1CStyle9"/>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CStyle7">
    <w:name w:val="1CStyle7"/>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6">
    <w:name w:val="Текст1"/>
    <w:basedOn w:val="Normal"/>
    <w:qFormat/>
    <w:pPr/>
    <w:rPr>
      <w:rFonts w:ascii="Consolas;Liberation Sans Narrow" w:hAnsi="Consolas;Liberation Sans Narrow" w:eastAsia="Calibri;Trebuchet MS" w:cs="Consolas;Liberation Sans Narrow"/>
      <w:color w:val="00000A"/>
      <w:sz w:val="21"/>
      <w:szCs w:val="21"/>
      <w:lang w:eastAsia="zh-CN"/>
    </w:rPr>
  </w:style>
  <w:style w:type="paragraph" w:styleId="Western">
    <w:name w:val="western"/>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zh-CN" w:bidi="ar-SA"/>
    </w:rPr>
  </w:style>
  <w:style w:type="paragraph" w:styleId="311">
    <w:name w:val="Без интервала31"/>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2">
    <w:name w:val="1CStyle2"/>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1CStyle0">
    <w:name w:val="1CStyle0"/>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3">
    <w:name w:val="Абзац списка2"/>
    <w:basedOn w:val="Normal"/>
    <w:qFormat/>
    <w:pPr>
      <w:spacing w:before="0" w:after="160"/>
      <w:ind w:start="720"/>
      <w:contextualSpacing/>
    </w:pPr>
    <w:rPr/>
  </w:style>
  <w:style w:type="paragraph" w:styleId="Style21">
    <w:name w:val="_Style 2"/>
    <w:basedOn w:val="Normal"/>
    <w:qFormat/>
    <w:pPr>
      <w:spacing w:before="0" w:after="160"/>
      <w:ind w:start="720"/>
      <w:contextualSpacing/>
    </w:pPr>
    <w:rPr/>
  </w:style>
  <w:style w:type="paragraph" w:styleId="1CStyle10">
    <w:name w:val="1CStyle10"/>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24">
    <w:name w:val="Обычный2"/>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
    <w:name w:val="Контракт-раздел"/>
    <w:basedOn w:val="Normal"/>
    <w:next w:val="-1"/>
    <w:qFormat/>
    <w:pPr>
      <w:keepNext w:val="true"/>
      <w:numPr>
        <w:ilvl w:val="0"/>
        <w:numId w:val="0"/>
      </w:numPr>
      <w:tabs>
        <w:tab w:val="clear" w:pos="708"/>
        <w:tab w:val="left" w:pos="540" w:leader="none"/>
      </w:tabs>
      <w:spacing w:before="360" w:after="120"/>
      <w:jc w:val="center"/>
      <w:outlineLvl w:val="3"/>
    </w:pPr>
    <w:rPr>
      <w:b/>
      <w:bCs/>
      <w:smallCaps/>
    </w:rPr>
  </w:style>
  <w:style w:type="paragraph" w:styleId="-1">
    <w:name w:val="Контракт-пункт"/>
    <w:basedOn w:val="Normal"/>
    <w:qFormat/>
    <w:pPr>
      <w:numPr>
        <w:ilvl w:val="0"/>
        <w:numId w:val="0"/>
      </w:numPr>
      <w:jc w:val="both"/>
    </w:pPr>
    <w:rPr/>
  </w:style>
  <w:style w:type="paragraph" w:styleId="17">
    <w:name w:val="Обычный1"/>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2">
    <w:name w:val="Контракт-подподпункт"/>
    <w:basedOn w:val="Normal"/>
    <w:qFormat/>
    <w:pPr>
      <w:tabs>
        <w:tab w:val="clear" w:pos="708"/>
        <w:tab w:val="left" w:pos="0" w:leader="none"/>
      </w:tabs>
      <w:jc w:val="both"/>
    </w:pPr>
    <w:rPr/>
  </w:style>
  <w:style w:type="paragraph" w:styleId="Iauiue">
    <w:name w:val="Iau?iue"/>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0"/>
      <w:szCs w:val="20"/>
      <w:lang w:val="en-US" w:eastAsia="ru-RU" w:bidi="ar-SA"/>
    </w:rPr>
  </w:style>
  <w:style w:type="paragraph" w:styleId="Style19">
    <w:name w:val="Содержимое таблицы"/>
    <w:basedOn w:val="Normal"/>
    <w:qFormat/>
    <w:pPr>
      <w:suppressLineNumbers/>
    </w:pPr>
    <w:rPr/>
  </w:style>
  <w:style w:type="paragraph" w:styleId="3111">
    <w:name w:val="Основной текст 311"/>
    <w:basedOn w:val="Normal"/>
    <w:qFormat/>
    <w:pPr>
      <w:spacing w:before="0" w:after="120"/>
    </w:pPr>
    <w:rPr>
      <w:sz w:val="16"/>
      <w:szCs w:val="16"/>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11">
    <w:name w:val="Основной текст с отступом 211"/>
    <w:basedOn w:val="Normal"/>
    <w:qFormat/>
    <w:pPr>
      <w:spacing w:before="120" w:after="200"/>
      <w:ind w:start="360"/>
      <w:jc w:val="both"/>
    </w:pPr>
    <w:rPr>
      <w:rFonts w:ascii="Arial" w:hAnsi="Arial" w:cs="Arial"/>
    </w:rPr>
  </w:style>
  <w:style w:type="paragraph" w:styleId="212">
    <w:name w:val="Основной текст 21"/>
    <w:basedOn w:val="Normal"/>
    <w:qFormat/>
    <w:pPr>
      <w:ind w:firstLine="851"/>
      <w:jc w:val="both"/>
    </w:pPr>
    <w:rPr>
      <w:szCs w:val="20"/>
      <w:lang w:val="en-US"/>
    </w:rPr>
  </w:style>
  <w:style w:type="paragraph" w:styleId="25">
    <w:name w:val="Основной текст (2)"/>
    <w:qFormat/>
    <w:pPr>
      <w:widowControl w:val="false"/>
      <w:shd w:val="clear" w:fill="FFFFFF"/>
      <w:suppressAutoHyphens w:val="true"/>
      <w:bidi w:val="0"/>
      <w:spacing w:lineRule="exact" w:line="307" w:before="0" w:after="160"/>
      <w:jc w:val="both"/>
      <w:textAlignment w:val="baseline"/>
    </w:pPr>
    <w:rPr>
      <w:rFonts w:ascii="Times New Roman" w:hAnsi="Times New Roman" w:eastAsia="Times New Roman" w:cs="Times New Roman"/>
      <w:color w:val="000000"/>
      <w:kern w:val="2"/>
      <w:sz w:val="26"/>
      <w:szCs w:val="26"/>
      <w:lang w:val="ru-RU" w:eastAsia="ru-RU" w:bidi="ar-SA"/>
    </w:rPr>
  </w:style>
  <w:style w:type="paragraph" w:styleId="S1">
    <w:name w:val="s_1"/>
    <w:basedOn w:val="Normal"/>
    <w:qFormat/>
    <w:pPr>
      <w:spacing w:before="280" w:after="280"/>
    </w:pPr>
    <w:rPr/>
  </w:style>
  <w:style w:type="paragraph" w:styleId="Style91">
    <w:name w:val="Style9"/>
    <w:basedOn w:val="Normal"/>
    <w:qFormat/>
    <w:pPr>
      <w:spacing w:lineRule="exact" w:line="326"/>
      <w:ind w:firstLine="701"/>
      <w:jc w:val="both"/>
    </w:pPr>
    <w:rPr>
      <w:rFonts w:ascii="Tahoma" w:hAnsi="Tahoma" w:cs="Tahoma"/>
    </w:rPr>
  </w:style>
  <w:style w:type="paragraph" w:styleId="ConsPlusNormal">
    <w:name w:val="ConsPlusNormal"/>
    <w:qFormat/>
    <w:pPr>
      <w:widowControl w:val="false"/>
      <w:suppressAutoHyphens w:val="true"/>
      <w:bidi w:val="0"/>
      <w:spacing w:lineRule="auto" w:line="252" w:before="0" w:after="160"/>
      <w:ind w:firstLine="720"/>
      <w:jc w:val="start"/>
    </w:pPr>
    <w:rPr>
      <w:rFonts w:ascii="Arial" w:hAnsi="Arial" w:eastAsia="SimSun;Times New Roman" w:cs="Arial"/>
      <w:color w:val="auto"/>
      <w:kern w:val="0"/>
      <w:sz w:val="20"/>
      <w:szCs w:val="20"/>
      <w:lang w:val="ru-RU" w:eastAsia="ru-RU" w:bidi="ar-SA"/>
    </w:rPr>
  </w:style>
  <w:style w:type="paragraph" w:styleId="ConsNormal">
    <w:name w:val="ConsNormal"/>
    <w:qFormat/>
    <w:pPr>
      <w:widowControl w:val="false"/>
      <w:suppressAutoHyphens w:val="true"/>
      <w:bidi w:val="0"/>
      <w:spacing w:lineRule="auto" w:line="252" w:before="0" w:after="160"/>
      <w:ind w:firstLine="720" w:end="19772"/>
      <w:jc w:val="start"/>
    </w:pPr>
    <w:rPr>
      <w:rFonts w:ascii="Arial" w:hAnsi="Arial" w:eastAsia="Times New Roman" w:cs="Arial"/>
      <w:color w:val="auto"/>
      <w:kern w:val="0"/>
      <w:sz w:val="20"/>
      <w:szCs w:val="20"/>
      <w:lang w:val="ru-RU" w:eastAsia="ru-RU" w:bidi="ar-SA"/>
    </w:rPr>
  </w:style>
  <w:style w:type="paragraph" w:styleId="26">
    <w:name w:val="Без интервала2"/>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8">
    <w:name w:val="1CStyle8"/>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1C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20">
    <w:name w:val="áû÷íûé"/>
    <w:qFormat/>
    <w:pPr>
      <w:widowControl w:val="false"/>
      <w:suppressAutoHyphens w:val="true"/>
      <w:bidi w:val="0"/>
      <w:spacing w:lineRule="auto" w:line="252" w:before="0" w:after="160"/>
      <w:jc w:val="start"/>
      <w:textAlignment w:val="baseline"/>
    </w:pPr>
    <w:rPr>
      <w:rFonts w:ascii="Times New Roman" w:hAnsi="Times New Roman" w:eastAsia="SimSun;Times New Roman" w:cs="Times New Roman"/>
      <w:color w:val="auto"/>
      <w:kern w:val="0"/>
      <w:sz w:val="21"/>
      <w:szCs w:val="22"/>
      <w:lang w:val="ru-RU" w:eastAsia="ru-RU" w:bidi="ar-SA"/>
    </w:rPr>
  </w:style>
  <w:style w:type="paragraph" w:styleId="1CStyle5">
    <w:name w:val="1CStyle5"/>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FrameContents">
    <w:name w:val="Frame Contents"/>
    <w:basedOn w:val="Normal"/>
    <w:qFormat/>
    <w:pPr/>
    <w:rPr/>
  </w:style>
  <w:style w:type="paragraph" w:styleId="NoSpacing">
    <w:name w:val="No Spacing"/>
    <w:qFormat/>
    <w:pPr>
      <w:widowControl w:val="false"/>
      <w:suppressAutoHyphens w:val="true"/>
      <w:bidi w:val="0"/>
      <w:spacing w:lineRule="auto" w:line="252" w:before="0" w:after="160"/>
      <w:jc w:val="start"/>
    </w:pPr>
    <w:rPr>
      <w:rFonts w:ascii="Times New Roman" w:hAnsi="Times New Roman" w:eastAsia="SimSun;Times New Roman" w:cs="Times New Roman"/>
      <w:color w:val="auto"/>
      <w:kern w:val="0"/>
      <w:sz w:val="22"/>
      <w:szCs w:val="22"/>
      <w:lang w:val="ru-RU" w:eastAsia="zh-CN" w:bidi="ar-SA"/>
    </w:rPr>
  </w:style>
  <w:style w:type="paragraph" w:styleId="221">
    <w:name w:val="Основной текст 22"/>
    <w:basedOn w:val="Normal"/>
    <w:qFormat/>
    <w:pPr>
      <w:ind w:firstLine="851"/>
      <w:jc w:val="both"/>
    </w:pPr>
    <w:rPr>
      <w:szCs w:val="20"/>
    </w:rPr>
  </w:style>
  <w:style w:type="paragraph" w:styleId="1CStyle6">
    <w:name w:val="1CStyle6"/>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ConsPlusCell">
    <w:name w:val="ConsPlusCell"/>
    <w:qFormat/>
    <w:pPr>
      <w:widowControl w:val="false"/>
      <w:suppressAutoHyphens w:val="true"/>
      <w:bidi w:val="0"/>
      <w:spacing w:lineRule="auto" w:line="252" w:before="0" w:after="160"/>
      <w:jc w:val="start"/>
    </w:pPr>
    <w:rPr>
      <w:rFonts w:ascii="Arial" w:hAnsi="Arial" w:eastAsia="Times New Roman" w:cs="Arial"/>
      <w:color w:val="auto"/>
      <w:kern w:val="0"/>
      <w:sz w:val="20"/>
      <w:szCs w:val="20"/>
      <w:lang w:val="ru-RU" w:eastAsia="ru-RU" w:bidi="ar-SA"/>
    </w:rPr>
  </w:style>
  <w:style w:type="paragraph" w:styleId="32">
    <w:name w:val="Без интервала3"/>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ru-RU" w:eastAsia="en-US" w:bidi="ar-SA"/>
    </w:rPr>
  </w:style>
  <w:style w:type="paragraph" w:styleId="27">
    <w:name w:val="Текст2"/>
    <w:basedOn w:val="Style20"/>
    <w:qFormat/>
    <w:pPr>
      <w:spacing w:before="0" w:after="240"/>
      <w:ind w:firstLine="1440"/>
    </w:pPr>
    <w:rPr>
      <w:sz w:val="24"/>
      <w:lang w:val="en-GB"/>
    </w:rPr>
  </w:style>
  <w:style w:type="paragraph" w:styleId="18">
    <w:name w:val="Абзац списка1"/>
    <w:basedOn w:val="Normal"/>
    <w:qFormat/>
    <w:pPr>
      <w:ind w:start="720"/>
    </w:pPr>
    <w:rPr/>
  </w:style>
  <w:style w:type="paragraph" w:styleId="Style43">
    <w:name w:val="Style43"/>
    <w:basedOn w:val="Normal"/>
    <w:qFormat/>
    <w:pPr>
      <w:spacing w:lineRule="exact" w:line="334"/>
      <w:jc w:val="both"/>
    </w:pPr>
    <w:rPr>
      <w:color w:val="00000A"/>
    </w:rPr>
  </w:style>
  <w:style w:type="paragraph" w:styleId="-3">
    <w:name w:val="Контракт-подпункт Знак"/>
    <w:basedOn w:val="Normal"/>
    <w:qFormat/>
    <w:pPr>
      <w:tabs>
        <w:tab w:val="clear" w:pos="708"/>
        <w:tab w:val="left" w:pos="0" w:leader="none"/>
      </w:tabs>
      <w:jc w:val="both"/>
    </w:pPr>
    <w:rPr/>
  </w:style>
  <w:style w:type="paragraph" w:styleId="19">
    <w:name w:val="Без интервала1"/>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en-US" w:bidi="ar-SA"/>
    </w:rPr>
  </w:style>
  <w:style w:type="paragraph" w:styleId="ListParagraph">
    <w:name w:val="List Paragraph"/>
    <w:basedOn w:val="Normal"/>
    <w:qFormat/>
    <w:pPr>
      <w:spacing w:before="0" w:after="160"/>
      <w:ind w:start="720"/>
      <w:contextualSpacing/>
    </w:pPr>
    <w:rPr>
      <w:rFonts w:ascii="Calibri;Trebuchet MS" w:hAnsi="Calibri;Trebuchet MS" w:cs="Calibri;Trebuchet MS"/>
      <w:lang w:val="zh-CN" w:eastAsia="zh-CN"/>
    </w:rPr>
  </w:style>
  <w:style w:type="paragraph" w:styleId="Style22">
    <w:name w:val="Текст в заданном формате"/>
    <w:basedOn w:val="Normal"/>
    <w:qFormat/>
    <w:pPr>
      <w:spacing w:before="0" w:after="60"/>
      <w:jc w:val="both"/>
    </w:pPr>
    <w:rPr>
      <w:rFonts w:ascii="Liberation Mono" w:hAnsi="Liberation Mono" w:eastAsia="Courier New" w:cs="Liberation Mono"/>
      <w:color w:val="00000A"/>
      <w:sz w:val="20"/>
      <w:szCs w:val="20"/>
      <w:lang w:eastAsia="zh-CN" w:bidi="hi-IN"/>
    </w:rPr>
  </w:style>
  <w:style w:type="paragraph" w:styleId="41">
    <w:name w:val="Абзац списка4"/>
    <w:basedOn w:val="Normal"/>
    <w:qFormat/>
    <w:pPr>
      <w:ind w:start="720"/>
    </w:pPr>
    <w:rPr>
      <w:rFonts w:eastAsia="Calibri;Trebuchet MS"/>
    </w:rPr>
  </w:style>
  <w:style w:type="paragraph" w:styleId="1CStyle4">
    <w:name w:val="1CStyle4"/>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23">
    <w:name w:val="Таблица шапка"/>
    <w:basedOn w:val="Normal"/>
    <w:qFormat/>
    <w:pPr>
      <w:keepNext w:val="true"/>
      <w:spacing w:before="40" w:after="40"/>
      <w:ind w:start="57" w:end="57"/>
    </w:pPr>
    <w:rPr>
      <w:kern w:val="2"/>
      <w:szCs w:val="20"/>
      <w:lang w:eastAsia="ar-SA"/>
    </w:rPr>
  </w:style>
  <w:style w:type="paragraph" w:styleId="Style24">
    <w:name w:val="Таблица текст"/>
    <w:basedOn w:val="Normal"/>
    <w:qFormat/>
    <w:pPr>
      <w:spacing w:before="40" w:after="40"/>
      <w:ind w:start="57" w:end="57"/>
    </w:pPr>
    <w:rPr>
      <w:kern w:val="2"/>
      <w:szCs w:val="20"/>
      <w:lang w:eastAsia="ar-SA"/>
    </w:rPr>
  </w:style>
  <w:style w:type="paragraph" w:styleId="Style51">
    <w:name w:val="_Style 5"/>
    <w:basedOn w:val="Normal"/>
    <w:qFormat/>
    <w:pPr/>
    <w:rPr>
      <w:rFonts w:ascii="Verdana" w:hAnsi="Verdana" w:cs="Verdana"/>
      <w:sz w:val="20"/>
      <w:szCs w:val="20"/>
      <w:lang w:val="en-US"/>
    </w:rPr>
  </w:style>
  <w:style w:type="paragraph" w:styleId="33">
    <w:name w:val="Абзац списка3"/>
    <w:basedOn w:val="Normal"/>
    <w:qFormat/>
    <w:pPr>
      <w:spacing w:before="0" w:after="200"/>
      <w:ind w:start="720"/>
      <w:contextualSpacing/>
    </w:pPr>
    <w:rPr>
      <w:rFonts w:ascii="Calibri;Trebuchet MS" w:hAnsi="Calibri;Trebuchet MS" w:eastAsia="Calibri;Trebuchet MS"/>
    </w:rPr>
  </w:style>
  <w:style w:type="paragraph" w:styleId="222">
    <w:name w:val="Основной текст с отступом 22"/>
    <w:basedOn w:val="Normal"/>
    <w:qFormat/>
    <w:pPr>
      <w:spacing w:before="120" w:after="200"/>
      <w:ind w:start="360"/>
      <w:jc w:val="both"/>
    </w:pPr>
    <w:rPr>
      <w:rFonts w:ascii="Arial" w:hAnsi="Arial" w:cs="Arial"/>
    </w:rPr>
  </w:style>
  <w:style w:type="paragraph" w:styleId="Standard">
    <w:name w:val="Standard"/>
    <w:qFormat/>
    <w:pPr>
      <w:widowControl/>
      <w:suppressAutoHyphens w:val="true"/>
      <w:bidi w:val="0"/>
      <w:spacing w:lineRule="auto" w:line="276" w:before="0" w:after="200"/>
      <w:jc w:val="start"/>
      <w:textAlignment w:val="baseline"/>
    </w:pPr>
    <w:rPr>
      <w:rFonts w:ascii="Calibri;Trebuchet MS" w:hAnsi="Calibri;Trebuchet MS" w:eastAsia="SimSun;Times New Roman" w:cs="Calibri;Trebuchet MS"/>
      <w:color w:val="auto"/>
      <w:kern w:val="2"/>
      <w:sz w:val="22"/>
      <w:szCs w:val="22"/>
      <w:lang w:val="ru-RU" w:eastAsia="zh-CN" w:bidi="ar-SA"/>
    </w:rPr>
  </w:style>
  <w:style w:type="paragraph" w:styleId="Xmsonormal">
    <w:name w:val="x_msonormal"/>
    <w:basedOn w:val="Normal"/>
    <w:qFormat/>
    <w:pPr>
      <w:spacing w:lineRule="auto" w:line="240" w:before="100" w:after="100"/>
    </w:pPr>
    <w:rPr/>
  </w:style>
  <w:style w:type="paragraph" w:styleId="321">
    <w:name w:val="Основной текст 32"/>
    <w:basedOn w:val="Normal"/>
    <w:qFormat/>
    <w:pPr>
      <w:spacing w:before="0" w:after="120"/>
    </w:pPr>
    <w:rPr>
      <w:sz w:val="16"/>
      <w:szCs w:val="16"/>
    </w:rPr>
  </w:style>
  <w:style w:type="paragraph" w:styleId="1111">
    <w:name w:val="Стиль Заголовок 1 + 11 пт"/>
    <w:basedOn w:val="Heading1"/>
    <w:qFormat/>
    <w:pPr>
      <w:numPr>
        <w:ilvl w:val="0"/>
        <w:numId w:val="0"/>
      </w:numPr>
      <w:tabs>
        <w:tab w:val="clear" w:pos="708"/>
        <w:tab w:val="left" w:pos="3780" w:leader="none"/>
      </w:tabs>
      <w:spacing w:before="360" w:after="120"/>
      <w:jc w:val="center"/>
      <w:outlineLvl w:val="9"/>
    </w:pPr>
    <w:rPr>
      <w:rFonts w:ascii="Times New Roman" w:hAnsi="Times New Roman" w:eastAsia="Times New Roman"/>
      <w:color w:val="000000"/>
      <w:sz w:val="22"/>
      <w:szCs w:val="20"/>
    </w:rPr>
  </w:style>
  <w:style w:type="paragraph" w:styleId="Style25">
    <w:name w:val="статьи договора"/>
    <w:basedOn w:val="1111"/>
    <w:qFormat/>
    <w:pPr>
      <w:numPr>
        <w:ilvl w:val="0"/>
        <w:numId w:val="0"/>
      </w:numPr>
      <w:tabs>
        <w:tab w:val="left" w:pos="1392" w:leader="none"/>
        <w:tab w:val="left" w:pos="3780" w:leader="none"/>
      </w:tabs>
      <w:spacing w:before="0" w:after="60"/>
      <w:ind w:hanging="0" w:start="1392"/>
      <w:jc w:val="both"/>
      <w:outlineLvl w:val="1"/>
    </w:pPr>
    <w:rPr>
      <w:rFonts w:ascii="Calibri;Trebuchet MS" w:hAnsi="Calibri;Trebuchet MS" w:eastAsia="Calibri;Trebuchet MS"/>
      <w:b w:val="false"/>
      <w:bCs w:val="false"/>
      <w:szCs w:val="22"/>
      <w:lang w:eastAsia="en-US"/>
    </w:rPr>
  </w:style>
  <w:style w:type="paragraph" w:styleId="Style181">
    <w:name w:val="Style18"/>
    <w:basedOn w:val="Normal"/>
    <w:qFormat/>
    <w:pPr>
      <w:suppressAutoHyphens w:val="false"/>
      <w:spacing w:lineRule="exact" w:line="276" w:before="0" w:after="0"/>
      <w:ind w:firstLine="451"/>
      <w:jc w:val="both"/>
    </w:pPr>
    <w:rPr/>
  </w:style>
  <w:style w:type="paragraph" w:styleId="110">
    <w:name w:val="Основной текст1"/>
    <w:basedOn w:val="Normal"/>
    <w:qFormat/>
    <w:pPr>
      <w:ind w:firstLine="300"/>
    </w:pPr>
    <w:rPr>
      <w:sz w:val="26"/>
      <w:szCs w:val="26"/>
    </w:rPr>
  </w:style>
  <w:style w:type="paragraph" w:styleId="51">
    <w:name w:val="Основной текст (5)"/>
    <w:basedOn w:val="Normal"/>
    <w:qFormat/>
    <w:pPr>
      <w:shd w:val="clear" w:fill="FFFFFF"/>
      <w:suppressAutoHyphens w:val="false"/>
      <w:spacing w:lineRule="exact" w:line="317"/>
      <w:jc w:val="both"/>
    </w:pPr>
    <w:rPr>
      <w:sz w:val="26"/>
      <w:szCs w:val="26"/>
    </w:rPr>
  </w:style>
  <w:style w:type="paragraph" w:styleId="Style26">
    <w:name w:val="Заголовок таблицы"/>
    <w:basedOn w:val="Style19"/>
    <w:qFormat/>
    <w:pPr>
      <w:jc w:val="center"/>
    </w:pPr>
    <w:rPr>
      <w:b/>
      <w:bCs/>
    </w:rPr>
  </w:style>
  <w:style w:type="paragraph" w:styleId="Style27">
    <w:name w:val="Содержимое врезки"/>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http://www.zakupki.gov.ru/" TargetMode="External"/><Relationship Id="rId4" Type="http://schemas.openxmlformats.org/officeDocument/2006/relationships/hyperlink" Target="http://www.zakupki.gov.ru/" TargetMode="External"/><Relationship Id="rId5" Type="http://schemas.openxmlformats.org/officeDocument/2006/relationships/hyperlink" Target="https://www.rts-tender.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77</TotalTime>
  <Application>LibreOffice/7.6.7.2$Linux_X86_64 LibreOffice_project/60$Build-2</Application>
  <AppVersion>15.0000</AppVersion>
  <Pages>15</Pages>
  <Words>4640</Words>
  <Characters>32109</Characters>
  <CharactersWithSpaces>36497</CharactersWithSpaces>
  <Paragraphs>219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2024-08-05T16:27:17Z</dcterms:created>
  <dc:creator/>
  <dc:description/>
  <dc:language>ru-RU</dc:language>
  <cp:lastModifiedBy/>
  <cp:lastPrinted>2023-11-28T10:25:00Z</cp:lastPrinted>
  <dcterms:modified xsi:type="dcterms:W3CDTF">2024-11-06T14:57:23Z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A3F83125CF924CE78443CB1A28D87B65_13</vt:lpwstr>
  </property>
  <property fmtid="{D5CDD505-2E9C-101B-9397-08002B2CF9AE}" pid="3" name="KSOProductBuildVer">
    <vt:lpwstr>1049-12.2.0.13431</vt:lpwstr>
  </property>
</Properties>
</file>