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start="3828" w:end="0"/>
        <w:jc w:val="end"/>
        <w:rPr>
          <w:rFonts w:ascii="Times New Roman" w:hAnsi="Times New Roman" w:cs="Times New Roman"/>
          <w:color w:val="000000"/>
          <w:sz w:val="22"/>
          <w:szCs w:val="22"/>
          <w:lang w:val="ru-RU"/>
        </w:rPr>
      </w:pPr>
      <w:r>
        <w:rPr>
          <w:rFonts w:cs="Times New Roman" w:ascii="Times New Roman" w:hAnsi="Times New Roman"/>
          <w:color w:val="000000"/>
          <w:sz w:val="22"/>
          <w:szCs w:val="22"/>
          <w:lang w:val="ru-RU"/>
        </w:rPr>
        <w:t>Приложение №1 к извещению</w:t>
      </w:r>
    </w:p>
    <w:p>
      <w:pPr>
        <w:pStyle w:val="Normal"/>
        <w:ind w:start="3828" w:end="0"/>
        <w:jc w:val="end"/>
        <w:rPr>
          <w:rFonts w:ascii="Times New Roman" w:hAnsi="Times New Roman" w:cs="Times New Roman"/>
          <w:color w:val="000000"/>
          <w:sz w:val="22"/>
          <w:szCs w:val="22"/>
          <w:lang w:val="ru-RU"/>
        </w:rPr>
      </w:pPr>
      <w:r>
        <w:rPr>
          <w:rFonts w:cs="Times New Roman" w:ascii="Times New Roman" w:hAnsi="Times New Roman"/>
          <w:color w:val="000000"/>
          <w:sz w:val="22"/>
          <w:szCs w:val="22"/>
        </w:rPr>
        <w:t>запроса котировок</w:t>
      </w:r>
    </w:p>
    <w:tbl>
      <w:tblPr>
        <w:tblpPr w:vertAnchor="text" w:horzAnchor="page" w:leftFromText="180" w:rightFromText="180" w:tblpX="1166" w:tblpY="261"/>
        <w:tblOverlap w:val="never"/>
        <w:tblW w:w="5000" w:type="pct"/>
        <w:jc w:val="start"/>
        <w:tblInd w:w="108" w:type="dxa"/>
        <w:tblLayout w:type="fixed"/>
        <w:tblCellMar>
          <w:top w:w="0" w:type="dxa"/>
          <w:start w:w="108" w:type="dxa"/>
          <w:bottom w:w="0" w:type="dxa"/>
          <w:end w:w="108" w:type="dxa"/>
        </w:tblCellMar>
      </w:tblPr>
      <w:tblGrid>
        <w:gridCol w:w="542"/>
        <w:gridCol w:w="3075"/>
        <w:gridCol w:w="6525"/>
      </w:tblGrid>
      <w:tr>
        <w:trPr>
          <w:tblHeader w:val="true"/>
          <w:trHeight w:val="274" w:hRule="atLeast"/>
        </w:trPr>
        <w:tc>
          <w:tcPr>
            <w:tcW w:w="542" w:type="dxa"/>
            <w:tcBorders>
              <w:top w:val="single" w:sz="4" w:space="0" w:color="000000"/>
              <w:start w:val="single" w:sz="4" w:space="0" w:color="000000"/>
              <w:bottom w:val="single" w:sz="4" w:space="0" w:color="000000"/>
              <w:end w:val="single" w:sz="4" w:space="0" w:color="000000"/>
            </w:tcBorders>
            <w:shd w:fill="D8D8D8" w:val="clear"/>
          </w:tcPr>
          <w:p>
            <w:pPr>
              <w:pStyle w:val="Style21"/>
              <w:snapToGrid w:val="false"/>
              <w:jc w:val="center"/>
              <w:rPr>
                <w:sz w:val="22"/>
                <w:szCs w:val="22"/>
              </w:rPr>
            </w:pPr>
            <w:r>
              <w:rPr>
                <w:sz w:val="22"/>
                <w:szCs w:val="22"/>
              </w:rPr>
              <w:t xml:space="preserve">№ </w:t>
            </w:r>
            <w:r>
              <w:rPr>
                <w:sz w:val="22"/>
                <w:szCs w:val="22"/>
              </w:rPr>
              <w:t>п/п</w:t>
            </w:r>
          </w:p>
        </w:tc>
        <w:tc>
          <w:tcPr>
            <w:tcW w:w="3075" w:type="dxa"/>
            <w:tcBorders>
              <w:top w:val="single" w:sz="4" w:space="0" w:color="000000"/>
              <w:start w:val="single" w:sz="4" w:space="0" w:color="000000"/>
              <w:bottom w:val="single" w:sz="4" w:space="0" w:color="000000"/>
              <w:end w:val="single" w:sz="4" w:space="0" w:color="000000"/>
            </w:tcBorders>
            <w:shd w:fill="D8D8D8" w:val="clear"/>
          </w:tcPr>
          <w:p>
            <w:pPr>
              <w:pStyle w:val="Style21"/>
              <w:snapToGrid w:val="false"/>
              <w:jc w:val="center"/>
              <w:rPr>
                <w:sz w:val="22"/>
                <w:szCs w:val="22"/>
              </w:rPr>
            </w:pPr>
            <w:r>
              <w:rPr>
                <w:sz w:val="22"/>
                <w:szCs w:val="22"/>
              </w:rPr>
              <w:t>Основные требования</w:t>
            </w:r>
          </w:p>
        </w:tc>
        <w:tc>
          <w:tcPr>
            <w:tcW w:w="6525" w:type="dxa"/>
            <w:tcBorders>
              <w:top w:val="single" w:sz="4" w:space="0" w:color="000000"/>
              <w:start w:val="single" w:sz="4" w:space="0" w:color="000000"/>
              <w:bottom w:val="single" w:sz="4" w:space="0" w:color="000000"/>
              <w:end w:val="single" w:sz="4" w:space="0" w:color="000000"/>
            </w:tcBorders>
            <w:shd w:fill="D8D8D8" w:val="clear"/>
          </w:tcPr>
          <w:p>
            <w:pPr>
              <w:pStyle w:val="Style21"/>
              <w:snapToGrid w:val="false"/>
              <w:jc w:val="center"/>
              <w:rPr>
                <w:sz w:val="22"/>
                <w:szCs w:val="22"/>
              </w:rPr>
            </w:pPr>
            <w:r>
              <w:rPr>
                <w:sz w:val="22"/>
                <w:szCs w:val="22"/>
              </w:rPr>
              <w:t>Основные данные, характеристики, требования</w:t>
            </w:r>
          </w:p>
        </w:tc>
      </w:tr>
      <w:tr>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1</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Наименование товара, работы, услуги</w:t>
            </w:r>
          </w:p>
        </w:tc>
        <w:tc>
          <w:tcPr>
            <w:tcW w:w="6525" w:type="dxa"/>
            <w:tcBorders>
              <w:top w:val="single" w:sz="4" w:space="0" w:color="000000"/>
              <w:start w:val="single" w:sz="4" w:space="0" w:color="000000"/>
              <w:bottom w:val="single" w:sz="4" w:space="0" w:color="000000"/>
              <w:end w:val="single" w:sz="4" w:space="0" w:color="000000"/>
            </w:tcBorders>
          </w:tcPr>
          <w:p>
            <w:pPr>
              <w:pStyle w:val="Style20"/>
              <w:tabs>
                <w:tab w:val="clear" w:pos="708"/>
                <w:tab w:val="left" w:pos="709" w:leader="none"/>
              </w:tabs>
              <w:snapToGrid w:val="false"/>
              <w:ind w:firstLine="284"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Предоставление судна в тайм-чартер по договору фрахтования судна на время.</w:t>
            </w:r>
          </w:p>
        </w:tc>
      </w:tr>
      <w:tr>
        <w:trPr>
          <w:trHeight w:val="7557" w:hRule="atLeast"/>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2</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Описание объекта закупки</w:t>
            </w:r>
          </w:p>
        </w:tc>
        <w:tc>
          <w:tcPr>
            <w:tcW w:w="6525" w:type="dxa"/>
            <w:tcBorders>
              <w:top w:val="single" w:sz="4" w:space="0" w:color="000000"/>
              <w:start w:val="single" w:sz="4" w:space="0" w:color="000000"/>
              <w:bottom w:val="single" w:sz="4" w:space="0" w:color="000000"/>
              <w:end w:val="single" w:sz="4" w:space="0" w:color="000000"/>
            </w:tcBorders>
          </w:tcPr>
          <w:p>
            <w:pPr>
              <w:pStyle w:val="Style20"/>
              <w:tabs>
                <w:tab w:val="clear" w:pos="708"/>
                <w:tab w:val="left" w:pos="709" w:leader="none"/>
              </w:tabs>
              <w:snapToGrid w:val="false"/>
              <w:spacing w:lineRule="atLeast" w:line="0"/>
              <w:ind w:firstLine="284"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 xml:space="preserve">Предоставление судна (по договору фрахтования судна на время (тайм-чартер) глава </w:t>
            </w:r>
            <w:r>
              <w:rPr>
                <w:rFonts w:cs="Times New Roman" w:ascii="Times New Roman" w:hAnsi="Times New Roman"/>
                <w:color w:val="000000"/>
                <w:sz w:val="22"/>
                <w:szCs w:val="22"/>
                <w:shd w:fill="FFFFFF" w:val="clear"/>
              </w:rPr>
              <w:t>X</w:t>
            </w:r>
            <w:r>
              <w:rPr>
                <w:rFonts w:cs="Times New Roman" w:ascii="Times New Roman" w:hAnsi="Times New Roman"/>
                <w:color w:val="000000"/>
                <w:sz w:val="22"/>
                <w:szCs w:val="22"/>
                <w:shd w:fill="FFFFFF" w:val="clear"/>
                <w:lang w:val="ru-RU"/>
              </w:rPr>
              <w:t xml:space="preserve"> КТМ РФ), обеспечивающих выполнение целей фрахтования, определённых в п. 3 настоящего Технического задания, принадлежащих Судовладельцу на праве собственности (либо ином титульном праве, предусматривающем возможность передачи во фрахт), и услуги членов экипажей Судна по его управлению и технической эксплуатации в пользование Фрахтователя для осуществления последним перевозок пассажиров морским транспортом, в соответствии с условиями настоящего Технического задания.</w:t>
            </w:r>
          </w:p>
          <w:p>
            <w:pPr>
              <w:pStyle w:val="Style20"/>
              <w:tabs>
                <w:tab w:val="clear" w:pos="708"/>
                <w:tab w:val="left" w:pos="709" w:leader="none"/>
              </w:tabs>
              <w:snapToGrid w:val="false"/>
              <w:spacing w:lineRule="atLeast" w:line="0"/>
              <w:ind w:firstLine="284"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Судно на протяжении времени поданной заявки  находится под оперативным управлением Фрахтователя в отношении его коммерческого использования, обусловленного целями фрахтования.</w:t>
            </w:r>
          </w:p>
          <w:p>
            <w:pPr>
              <w:pStyle w:val="Style20"/>
              <w:tabs>
                <w:tab w:val="clear" w:pos="708"/>
                <w:tab w:val="left" w:pos="709" w:leader="none"/>
              </w:tabs>
              <w:snapToGrid w:val="false"/>
              <w:spacing w:lineRule="atLeast" w:line="0"/>
              <w:ind w:firstLine="284"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Для капитана Судна и других членов экипажа Судна обязательны распоряжения Фрахтователя, касающиеся коммерческой эксплуатации Судна в соответствии с целями фрахтования. Судовладелец не несёт ответственность за достигнутый Фрахтователем экономический эффект целей фрахтования в случае выполнения своих обязательств по предоставлению Судна в мореходном состоянии (включая укомплектованность Судна экипажем).</w:t>
            </w:r>
          </w:p>
          <w:p>
            <w:pPr>
              <w:pStyle w:val="Style20"/>
              <w:tabs>
                <w:tab w:val="clear" w:pos="708"/>
                <w:tab w:val="left" w:pos="709" w:leader="none"/>
              </w:tabs>
              <w:snapToGrid w:val="false"/>
              <w:spacing w:lineRule="atLeast" w:line="0"/>
              <w:ind w:firstLine="284"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Все доходы, полученные в результате использования зафрахтованного  Судна и услугами членов его экипажа, являются собственностью Фрахтователя, за исключением доходов, полученных от спасания, которые распределяются между Судовладельцем и Фрахтователем в соответствии со статьёй 210 Кодекса торгового мореплавания Российской Федерации.</w:t>
            </w:r>
          </w:p>
          <w:p>
            <w:pPr>
              <w:pStyle w:val="Style20"/>
              <w:tabs>
                <w:tab w:val="clear" w:pos="708"/>
                <w:tab w:val="left" w:pos="709" w:leader="none"/>
              </w:tabs>
              <w:snapToGrid w:val="false"/>
              <w:spacing w:lineRule="atLeast" w:line="0"/>
              <w:ind w:firstLine="283"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Фрахтователь не имеет права сдавать Судно в субтайм-чартер третьим лицам.</w:t>
            </w:r>
          </w:p>
        </w:tc>
      </w:tr>
      <w:tr>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3</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Цель поставки товара (оказания услуги, выполнения работы)</w:t>
            </w:r>
          </w:p>
        </w:tc>
        <w:tc>
          <w:tcPr>
            <w:tcW w:w="6525" w:type="dxa"/>
            <w:tcBorders>
              <w:top w:val="single" w:sz="4" w:space="0" w:color="000000"/>
              <w:start w:val="single" w:sz="4" w:space="0" w:color="000000"/>
              <w:bottom w:val="single" w:sz="4" w:space="0" w:color="000000"/>
              <w:end w:val="single" w:sz="4" w:space="0" w:color="000000"/>
            </w:tcBorders>
          </w:tcPr>
          <w:p>
            <w:pPr>
              <w:pStyle w:val="Style20"/>
              <w:tabs>
                <w:tab w:val="clear" w:pos="708"/>
                <w:tab w:val="left" w:pos="709" w:leader="none"/>
              </w:tabs>
              <w:snapToGrid w:val="false"/>
              <w:ind w:firstLine="284"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Ввиду очевидной для Фрахтователя задержки окончания работ по ремонту пассажирских теплоходов проекта № 1438 в количестве 5 штук («Григорий Овчинников», «Молодёжный», «Норд», «Персей», «Плутон») по договору № 7-ЗП-223-22 от 19.09.2022 заключённому с ООО СП «А-Шиппинг», значительным нарушением сроков поставки предметов лизинга – пассажирских судов в количестве 5 штук по контракту № 0642-003-Ф/2019 от 30.10.2019 г. заключённому с АО «ГТЛК», окончанием срока действия классификационных документов на пассажирских теплоходах находящихся в хозяйственном ведении Фрахтователя «Вест», «Ост», «Зюйд», «Сатурн», «Орион», в связи с задержкой окончания ремонтных работ пассажирского теплохода «Зюйд»по договору № 133-24 от 29.02.0204, заключённому с ООО «СРЗ Персей», возникают риски невозможности исполнения взятых на себя обязательств по договору от 30.12.2016 года № 1612/489 по организации и выполнению регулярных пассажирских перевозок водным транспортом в городе федерального значения Севастополе собственными судами, необходимы дополнительные суда для организации морских пассажирских перевозок по регулярным внутригородским маршрутам.</w:t>
            </w:r>
          </w:p>
          <w:p>
            <w:pPr>
              <w:pStyle w:val="Style20"/>
              <w:tabs>
                <w:tab w:val="clear" w:pos="708"/>
                <w:tab w:val="left" w:pos="709" w:leader="none"/>
              </w:tabs>
              <w:snapToGrid w:val="false"/>
              <w:ind w:firstLine="284"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u w:val="single"/>
                <w:shd w:fill="FFFFFF" w:val="clear"/>
                <w:lang w:val="ru-RU"/>
              </w:rPr>
              <w:t>Цель фрахтования:</w:t>
            </w:r>
            <w:r>
              <w:rPr>
                <w:rFonts w:cs="Times New Roman" w:ascii="Times New Roman" w:hAnsi="Times New Roman"/>
                <w:color w:val="000000"/>
                <w:sz w:val="22"/>
                <w:szCs w:val="22"/>
                <w:shd w:fill="FFFFFF" w:val="clear"/>
                <w:lang w:val="ru-RU"/>
              </w:rPr>
              <w:t xml:space="preserve"> для осуществления внутригородских перевозок пассажиров морским транспортом в пределах Севастопольской бухты морского порта Севастополь по утверждённым регулярным внутригородским маршрутам.</w:t>
            </w:r>
          </w:p>
        </w:tc>
      </w:tr>
      <w:tr>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4</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Количество закупаемого товара, работы, услуги</w:t>
            </w:r>
          </w:p>
        </w:tc>
        <w:tc>
          <w:tcPr>
            <w:tcW w:w="6525" w:type="dxa"/>
            <w:tcBorders>
              <w:top w:val="single" w:sz="4" w:space="0" w:color="000000"/>
              <w:start w:val="single" w:sz="4" w:space="0" w:color="000000"/>
              <w:bottom w:val="single" w:sz="4" w:space="0" w:color="000000"/>
              <w:end w:val="single" w:sz="4" w:space="0" w:color="000000"/>
            </w:tcBorders>
          </w:tcPr>
          <w:p>
            <w:pPr>
              <w:pStyle w:val="1"/>
              <w:widowControl w:val="false"/>
              <w:tabs>
                <w:tab w:val="left" w:pos="0" w:leader="none"/>
                <w:tab w:val="left" w:pos="709" w:leader="none"/>
              </w:tabs>
              <w:spacing w:lineRule="atLeast" w:line="0" w:before="0" w:after="0"/>
              <w:contextualSpacing/>
              <w:jc w:val="both"/>
              <w:rPr>
                <w:rFonts w:ascii="Times New Roman" w:hAnsi="Times New Roman" w:cs="Times New Roman"/>
              </w:rPr>
            </w:pPr>
            <w:r>
              <w:rPr>
                <w:rFonts w:cs="Times New Roman" w:ascii="Times New Roman" w:hAnsi="Times New Roman"/>
              </w:rPr>
              <w:t>Фрахтователь в целях фрахтования Судна направляет Судовладельцу заявку (далее – Заявка) на фрахтование Судна</w:t>
            </w:r>
            <w:r>
              <w:rPr>
                <w:rFonts w:cs="Times New Roman" w:ascii="Times New Roman" w:hAnsi="Times New Roman"/>
                <w:color w:val="000000"/>
                <w:shd w:fill="FFFFFF" w:val="clear"/>
              </w:rPr>
              <w:t>, подаваемой не позднее, чем за сутки дня, предшествующего дню оказания услуги</w:t>
            </w:r>
            <w:r>
              <w:rPr>
                <w:rFonts w:cs="Times New Roman" w:ascii="Times New Roman" w:hAnsi="Times New Roman"/>
              </w:rPr>
              <w:t xml:space="preserve">. Заявка направляется в электронном виде с адреса электронной почты Фрахтователя </w:t>
            </w:r>
            <w:hyperlink r:id="rId2">
              <w:r>
                <w:rPr>
                  <w:rStyle w:val="Hyperlink"/>
                  <w:rFonts w:cs="Times New Roman" w:ascii="Times New Roman" w:hAnsi="Times New Roman"/>
                  <w:color w:val="000000"/>
                </w:rPr>
                <w:t>kanc@sevgortrans.ru</w:t>
              </w:r>
            </w:hyperlink>
            <w:r>
              <w:rPr>
                <w:rFonts w:cs="Times New Roman" w:ascii="Times New Roman" w:hAnsi="Times New Roman"/>
              </w:rPr>
              <w:t xml:space="preserve"> на адрес электронной почты Судовладельца с последующим предоставлением оригинала Заявки Судовладельцу. Судовладелец обязан ежедневного уведомляет Фрахтователя о готовности/неготовности Судна к передаче во фрахт. Допустимый срок ежедневного фрахта по заявке определён с 05:00 - 24:00).</w:t>
            </w:r>
          </w:p>
          <w:p>
            <w:pPr>
              <w:pStyle w:val="1"/>
              <w:widowControl w:val="false"/>
              <w:snapToGrid w:val="false"/>
              <w:spacing w:lineRule="atLeast" w:line="0" w:before="0" w:after="0"/>
              <w:contextualSpacing/>
              <w:jc w:val="both"/>
              <w:rPr>
                <w:rFonts w:ascii="Times New Roman" w:hAnsi="Times New Roman" w:cs="Times New Roman"/>
              </w:rPr>
            </w:pPr>
            <w:r>
              <w:rPr>
                <w:rFonts w:cs="Times New Roman" w:ascii="Times New Roman" w:hAnsi="Times New Roman"/>
              </w:rPr>
              <w:t>Срок Фрахтования судна на время (тайм-чартер) по заявкам с даты подписания договора по 31 декабря 2024 включительно.</w:t>
            </w:r>
          </w:p>
        </w:tc>
      </w:tr>
      <w:tr>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5</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Порядок поставки товаров, выполнения работ, оказания услуг</w:t>
            </w:r>
          </w:p>
        </w:tc>
        <w:tc>
          <w:tcPr>
            <w:tcW w:w="6525" w:type="dxa"/>
            <w:tcBorders>
              <w:top w:val="single" w:sz="4" w:space="0" w:color="000000"/>
              <w:start w:val="single" w:sz="4" w:space="0" w:color="000000"/>
              <w:bottom w:val="single" w:sz="4" w:space="0" w:color="000000"/>
              <w:end w:val="single" w:sz="4" w:space="0" w:color="000000"/>
            </w:tcBorders>
          </w:tcPr>
          <w:p>
            <w:pPr>
              <w:pStyle w:val="Style20"/>
              <w:tabs>
                <w:tab w:val="clear" w:pos="708"/>
                <w:tab w:val="left" w:pos="709" w:leader="none"/>
              </w:tabs>
              <w:snapToGrid w:val="false"/>
              <w:spacing w:lineRule="atLeast" w:line="0"/>
              <w:ind w:firstLine="283"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Судовладелец обязуется за обусловленную плату (фрахт) предоставить фрахтователю судно и услуги членов экипажа судна в пользование на определённый срок для перевозок грузов, пассажиров.</w:t>
            </w:r>
          </w:p>
          <w:p>
            <w:pPr>
              <w:pStyle w:val="Style20"/>
              <w:tabs>
                <w:tab w:val="clear" w:pos="708"/>
                <w:tab w:val="left" w:pos="709" w:leader="none"/>
              </w:tabs>
              <w:snapToGrid w:val="false"/>
              <w:spacing w:lineRule="atLeast" w:line="0"/>
              <w:ind w:firstLine="283"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Передача Судна в тайм-чартер осуществляется в надлежащем техническом состоянии, со всем оборудованием Судна и с действующими классификационными документами, выданными органом, осуществляющим технический надзор, со сроком их действия, достаточным для выполнения обязательств по тайм-чартеру в соответствии с целями фрахтования.</w:t>
            </w:r>
          </w:p>
          <w:p>
            <w:pPr>
              <w:pStyle w:val="Style20"/>
              <w:tabs>
                <w:tab w:val="clear" w:pos="708"/>
                <w:tab w:val="left" w:pos="709" w:leader="none"/>
              </w:tabs>
              <w:snapToGrid w:val="false"/>
              <w:spacing w:lineRule="atLeast" w:line="0"/>
              <w:ind w:firstLine="283"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Оплата будет осуществляться за фактическое использование судна по Заявке.</w:t>
            </w:r>
          </w:p>
          <w:p>
            <w:pPr>
              <w:pStyle w:val="Style20"/>
              <w:tabs>
                <w:tab w:val="clear" w:pos="708"/>
                <w:tab w:val="left" w:pos="709" w:leader="none"/>
              </w:tabs>
              <w:snapToGrid w:val="false"/>
              <w:spacing w:lineRule="atLeast" w:line="0"/>
              <w:ind w:firstLine="283" w:start="0" w:end="0"/>
              <w:rPr>
                <w:rFonts w:ascii="Times New Roman" w:hAnsi="Times New Roman" w:cs="Times New Roman"/>
                <w:color w:val="000000"/>
                <w:sz w:val="22"/>
                <w:szCs w:val="22"/>
                <w:shd w:fill="FFFFFF" w:val="clear"/>
                <w:lang w:val="ru-RU"/>
              </w:rPr>
            </w:pPr>
            <w:r>
              <w:rPr/>
            </w:r>
          </w:p>
        </w:tc>
      </w:tr>
      <w:tr>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6</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Срок поставки товара (выполнения работы, оказания услуги)</w:t>
            </w:r>
          </w:p>
        </w:tc>
        <w:tc>
          <w:tcPr>
            <w:tcW w:w="6525" w:type="dxa"/>
            <w:tcBorders>
              <w:top w:val="single" w:sz="4" w:space="0" w:color="000000"/>
              <w:start w:val="single" w:sz="4" w:space="0" w:color="000000"/>
              <w:bottom w:val="single" w:sz="4" w:space="0" w:color="000000"/>
              <w:end w:val="single" w:sz="4" w:space="0" w:color="000000"/>
            </w:tcBorders>
          </w:tcPr>
          <w:p>
            <w:pPr>
              <w:pStyle w:val="Style20"/>
              <w:tabs>
                <w:tab w:val="clear" w:pos="708"/>
                <w:tab w:val="left" w:pos="709" w:leader="none"/>
              </w:tabs>
              <w:snapToGrid w:val="false"/>
              <w:ind w:firstLine="284"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В период, определённый в пункте 4 настоящего технического задания.</w:t>
            </w:r>
          </w:p>
          <w:p>
            <w:pPr>
              <w:pStyle w:val="Style20"/>
              <w:tabs>
                <w:tab w:val="clear" w:pos="708"/>
                <w:tab w:val="left" w:pos="709" w:leader="none"/>
              </w:tabs>
              <w:snapToGrid w:val="false"/>
              <w:ind w:firstLine="284"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Временной период (расписание) оказания услуги:</w:t>
            </w:r>
          </w:p>
          <w:p>
            <w:pPr>
              <w:pStyle w:val="Style20"/>
              <w:tabs>
                <w:tab w:val="clear" w:pos="708"/>
                <w:tab w:val="left" w:pos="709" w:leader="none"/>
              </w:tabs>
              <w:snapToGrid w:val="false"/>
              <w:ind w:firstLine="284" w:start="0" w:end="0"/>
              <w:rPr>
                <w:rFonts w:ascii="Times New Roman" w:hAnsi="Times New Roman" w:cs="Times New Roman"/>
                <w:color w:val="000000"/>
                <w:sz w:val="22"/>
                <w:szCs w:val="22"/>
                <w:shd w:fill="FFFFFF" w:val="clear"/>
                <w:lang w:val="ru-RU"/>
              </w:rPr>
            </w:pPr>
            <w:r>
              <w:rPr>
                <w:rFonts w:eastAsia="Times New Roman" w:cs="Times New Roman" w:ascii="Times New Roman" w:hAnsi="Times New Roman"/>
                <w:color w:val="000000"/>
                <w:sz w:val="22"/>
                <w:szCs w:val="22"/>
                <w:shd w:fill="FFFFFF" w:val="clear"/>
                <w:lang w:val="ru-RU"/>
              </w:rPr>
              <w:t xml:space="preserve"> </w:t>
            </w:r>
            <w:r>
              <w:rPr>
                <w:rFonts w:cs="Times New Roman" w:ascii="Times New Roman" w:hAnsi="Times New Roman"/>
                <w:color w:val="000000"/>
                <w:sz w:val="22"/>
                <w:szCs w:val="22"/>
                <w:shd w:fill="FFFFFF" w:val="clear"/>
                <w:lang w:val="ru-RU"/>
              </w:rPr>
              <w:t xml:space="preserve">1 судно пассажировместимостью </w:t>
            </w:r>
            <w:r>
              <w:rPr>
                <w:rFonts w:cs="Times New Roman" w:ascii="Times New Roman" w:hAnsi="Times New Roman"/>
                <w:color w:val="000000"/>
                <w:sz w:val="22"/>
                <w:szCs w:val="22"/>
                <w:u w:val="single"/>
                <w:shd w:fill="FFFFFF" w:val="clear"/>
                <w:lang w:val="ru-RU"/>
              </w:rPr>
              <w:t>не менее 90 чел</w:t>
            </w:r>
            <w:r>
              <w:rPr>
                <w:rFonts w:cs="Times New Roman" w:ascii="Times New Roman" w:hAnsi="Times New Roman"/>
                <w:color w:val="000000"/>
                <w:sz w:val="22"/>
                <w:szCs w:val="22"/>
                <w:shd w:fill="FFFFFF" w:val="clear"/>
                <w:lang w:val="ru-RU"/>
              </w:rPr>
              <w:t>. по заявке</w:t>
            </w:r>
          </w:p>
          <w:p>
            <w:pPr>
              <w:pStyle w:val="Style20"/>
              <w:tabs>
                <w:tab w:val="clear" w:pos="708"/>
                <w:tab w:val="left" w:pos="709" w:leader="none"/>
              </w:tabs>
              <w:snapToGrid w:val="false"/>
              <w:ind w:firstLine="284" w:start="0" w:end="0"/>
              <w:rPr>
                <w:rFonts w:ascii="Times New Roman" w:hAnsi="Times New Roman" w:cs="Times New Roman"/>
                <w:color w:val="000000"/>
                <w:sz w:val="22"/>
                <w:szCs w:val="22"/>
                <w:shd w:fill="FFFFFF" w:val="clear"/>
                <w:lang w:val="ru-RU"/>
              </w:rPr>
            </w:pPr>
            <w:r>
              <w:rPr/>
            </w:r>
          </w:p>
        </w:tc>
      </w:tr>
      <w:tr>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7</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Место поставки товара, выполнения работы, оказания услуги</w:t>
            </w:r>
          </w:p>
        </w:tc>
        <w:tc>
          <w:tcPr>
            <w:tcW w:w="6525" w:type="dxa"/>
            <w:tcBorders>
              <w:top w:val="single" w:sz="4" w:space="0" w:color="000000"/>
              <w:start w:val="single" w:sz="4" w:space="0" w:color="000000"/>
              <w:bottom w:val="single" w:sz="4" w:space="0" w:color="000000"/>
              <w:end w:val="single" w:sz="4" w:space="0" w:color="000000"/>
            </w:tcBorders>
          </w:tcPr>
          <w:p>
            <w:pPr>
              <w:pStyle w:val="Style20"/>
              <w:tabs>
                <w:tab w:val="clear" w:pos="708"/>
                <w:tab w:val="left" w:pos="709" w:leader="none"/>
              </w:tabs>
              <w:snapToGrid w:val="false"/>
              <w:ind w:firstLine="284"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город Севастополь, регулярные внутригородские маршруты в пределах Севастопольской бухты.</w:t>
            </w:r>
          </w:p>
          <w:p>
            <w:pPr>
              <w:pStyle w:val="Style20"/>
              <w:tabs>
                <w:tab w:val="clear" w:pos="708"/>
                <w:tab w:val="left" w:pos="709" w:leader="none"/>
              </w:tabs>
              <w:snapToGrid w:val="false"/>
              <w:ind w:firstLine="284"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Район использования Судна – в пределах Севастопольской бухты.</w:t>
            </w:r>
          </w:p>
        </w:tc>
      </w:tr>
      <w:tr>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8</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Требования к условиям поставки товаров, выполнения работ, оказания услуг</w:t>
            </w:r>
          </w:p>
        </w:tc>
        <w:tc>
          <w:tcPr>
            <w:tcW w:w="6525" w:type="dxa"/>
            <w:tcBorders>
              <w:top w:val="single" w:sz="4" w:space="0" w:color="000000"/>
              <w:start w:val="single" w:sz="4" w:space="0" w:color="000000"/>
              <w:bottom w:val="single" w:sz="4" w:space="0" w:color="000000"/>
              <w:end w:val="single" w:sz="4" w:space="0" w:color="000000"/>
            </w:tcBorders>
          </w:tcPr>
          <w:p>
            <w:pPr>
              <w:pStyle w:val="Style20"/>
              <w:tabs>
                <w:tab w:val="clear" w:pos="708"/>
                <w:tab w:val="left" w:pos="709" w:leader="none"/>
              </w:tabs>
              <w:snapToGrid w:val="false"/>
              <w:ind w:firstLine="284"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Предоставляемое во фрахт судно должно иметь действующие документы классификационного общества со сроком проведения промежуточного докового, очередного освидетельствования, санитарное освидетельствование, все виды страхования согласно Российского законодательства, не позднее даты окончания действия заключаемого договора.</w:t>
            </w:r>
          </w:p>
        </w:tc>
      </w:tr>
      <w:tr>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9</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Требования к приемке товара, выполнению работы, оказанию услуги.</w:t>
            </w:r>
          </w:p>
        </w:tc>
        <w:tc>
          <w:tcPr>
            <w:tcW w:w="6525" w:type="dxa"/>
            <w:tcBorders>
              <w:top w:val="single" w:sz="4" w:space="0" w:color="000000"/>
              <w:start w:val="single" w:sz="4" w:space="0" w:color="000000"/>
              <w:bottom w:val="single" w:sz="4" w:space="0" w:color="000000"/>
              <w:end w:val="single" w:sz="4" w:space="0" w:color="000000"/>
            </w:tcBorders>
          </w:tcPr>
          <w:p>
            <w:pPr>
              <w:pStyle w:val="Style20"/>
              <w:tabs>
                <w:tab w:val="clear" w:pos="708"/>
                <w:tab w:val="left" w:pos="709" w:leader="none"/>
              </w:tabs>
              <w:snapToGrid w:val="false"/>
              <w:ind w:firstLine="284"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Судно должно соответствовать требованиям КТМ РФ, иметь действующие на весь период фрахта документы классификационного общества, судовые санитарные свидетельства, все виды страхования и.т.д., укомплектовано в соответствии с свидетельством о безопасном минимальном составе экипажа, экипажем с действующими на весь период фрахта документами.</w:t>
            </w:r>
          </w:p>
        </w:tc>
      </w:tr>
      <w:tr>
        <w:trPr>
          <w:trHeight w:val="292" w:hRule="atLeast"/>
        </w:trPr>
        <w:tc>
          <w:tcPr>
            <w:tcW w:w="10142" w:type="dxa"/>
            <w:gridSpan w:val="3"/>
            <w:tcBorders>
              <w:top w:val="single" w:sz="4" w:space="0" w:color="000000"/>
              <w:start w:val="single" w:sz="4" w:space="0" w:color="000000"/>
              <w:bottom w:val="single" w:sz="4" w:space="0" w:color="000000"/>
              <w:end w:val="single" w:sz="4" w:space="0" w:color="000000"/>
            </w:tcBorders>
          </w:tcPr>
          <w:p>
            <w:pPr>
              <w:pStyle w:val="Style21"/>
              <w:snapToGrid w:val="false"/>
              <w:jc w:val="center"/>
              <w:rPr>
                <w:color w:val="000000"/>
                <w:sz w:val="22"/>
                <w:szCs w:val="22"/>
              </w:rPr>
            </w:pPr>
            <w:r>
              <w:rPr>
                <w:b/>
                <w:sz w:val="22"/>
                <w:szCs w:val="22"/>
              </w:rPr>
              <w:t>Требования к товарам, работам, услугам</w:t>
            </w:r>
          </w:p>
        </w:tc>
      </w:tr>
      <w:tr>
        <w:trPr>
          <w:trHeight w:val="682" w:hRule="atLeast"/>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10</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rPr>
                <w:sz w:val="22"/>
                <w:szCs w:val="22"/>
              </w:rPr>
            </w:pPr>
            <w:r>
              <w:rPr>
                <w:sz w:val="22"/>
                <w:szCs w:val="22"/>
              </w:rPr>
              <w:t>Требования к безопасности</w:t>
            </w:r>
          </w:p>
        </w:tc>
        <w:tc>
          <w:tcPr>
            <w:tcW w:w="6525" w:type="dxa"/>
            <w:tcBorders>
              <w:top w:val="single" w:sz="4" w:space="0" w:color="000000"/>
              <w:start w:val="single" w:sz="4" w:space="0" w:color="000000"/>
              <w:bottom w:val="single" w:sz="4" w:space="0" w:color="000000"/>
              <w:end w:val="single" w:sz="4" w:space="0" w:color="000000"/>
            </w:tcBorders>
          </w:tcPr>
          <w:p>
            <w:pPr>
              <w:pStyle w:val="Style20"/>
              <w:tabs>
                <w:tab w:val="clear" w:pos="708"/>
                <w:tab w:val="left" w:pos="709" w:leader="none"/>
              </w:tabs>
              <w:snapToGrid w:val="false"/>
              <w:spacing w:lineRule="atLeast" w:line="0"/>
              <w:ind w:firstLine="283"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Ответственность за безопасность мореплавания, соблюдение требований охраны труда требований транспортной безопасности возлагается на судовладельца.</w:t>
            </w:r>
          </w:p>
        </w:tc>
      </w:tr>
      <w:tr>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11</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Требования к качеству</w:t>
            </w:r>
          </w:p>
        </w:tc>
        <w:tc>
          <w:tcPr>
            <w:tcW w:w="6525" w:type="dxa"/>
            <w:tcBorders>
              <w:top w:val="single" w:sz="4" w:space="0" w:color="000000"/>
              <w:start w:val="single" w:sz="4" w:space="0" w:color="000000"/>
              <w:bottom w:val="single" w:sz="4" w:space="0" w:color="000000"/>
              <w:end w:val="single" w:sz="4" w:space="0" w:color="000000"/>
            </w:tcBorders>
          </w:tcPr>
          <w:p>
            <w:pPr>
              <w:pStyle w:val="Style20"/>
              <w:tabs>
                <w:tab w:val="clear" w:pos="708"/>
                <w:tab w:val="left" w:pos="709" w:leader="none"/>
              </w:tabs>
              <w:snapToGrid w:val="false"/>
              <w:spacing w:lineRule="atLeast" w:line="0"/>
              <w:ind w:firstLine="283"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Судовладелец обязан в течение срока фрахтования поддерживать Судно в мореходном состоянии, обеспечивающем возможность достижения целей фрахтования (включая укомплектованность Судна экипажем), содержать механизмы Судна, его устройства в надлежащем техническом состоянии, обеспечивать своевременное техническое обслуживание и ремонт в соответствии с требованиями классификационного общества, оплачивать расходы на страхование Судна и своей ответственности (ОСГОП), а также на содержание членов экипажа Судна, проходить своевременное освидетельствование в соответствии с требованиями РКО</w:t>
            </w:r>
          </w:p>
        </w:tc>
      </w:tr>
      <w:tr>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12</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spacing w:lineRule="atLeast" w:line="0"/>
              <w:rPr>
                <w:sz w:val="22"/>
                <w:szCs w:val="22"/>
              </w:rPr>
            </w:pPr>
            <w:r>
              <w:rPr>
                <w:sz w:val="22"/>
                <w:szCs w:val="22"/>
              </w:rPr>
              <w:t>Требования к техническим характеристикам</w:t>
            </w:r>
          </w:p>
        </w:tc>
        <w:tc>
          <w:tcPr>
            <w:tcW w:w="6525" w:type="dxa"/>
            <w:tcBorders>
              <w:top w:val="single" w:sz="4" w:space="0" w:color="000000"/>
              <w:start w:val="single" w:sz="4" w:space="0" w:color="000000"/>
              <w:bottom w:val="single" w:sz="4" w:space="0" w:color="000000"/>
              <w:end w:val="single" w:sz="4" w:space="0" w:color="000000"/>
            </w:tcBorders>
          </w:tcPr>
          <w:p>
            <w:pPr>
              <w:pStyle w:val="Style20"/>
              <w:tabs>
                <w:tab w:val="clear" w:pos="708"/>
                <w:tab w:val="left" w:pos="709" w:leader="none"/>
              </w:tabs>
              <w:snapToGrid w:val="false"/>
              <w:spacing w:lineRule="atLeast" w:line="0"/>
              <w:ind w:firstLine="283"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В соответствии с требованиями классификационного общества</w:t>
            </w:r>
          </w:p>
        </w:tc>
      </w:tr>
      <w:tr>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13</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spacing w:lineRule="atLeast" w:line="0"/>
              <w:rPr>
                <w:sz w:val="22"/>
                <w:szCs w:val="22"/>
              </w:rPr>
            </w:pPr>
            <w:r>
              <w:rPr>
                <w:sz w:val="22"/>
                <w:szCs w:val="22"/>
              </w:rPr>
              <w:t>Требования к функциональным характеристикам (потребительскими свойствам)</w:t>
            </w:r>
          </w:p>
        </w:tc>
        <w:tc>
          <w:tcPr>
            <w:tcW w:w="6525" w:type="dxa"/>
            <w:tcBorders>
              <w:top w:val="single" w:sz="4" w:space="0" w:color="000000"/>
              <w:start w:val="single" w:sz="4" w:space="0" w:color="000000"/>
              <w:bottom w:val="single" w:sz="4" w:space="0" w:color="000000"/>
              <w:end w:val="single" w:sz="4" w:space="0" w:color="000000"/>
            </w:tcBorders>
          </w:tcPr>
          <w:p>
            <w:pPr>
              <w:pStyle w:val="Style20"/>
              <w:tabs>
                <w:tab w:val="clear" w:pos="708"/>
                <w:tab w:val="left" w:pos="709" w:leader="none"/>
              </w:tabs>
              <w:snapToGrid w:val="false"/>
              <w:ind w:firstLine="284"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Судно предоставляется в мореходном состоянии, оснащённое в соответствии с требованиями классификационного общества, затраты на мобилизацию судна, его бункеровку топливом, водой несёт владелец судна.</w:t>
            </w:r>
          </w:p>
        </w:tc>
      </w:tr>
      <w:tr>
        <w:trPr/>
        <w:tc>
          <w:tcPr>
            <w:tcW w:w="10142" w:type="dxa"/>
            <w:gridSpan w:val="3"/>
            <w:tcBorders>
              <w:top w:val="single" w:sz="4" w:space="0" w:color="000000"/>
              <w:start w:val="single" w:sz="4" w:space="0" w:color="000000"/>
              <w:bottom w:val="single" w:sz="4" w:space="0" w:color="000000"/>
              <w:end w:val="single" w:sz="4" w:space="0" w:color="000000"/>
            </w:tcBorders>
          </w:tcPr>
          <w:p>
            <w:pPr>
              <w:pStyle w:val="Style21"/>
              <w:snapToGrid w:val="false"/>
              <w:jc w:val="center"/>
              <w:rPr>
                <w:sz w:val="22"/>
                <w:szCs w:val="22"/>
              </w:rPr>
            </w:pPr>
            <w:r>
              <w:rPr>
                <w:b/>
                <w:bCs/>
                <w:sz w:val="22"/>
                <w:szCs w:val="22"/>
              </w:rPr>
              <w:t>Требования к поставщику товаров, работ, услуг, а также перечень документов, которыми подтверждается соответствие установленным требованиям</w:t>
            </w:r>
          </w:p>
        </w:tc>
      </w:tr>
      <w:tr>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14</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 xml:space="preserve">Требования, </w:t>
            </w:r>
            <w:r>
              <w:rPr>
                <w:sz w:val="22"/>
                <w:szCs w:val="22"/>
                <w:u w:val="single"/>
              </w:rPr>
              <w:t>установленные в соответствии с законодательством Российской Федерации</w:t>
            </w:r>
            <w:r>
              <w:rPr>
                <w:sz w:val="22"/>
                <w:szCs w:val="22"/>
              </w:rPr>
              <w:t xml:space="preserve"> к лицам, осуществляющим поставку товара, выполнение работы, оказание услуги, являющихся предметом договора.</w:t>
            </w:r>
          </w:p>
        </w:tc>
        <w:tc>
          <w:tcPr>
            <w:tcW w:w="6525" w:type="dxa"/>
            <w:tcBorders>
              <w:top w:val="single" w:sz="4" w:space="0" w:color="000000"/>
              <w:start w:val="single" w:sz="4" w:space="0" w:color="000000"/>
              <w:bottom w:val="single" w:sz="4" w:space="0" w:color="000000"/>
              <w:end w:val="single" w:sz="4" w:space="0" w:color="000000"/>
            </w:tcBorders>
          </w:tcPr>
          <w:p>
            <w:pPr>
              <w:pStyle w:val="Style20"/>
              <w:tabs>
                <w:tab w:val="clear" w:pos="708"/>
                <w:tab w:val="left" w:pos="709" w:leader="none"/>
              </w:tabs>
              <w:snapToGrid w:val="false"/>
              <w:ind w:firstLine="284"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Судовладелец в течение всего времени действия настоящего Договора должен иметь действующую лицензию на осуществление деятельности по перевозкам внутренним водным транспортом, морским транспортом пассажиров.</w:t>
            </w:r>
          </w:p>
          <w:p>
            <w:pPr>
              <w:pStyle w:val="Style20"/>
              <w:tabs>
                <w:tab w:val="clear" w:pos="708"/>
                <w:tab w:val="left" w:pos="709" w:leader="none"/>
              </w:tabs>
              <w:snapToGrid w:val="false"/>
              <w:ind w:firstLine="284"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Предоставляемое судно должно быть внесено в действующую лицензию судовладельца на право осуществления морских пассажирских перевозок.</w:t>
            </w:r>
          </w:p>
          <w:p>
            <w:pPr>
              <w:pStyle w:val="Style20"/>
              <w:tabs>
                <w:tab w:val="clear" w:pos="708"/>
                <w:tab w:val="left" w:pos="709" w:leader="none"/>
              </w:tabs>
              <w:snapToGrid w:val="false"/>
              <w:ind w:firstLine="284"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Судовладелец обязан предоставить информационное обеспечение пассажиров на предоставляемом судне в соответствии с требованиями действующего законодательства Российской Федерации.</w:t>
            </w:r>
          </w:p>
        </w:tc>
      </w:tr>
      <w:tr>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15</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spacing w:lineRule="atLeast" w:line="0"/>
              <w:jc w:val="both"/>
              <w:rPr>
                <w:sz w:val="22"/>
                <w:szCs w:val="22"/>
              </w:rPr>
            </w:pPr>
            <w:r>
              <w:rPr>
                <w:sz w:val="22"/>
                <w:szCs w:val="22"/>
              </w:rPr>
              <w:t>Перечень документов, подтверждающих соответствие лиц, осуществляющим поставку товара, выполнение работы, оказание услуги, являющихся предметом договора требованиям, установленным в соответствии с законодательством Российской Федерации.</w:t>
            </w:r>
          </w:p>
        </w:tc>
        <w:tc>
          <w:tcPr>
            <w:tcW w:w="6525" w:type="dxa"/>
            <w:tcBorders>
              <w:top w:val="single" w:sz="4" w:space="0" w:color="000000"/>
              <w:start w:val="single" w:sz="4" w:space="0" w:color="000000"/>
              <w:bottom w:val="single" w:sz="4" w:space="0" w:color="000000"/>
              <w:end w:val="single" w:sz="4" w:space="0" w:color="000000"/>
            </w:tcBorders>
          </w:tcPr>
          <w:p>
            <w:pPr>
              <w:pStyle w:val="Style20"/>
              <w:tabs>
                <w:tab w:val="clear" w:pos="708"/>
                <w:tab w:val="left" w:pos="709" w:leader="none"/>
              </w:tabs>
              <w:snapToGrid w:val="false"/>
              <w:spacing w:lineRule="atLeast" w:line="0"/>
              <w:ind w:firstLine="283"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 зарегистрированные права судовладельца на предоставляемое судно;</w:t>
            </w:r>
          </w:p>
          <w:p>
            <w:pPr>
              <w:pStyle w:val="Style20"/>
              <w:tabs>
                <w:tab w:val="clear" w:pos="708"/>
                <w:tab w:val="left" w:pos="709" w:leader="none"/>
              </w:tabs>
              <w:snapToGrid w:val="false"/>
              <w:spacing w:lineRule="atLeast" w:line="0"/>
              <w:ind w:firstLine="283"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 лицензия на осуществление деятельности по перевозкам внутренним водным транспортом, морским транспортом пассажиров;</w:t>
            </w:r>
          </w:p>
          <w:p>
            <w:pPr>
              <w:pStyle w:val="Style20"/>
              <w:tabs>
                <w:tab w:val="clear" w:pos="708"/>
                <w:tab w:val="left" w:pos="709" w:leader="none"/>
              </w:tabs>
              <w:snapToGrid w:val="false"/>
              <w:spacing w:lineRule="atLeast" w:line="0"/>
              <w:ind w:firstLine="283"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 классификационные документы подтверждающие исполнение требований настоящего технического задания.</w:t>
            </w:r>
          </w:p>
        </w:tc>
      </w:tr>
      <w:tr>
        <w:trPr/>
        <w:tc>
          <w:tcPr>
            <w:tcW w:w="10142" w:type="dxa"/>
            <w:gridSpan w:val="3"/>
            <w:tcBorders>
              <w:top w:val="single" w:sz="4" w:space="0" w:color="000000"/>
              <w:start w:val="single" w:sz="4" w:space="0" w:color="000000"/>
              <w:bottom w:val="single" w:sz="4" w:space="0" w:color="000000"/>
              <w:end w:val="single" w:sz="4" w:space="0" w:color="000000"/>
            </w:tcBorders>
          </w:tcPr>
          <w:p>
            <w:pPr>
              <w:pStyle w:val="Style21"/>
              <w:snapToGrid w:val="false"/>
              <w:jc w:val="center"/>
              <w:rPr>
                <w:sz w:val="22"/>
                <w:szCs w:val="22"/>
              </w:rPr>
            </w:pPr>
            <w:r>
              <w:rPr>
                <w:b/>
                <w:bCs/>
                <w:sz w:val="22"/>
                <w:szCs w:val="22"/>
              </w:rPr>
              <w:t>Гарантийные обязательства</w:t>
            </w:r>
          </w:p>
        </w:tc>
      </w:tr>
      <w:tr>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16</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Условия о качестве</w:t>
            </w:r>
          </w:p>
        </w:tc>
        <w:tc>
          <w:tcPr>
            <w:tcW w:w="6525" w:type="dxa"/>
            <w:tcBorders>
              <w:top w:val="single" w:sz="4" w:space="0" w:color="000000"/>
              <w:start w:val="single" w:sz="4" w:space="0" w:color="000000"/>
              <w:bottom w:val="single" w:sz="4" w:space="0" w:color="000000"/>
              <w:end w:val="single" w:sz="4" w:space="0" w:color="000000"/>
            </w:tcBorders>
          </w:tcPr>
          <w:p>
            <w:pPr>
              <w:pStyle w:val="Style20"/>
              <w:tabs>
                <w:tab w:val="clear" w:pos="708"/>
                <w:tab w:val="left" w:pos="709" w:leader="none"/>
              </w:tabs>
              <w:snapToGrid w:val="false"/>
              <w:ind w:hanging="0" w:start="0" w:end="0"/>
              <w:jc w:val="center"/>
              <w:rPr>
                <w:rFonts w:ascii="Times New Roman" w:hAnsi="Times New Roman" w:cs="Times New Roman"/>
                <w:color w:val="000000"/>
                <w:sz w:val="22"/>
                <w:szCs w:val="22"/>
                <w:shd w:fill="FFFFFF" w:val="clear"/>
              </w:rPr>
            </w:pPr>
            <w:r>
              <w:rPr>
                <w:rFonts w:cs="Times New Roman" w:ascii="Times New Roman" w:hAnsi="Times New Roman"/>
                <w:color w:val="000000"/>
                <w:sz w:val="22"/>
                <w:szCs w:val="22"/>
                <w:shd w:fill="FFFFFF" w:val="clear"/>
              </w:rPr>
              <w:t>Неприменимо</w:t>
            </w:r>
          </w:p>
        </w:tc>
      </w:tr>
      <w:tr>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17</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Гарантийный срок</w:t>
            </w:r>
          </w:p>
        </w:tc>
        <w:tc>
          <w:tcPr>
            <w:tcW w:w="6525" w:type="dxa"/>
            <w:tcBorders>
              <w:top w:val="single" w:sz="4" w:space="0" w:color="000000"/>
              <w:start w:val="single" w:sz="4" w:space="0" w:color="000000"/>
              <w:bottom w:val="single" w:sz="4" w:space="0" w:color="000000"/>
              <w:end w:val="single" w:sz="4" w:space="0" w:color="000000"/>
            </w:tcBorders>
          </w:tcPr>
          <w:p>
            <w:pPr>
              <w:pStyle w:val="Style20"/>
              <w:tabs>
                <w:tab w:val="clear" w:pos="708"/>
                <w:tab w:val="left" w:pos="709" w:leader="none"/>
              </w:tabs>
              <w:snapToGrid w:val="false"/>
              <w:ind w:hanging="0" w:start="0" w:end="0"/>
              <w:jc w:val="center"/>
              <w:rPr>
                <w:rFonts w:ascii="Times New Roman" w:hAnsi="Times New Roman" w:cs="Times New Roman"/>
                <w:color w:val="000000"/>
                <w:sz w:val="22"/>
                <w:szCs w:val="22"/>
                <w:shd w:fill="FFFFFF" w:val="clear"/>
              </w:rPr>
            </w:pPr>
            <w:r>
              <w:rPr>
                <w:rFonts w:cs="Times New Roman" w:ascii="Times New Roman" w:hAnsi="Times New Roman"/>
                <w:color w:val="000000"/>
                <w:sz w:val="22"/>
                <w:szCs w:val="22"/>
                <w:shd w:fill="FFFFFF" w:val="clear"/>
              </w:rPr>
              <w:t>Неприменимо</w:t>
            </w:r>
          </w:p>
        </w:tc>
      </w:tr>
      <w:tr>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18</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Объем гарантийных обязательств</w:t>
            </w:r>
          </w:p>
        </w:tc>
        <w:tc>
          <w:tcPr>
            <w:tcW w:w="6525" w:type="dxa"/>
            <w:tcBorders>
              <w:top w:val="single" w:sz="4" w:space="0" w:color="000000"/>
              <w:start w:val="single" w:sz="4" w:space="0" w:color="000000"/>
              <w:bottom w:val="single" w:sz="4" w:space="0" w:color="000000"/>
              <w:end w:val="single" w:sz="4" w:space="0" w:color="000000"/>
            </w:tcBorders>
          </w:tcPr>
          <w:p>
            <w:pPr>
              <w:pStyle w:val="Style20"/>
              <w:tabs>
                <w:tab w:val="clear" w:pos="708"/>
                <w:tab w:val="left" w:pos="709" w:leader="none"/>
              </w:tabs>
              <w:snapToGrid w:val="false"/>
              <w:ind w:firstLine="284" w:start="0" w:end="0"/>
              <w:rPr>
                <w:rFonts w:ascii="Times New Roman" w:hAnsi="Times New Roman" w:cs="Times New Roman"/>
                <w:color w:val="000000"/>
                <w:sz w:val="22"/>
                <w:szCs w:val="22"/>
                <w:shd w:fill="FFFFFF" w:val="clear"/>
                <w:lang w:val="ru-RU"/>
              </w:rPr>
            </w:pPr>
            <w:r>
              <w:rPr>
                <w:rFonts w:cs="Times New Roman" w:ascii="Times New Roman" w:hAnsi="Times New Roman"/>
                <w:color w:val="000000"/>
                <w:sz w:val="22"/>
                <w:szCs w:val="22"/>
                <w:shd w:fill="FFFFFF" w:val="clear"/>
                <w:lang w:val="ru-RU"/>
              </w:rPr>
              <w:t>Судовладелец гарантирует, что Судно на момент его передачи Фрахтователю находится в мореходном состоянии, т.е. его корпус, двигатель и установленное на борту оборудование пригодно для Целей фрахтования, предусмотренных настоящим Договором, включая укомплектование Судна экипажем и надлежащее снаряжение Судна. Судно считается укомплектованным экипажем в случае наличия на нем экипажа, соответствующего судовой роли Судна и обеспечивающего выполнение Цели фрахтования Судна.</w:t>
            </w:r>
          </w:p>
        </w:tc>
      </w:tr>
      <w:tr>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19</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Условия гарантийного обслуживания</w:t>
            </w:r>
          </w:p>
        </w:tc>
        <w:tc>
          <w:tcPr>
            <w:tcW w:w="6525" w:type="dxa"/>
            <w:tcBorders>
              <w:top w:val="single" w:sz="4" w:space="0" w:color="000000"/>
              <w:start w:val="single" w:sz="4" w:space="0" w:color="000000"/>
              <w:bottom w:val="single" w:sz="4" w:space="0" w:color="000000"/>
              <w:end w:val="single" w:sz="4" w:space="0" w:color="000000"/>
            </w:tcBorders>
          </w:tcPr>
          <w:p>
            <w:pPr>
              <w:pStyle w:val="Style20"/>
              <w:tabs>
                <w:tab w:val="clear" w:pos="708"/>
                <w:tab w:val="left" w:pos="709" w:leader="none"/>
              </w:tabs>
              <w:snapToGrid w:val="false"/>
              <w:ind w:hanging="0" w:start="0" w:end="0"/>
              <w:jc w:val="center"/>
              <w:rPr>
                <w:rFonts w:ascii="Times New Roman" w:hAnsi="Times New Roman" w:cs="Times New Roman"/>
                <w:color w:val="000000"/>
                <w:sz w:val="22"/>
                <w:szCs w:val="22"/>
                <w:shd w:fill="FFFFFF" w:val="clear"/>
              </w:rPr>
            </w:pPr>
            <w:r>
              <w:rPr>
                <w:rFonts w:cs="Times New Roman" w:ascii="Times New Roman" w:hAnsi="Times New Roman"/>
                <w:color w:val="000000"/>
                <w:sz w:val="22"/>
                <w:szCs w:val="22"/>
                <w:shd w:fill="FFFFFF" w:val="clear"/>
              </w:rPr>
              <w:t>Неприменимо</w:t>
            </w:r>
          </w:p>
        </w:tc>
      </w:tr>
      <w:tr>
        <w:trPr>
          <w:trHeight w:val="567" w:hRule="atLeast"/>
        </w:trPr>
        <w:tc>
          <w:tcPr>
            <w:tcW w:w="542"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20</w:t>
            </w:r>
          </w:p>
        </w:tc>
        <w:tc>
          <w:tcPr>
            <w:tcW w:w="3075" w:type="dxa"/>
            <w:tcBorders>
              <w:top w:val="single" w:sz="4" w:space="0" w:color="000000"/>
              <w:start w:val="single" w:sz="4" w:space="0" w:color="000000"/>
              <w:bottom w:val="single" w:sz="4" w:space="0" w:color="000000"/>
              <w:end w:val="single" w:sz="4" w:space="0" w:color="000000"/>
            </w:tcBorders>
          </w:tcPr>
          <w:p>
            <w:pPr>
              <w:pStyle w:val="Style21"/>
              <w:snapToGrid w:val="false"/>
              <w:jc w:val="both"/>
              <w:rPr>
                <w:sz w:val="22"/>
                <w:szCs w:val="22"/>
              </w:rPr>
            </w:pPr>
            <w:r>
              <w:rPr>
                <w:sz w:val="22"/>
                <w:szCs w:val="22"/>
              </w:rPr>
              <w:t>Дополнительные требования</w:t>
            </w:r>
          </w:p>
        </w:tc>
        <w:tc>
          <w:tcPr>
            <w:tcW w:w="6525" w:type="dxa"/>
            <w:tcBorders>
              <w:top w:val="single" w:sz="4" w:space="0" w:color="000000"/>
              <w:start w:val="single" w:sz="4" w:space="0" w:color="000000"/>
              <w:bottom w:val="single" w:sz="4" w:space="0" w:color="000000"/>
              <w:end w:val="single" w:sz="4" w:space="0" w:color="000000"/>
            </w:tcBorders>
          </w:tcPr>
          <w:p>
            <w:pPr>
              <w:pStyle w:val="BodyTextIndent"/>
              <w:tabs>
                <w:tab w:val="clear" w:pos="708"/>
                <w:tab w:val="left" w:pos="284" w:leader="none"/>
              </w:tabs>
              <w:snapToGrid w:val="false"/>
              <w:spacing w:before="0" w:after="0"/>
              <w:ind w:hanging="0" w:start="0" w:end="0"/>
              <w:rPr>
                <w:rFonts w:ascii="Times New Roman" w:hAnsi="Times New Roman" w:cs="Times New Roman"/>
                <w:color w:val="000000"/>
                <w:sz w:val="22"/>
                <w:szCs w:val="22"/>
                <w:lang w:val="ru-RU"/>
              </w:rPr>
            </w:pPr>
            <w:r>
              <w:rPr>
                <w:rFonts w:cs="Times New Roman" w:ascii="Times New Roman" w:hAnsi="Times New Roman"/>
                <w:color w:val="000000"/>
                <w:sz w:val="22"/>
                <w:szCs w:val="22"/>
                <w:lang w:val="ru-RU"/>
              </w:rPr>
              <w:t>В случае необходимости проведения планово-предупредительных работ, текущего технического обслуживания узлов и агрегатов судна, прохождения периодического контроля Инспекции государственного портового контроля, ежегодного освидетельствования судна классификационным обществом, судовладелец обязан заблаговременно, не позднее 15 числа месяца, предшествующего проведению указанных мероприятий уведомить Заказчика о дате и сроке предполагаемых мероприятий.</w:t>
            </w:r>
          </w:p>
          <w:p>
            <w:pPr>
              <w:pStyle w:val="BodyTextIndent"/>
              <w:tabs>
                <w:tab w:val="clear" w:pos="708"/>
                <w:tab w:val="left" w:pos="284" w:leader="none"/>
              </w:tabs>
              <w:snapToGrid w:val="false"/>
              <w:spacing w:before="0" w:after="0"/>
              <w:ind w:hanging="0" w:start="0" w:end="0"/>
              <w:rPr>
                <w:rFonts w:ascii="Times New Roman" w:hAnsi="Times New Roman" w:cs="Times New Roman"/>
                <w:color w:val="000000"/>
                <w:sz w:val="22"/>
                <w:szCs w:val="22"/>
                <w:lang w:val="ru-RU"/>
              </w:rPr>
            </w:pPr>
            <w:r>
              <w:rPr>
                <w:rFonts w:cs="Times New Roman" w:ascii="Times New Roman" w:hAnsi="Times New Roman"/>
                <w:color w:val="000000"/>
                <w:sz w:val="22"/>
                <w:szCs w:val="22"/>
                <w:lang w:val="ru-RU"/>
              </w:rPr>
              <w:t>Продолжительность проведения указанных мероприятий не должна превышать 3 (трёх) рабочих дней в течение 1 (одного) месяца.</w:t>
            </w:r>
          </w:p>
        </w:tc>
      </w:tr>
    </w:tbl>
    <w:p>
      <w:pPr>
        <w:pStyle w:val="Style21"/>
        <w:rPr>
          <w:rFonts w:ascii="PT Astra Serif;Arial" w:hAnsi="PT Astra Serif;Arial" w:cs="PT Astra Serif;Arial"/>
          <w:sz w:val="22"/>
          <w:szCs w:val="22"/>
        </w:rPr>
      </w:pPr>
      <w:r>
        <w:rPr>
          <w:rFonts w:cs="PT Astra Serif;Arial" w:ascii="PT Astra Serif;Arial" w:hAnsi="PT Astra Serif;Arial"/>
          <w:sz w:val="22"/>
          <w:szCs w:val="22"/>
        </w:rPr>
      </w:r>
    </w:p>
    <w:p>
      <w:pPr>
        <w:pStyle w:val="Style21"/>
        <w:rPr>
          <w:rFonts w:ascii="PT Astra Serif;Arial" w:hAnsi="PT Astra Serif;Arial" w:cs="PT Astra Serif;Arial"/>
          <w:sz w:val="22"/>
          <w:szCs w:val="22"/>
        </w:rPr>
      </w:pPr>
      <w:r>
        <w:rPr>
          <w:rFonts w:eastAsia="DengXian;等线" w:cs="PT Astra Serif;Arial" w:ascii="PT Astra Serif;Arial" w:hAnsi="PT Astra Serif;Arial"/>
          <w:kern w:val="2"/>
          <w:szCs w:val="32"/>
          <w:lang w:val="ru-RU" w:eastAsia="zh-CN"/>
        </w:rPr>
      </w:r>
    </w:p>
    <w:sectPr>
      <w:type w:val="nextPage"/>
      <w:pgSz w:w="11906" w:h="16838"/>
      <w:pgMar w:left="1065" w:right="686" w:gutter="0" w:header="0" w:top="56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Tempora LGC Uni">
    <w:charset w:val="01" w:characterSet="utf-8"/>
    <w:family w:val="roman"/>
    <w:pitch w:val="variable"/>
  </w:font>
  <w:font w:name="Calibri">
    <w:charset w:val="01" w:characterSet="utf-8"/>
    <w:family w:val="roman"/>
    <w:pitch w:val="variable"/>
  </w:font>
  <w:font w:name="Segoe UI">
    <w:charset w:val="01" w:characterSet="utf-8"/>
    <w:family w:val="roman"/>
    <w:pitch w:val="variable"/>
  </w:font>
  <w:font w:name="Open Sans">
    <w:charset w:val="01" w:characterSet="utf-8"/>
    <w:family w:val="roman"/>
    <w:pitch w:val="variable"/>
  </w:font>
  <w:font w:name="Times New Roman">
    <w:charset w:val="01" w:characterSet="utf-8"/>
    <w:family w:val="roman"/>
    <w:pitch w:val="variable"/>
  </w:font>
  <w:font w:name="PT Astra Serif">
    <w:altName w:val="Arial"/>
    <w:charset w:val="01" w:characterSet="utf-8"/>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empora LGC Uni" w:hAnsi="Tempora LGC Uni" w:eastAsia="Tahoma" w:cs="Lohit Devanagari"/>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both"/>
    </w:pPr>
    <w:rPr>
      <w:rFonts w:ascii="Calibri" w:hAnsi="Calibri" w:eastAsia="DengXian;等线" w:cs="Times New Roman"/>
      <w:color w:val="auto"/>
      <w:kern w:val="2"/>
      <w:sz w:val="21"/>
      <w:szCs w:val="24"/>
      <w:lang w:val="en-US" w:eastAsia="zh-CN" w:bidi="ar-SA"/>
    </w:rPr>
  </w:style>
  <w:style w:type="character" w:styleId="Style14">
    <w:name w:val="Основной шрифт абзаца"/>
    <w:qFormat/>
    <w:rPr/>
  </w:style>
  <w:style w:type="character" w:styleId="Hyperlink">
    <w:name w:val="Hyperlink"/>
    <w:rPr>
      <w:color w:val="0000FF"/>
      <w:u w:val="single"/>
    </w:rPr>
  </w:style>
  <w:style w:type="character" w:styleId="Style15">
    <w:name w:val="Текст выноски Знак"/>
    <w:qFormat/>
    <w:rPr>
      <w:rFonts w:ascii="Segoe UI" w:hAnsi="Segoe UI" w:eastAsia="DengXian;等线" w:cs="Segoe UI"/>
      <w:kern w:val="2"/>
      <w:sz w:val="18"/>
      <w:szCs w:val="18"/>
      <w:lang w:val="en-US" w:eastAsia="zh-CN"/>
    </w:rPr>
  </w:style>
  <w:style w:type="character" w:styleId="Style16">
    <w:name w:val="Основной текст с отступом Знак"/>
    <w:qFormat/>
    <w:rPr>
      <w:rFonts w:eastAsia="DengXian;等线"/>
      <w:kern w:val="2"/>
      <w:sz w:val="21"/>
      <w:szCs w:val="24"/>
      <w:lang w:val="en-US" w:eastAsia="zh-CN"/>
    </w:rPr>
  </w:style>
  <w:style w:type="paragraph" w:styleId="Style17">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Style19">
    <w:name w:val="Текст выноски"/>
    <w:basedOn w:val="Normal"/>
    <w:qFormat/>
    <w:pPr/>
    <w:rPr>
      <w:rFonts w:ascii="Segoe UI" w:hAnsi="Segoe UI" w:cs="Segoe UI"/>
      <w:sz w:val="18"/>
      <w:szCs w:val="18"/>
    </w:rPr>
  </w:style>
  <w:style w:type="paragraph" w:styleId="BodyTextIndent">
    <w:name w:val="Body Text Indent"/>
    <w:basedOn w:val="Normal"/>
    <w:pPr>
      <w:spacing w:before="0" w:after="120"/>
      <w:ind w:hanging="0" w:start="283" w:end="0"/>
    </w:pPr>
    <w:rPr/>
  </w:style>
  <w:style w:type="paragraph" w:styleId="Style20">
    <w:name w:val="Абзац списка"/>
    <w:basedOn w:val="Normal"/>
    <w:qFormat/>
    <w:pPr>
      <w:spacing w:before="0" w:after="0"/>
      <w:ind w:hanging="0" w:start="720" w:end="0"/>
      <w:contextualSpacing/>
    </w:pPr>
    <w:rPr/>
  </w:style>
  <w:style w:type="paragraph" w:styleId="Style21">
    <w:name w:val="Без интервала"/>
    <w:qFormat/>
    <w:pPr>
      <w:widowControl/>
      <w:suppressAutoHyphens w:val="true"/>
      <w:bidi w:val="0"/>
      <w:spacing w:before="0" w:after="0"/>
      <w:jc w:val="start"/>
    </w:pPr>
    <w:rPr>
      <w:rFonts w:ascii="Times New Roman" w:hAnsi="Times New Roman" w:eastAsia="Times New Roman" w:cs="Times New Roman"/>
      <w:color w:val="auto"/>
      <w:kern w:val="0"/>
      <w:sz w:val="24"/>
      <w:szCs w:val="24"/>
      <w:lang w:val="ru-RU" w:eastAsia="zh-CN" w:bidi="ar-SA"/>
    </w:rPr>
  </w:style>
  <w:style w:type="paragraph" w:styleId="1">
    <w:name w:val="Обычный1"/>
    <w:qFormat/>
    <w:pPr>
      <w:widowControl/>
      <w:tabs>
        <w:tab w:val="clear" w:pos="708"/>
        <w:tab w:val="left" w:pos="709" w:leader="none"/>
      </w:tabs>
      <w:suppressAutoHyphens w:val="true"/>
      <w:bidi w:val="0"/>
      <w:spacing w:lineRule="atLeast" w:line="276" w:before="0" w:after="200"/>
      <w:jc w:val="start"/>
    </w:pPr>
    <w:rPr>
      <w:rFonts w:ascii="Calibri" w:hAnsi="Calibri" w:eastAsia="Times New Roman" w:cs="Times New Roman"/>
      <w:color w:val="00000A"/>
      <w:kern w:val="0"/>
      <w:sz w:val="22"/>
      <w:szCs w:val="22"/>
      <w:lang w:val="ru-RU" w:eastAsia="zh-CN" w:bidi="ar-SA"/>
    </w:rPr>
  </w:style>
  <w:style w:type="paragraph" w:styleId="Style22">
    <w:name w:val="Содержимое врезки"/>
    <w:basedOn w:val="Normal"/>
    <w:qFormat/>
    <w:pPr/>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nc@sevgortrans.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LibreOffice/7.6.7.2$Linux_X86_64 LibreOffice_project/60$Build-2</Application>
  <AppVersion>15.0000</AppVersion>
  <Pages>4</Pages>
  <Words>1114</Words>
  <Characters>8537</Characters>
  <CharactersWithSpaces>9573</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2024-04-16T12:37:00Z</dcterms:created>
  <dc:creator>User</dc:creator>
  <dc:description/>
  <dc:language>ru-RU</dc:language>
  <cp:lastModifiedBy/>
  <cp:lastPrinted>2024-07-24T14:19:00Z</cp:lastPrinted>
  <dcterms:modified xsi:type="dcterms:W3CDTF">2024-11-05T11:30:21Z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B0FA9803666A445485BADB6CBC6764B5_13</vt:lpwstr>
  </property>
  <property fmtid="{D5CDD505-2E9C-101B-9397-08002B2CF9AE}" pid="3" name="KSOProductBuildVer">
    <vt:lpwstr>1049-12.2.0.13431_x0000__x0000_</vt:lpwstr>
  </property>
</Properties>
</file>