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F07" w:rsidRDefault="007B0394">
      <w:pPr>
        <w:tabs>
          <w:tab w:val="left" w:pos="5445"/>
        </w:tabs>
        <w:jc w:val="center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IV.</w:t>
      </w:r>
      <w:r>
        <w:rPr>
          <w:b/>
        </w:rPr>
        <w:t xml:space="preserve"> </w:t>
      </w:r>
      <w:r w:rsidR="002E3A3D">
        <w:rPr>
          <w:b/>
        </w:rPr>
        <w:t>Техническое задание</w:t>
      </w:r>
    </w:p>
    <w:p w:rsidR="00440F07" w:rsidRDefault="002E3A3D">
      <w:pPr>
        <w:tabs>
          <w:tab w:val="left" w:pos="5445"/>
        </w:tabs>
        <w:jc w:val="center"/>
        <w:rPr>
          <w:b/>
        </w:rPr>
      </w:pPr>
      <w:r>
        <w:rPr>
          <w:b/>
        </w:rPr>
        <w:t xml:space="preserve">на закупку услуг «Предоставление права использования программ для ЭВМ антивирусной защиты АО «Лаборатория Касперского» (продление на 1 год)» 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1.</w:t>
            </w:r>
            <w:r w:rsidR="002E3A3D">
              <w:t>Наименование и цели использования оказываемых услуг (с указанием краткой характеристики того, выполнение каких услуг необходимо заказчику)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 w:rsidP="00715AE2">
            <w:pPr>
              <w:spacing w:line="268" w:lineRule="auto"/>
              <w:jc w:val="both"/>
            </w:pPr>
            <w:r>
              <w:t>Предоставление права использования программ для ЭВМ антивирусной защиты АО «Лаборатория Касперского» (продление на 1 год) (далее Услуга).</w:t>
            </w:r>
          </w:p>
          <w:p w:rsidR="00440F07" w:rsidRDefault="002E3A3D" w:rsidP="00715AE2">
            <w:pPr>
              <w:spacing w:line="268" w:lineRule="auto"/>
              <w:jc w:val="both"/>
            </w:pPr>
            <w:bookmarkStart w:id="0" w:name="_GoBack"/>
            <w:bookmarkEnd w:id="0"/>
            <w:r>
              <w:t xml:space="preserve">Целью оказания Услуги является обеспечение средствами антивирусной защиты автоматизированных рабочих мест пользователей и серверов </w:t>
            </w:r>
            <w:r w:rsidR="00F5174D">
              <w:t>Заказчика</w:t>
            </w:r>
            <w:r>
              <w:t xml:space="preserve"> независимо от степени конфиденциальности обрабатываемой ими информации.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  <w:jc w:val="both"/>
            </w:pPr>
            <w:r>
              <w:t>2.</w:t>
            </w:r>
            <w:r w:rsidR="002E3A3D">
              <w:t>Перечень и объемы услуг (подробный перечень действий, их количественные и качественные показатели, требуемые от исполнителя с учетом потребностей заказчика)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F07" w:rsidRDefault="00440F07">
            <w:pPr>
              <w:spacing w:line="268" w:lineRule="auto"/>
              <w:ind w:firstLine="567"/>
              <w:jc w:val="both"/>
            </w:pPr>
          </w:p>
          <w:tbl>
            <w:tblPr>
              <w:tblW w:w="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5"/>
              <w:gridCol w:w="2122"/>
              <w:gridCol w:w="5460"/>
              <w:gridCol w:w="1382"/>
            </w:tblGrid>
            <w:tr w:rsidR="00440F07">
              <w:trPr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Pr="00715AE2" w:rsidRDefault="002E3A3D">
                  <w:pPr>
                    <w:spacing w:line="268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15AE2">
                    <w:rPr>
                      <w:b/>
                      <w:sz w:val="20"/>
                      <w:szCs w:val="20"/>
                    </w:rPr>
                    <w:t>№ п\п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Pr="00715AE2" w:rsidRDefault="002E3A3D">
                  <w:pPr>
                    <w:spacing w:line="268" w:lineRule="auto"/>
                    <w:ind w:left="8" w:right="5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15AE2">
                    <w:rPr>
                      <w:b/>
                      <w:sz w:val="20"/>
                      <w:szCs w:val="20"/>
                    </w:rPr>
                    <w:t>Наименование услуги (конкретной цели получения услуги)</w:t>
                  </w:r>
                </w:p>
              </w:tc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Pr="00715AE2" w:rsidRDefault="002E3A3D">
                  <w:pPr>
                    <w:spacing w:line="268" w:lineRule="auto"/>
                    <w:ind w:left="12" w:right="12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15AE2">
                    <w:rPr>
                      <w:b/>
                      <w:sz w:val="20"/>
                      <w:szCs w:val="20"/>
                    </w:rPr>
                    <w:t>Описание услуги (подробный перечень действий, входящих в состав услуги, позволяющих максимально возможно достичь поставленной цели; вещественные/значимые показатели, определяющие конечный результат)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Pr="00715AE2" w:rsidRDefault="002E3A3D">
                  <w:pPr>
                    <w:spacing w:line="268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15AE2">
                    <w:rPr>
                      <w:b/>
                      <w:sz w:val="20"/>
                      <w:szCs w:val="20"/>
                    </w:rPr>
                    <w:t>Количественный показатель</w:t>
                  </w:r>
                </w:p>
                <w:p w:rsidR="00440F07" w:rsidRPr="00715AE2" w:rsidRDefault="002E3A3D">
                  <w:pPr>
                    <w:spacing w:line="268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15AE2">
                    <w:rPr>
                      <w:b/>
                      <w:sz w:val="20"/>
                      <w:szCs w:val="20"/>
                    </w:rPr>
                    <w:t>объема услуги</w:t>
                  </w:r>
                </w:p>
              </w:tc>
            </w:tr>
            <w:tr w:rsidR="00440F07">
              <w:trPr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2E3A3D">
                  <w:pPr>
                    <w:spacing w:line="268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2E3A3D">
                  <w:pPr>
                    <w:spacing w:line="268" w:lineRule="auto"/>
                    <w:ind w:left="8" w:right="55"/>
                    <w:jc w:val="both"/>
                  </w:pPr>
                  <w:r>
                    <w:t>Предоставление права использования программ для ЭВМ антивирусной защиты АО «Лаборатория Касперского» (продление на 1 год)</w:t>
                  </w:r>
                </w:p>
              </w:tc>
              <w:tc>
                <w:tcPr>
                  <w:tcW w:w="5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F07" w:rsidRDefault="002E3A3D">
                  <w:pPr>
                    <w:spacing w:line="268" w:lineRule="auto"/>
                    <w:ind w:left="12" w:right="129"/>
                    <w:jc w:val="both"/>
                  </w:pPr>
                  <w:r>
                    <w:t>Услуга по предоставлению права использования программ для ЭВМ антивирусной защиты АО «Лаборатория Касперского» (продление на 1 год) включает в себя приобретение лицензий на продление права использования программ для ЭВМ на условиях простой (неисключительной) лицензии в составе</w:t>
                  </w:r>
                  <w:r>
                    <w:rPr>
                      <w:rStyle w:val="cardmaininfocontent"/>
                    </w:rPr>
                    <w:t>:</w:t>
                  </w:r>
                </w:p>
                <w:p w:rsidR="00440F07" w:rsidRDefault="002E3A3D">
                  <w:pPr>
                    <w:pStyle w:val="afc"/>
                    <w:numPr>
                      <w:ilvl w:val="0"/>
                      <w:numId w:val="1"/>
                    </w:numPr>
                    <w:spacing w:line="268" w:lineRule="auto"/>
                    <w:ind w:right="129"/>
                    <w:jc w:val="both"/>
                  </w:pPr>
                  <w:r>
                    <w:rPr>
                      <w:lang w:val="en-US"/>
                    </w:rPr>
                    <w:t xml:space="preserve">Kaspersky Endpoint Security </w:t>
                  </w:r>
                  <w:r>
                    <w:t>для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бизнеса</w:t>
                  </w:r>
                  <w:r>
                    <w:rPr>
                      <w:lang w:val="en-US"/>
                    </w:rPr>
                    <w:t xml:space="preserve"> – </w:t>
                  </w:r>
                  <w:r>
                    <w:t>Стандартный</w:t>
                  </w:r>
                  <w:r>
                    <w:rPr>
                      <w:lang w:val="en-US"/>
                    </w:rPr>
                    <w:t xml:space="preserve"> Russian Edition. </w:t>
                  </w:r>
                  <w:r>
                    <w:t>Продление лицензии* для 4000 защищаемых объектов;</w:t>
                  </w:r>
                </w:p>
                <w:p w:rsidR="00440F07" w:rsidRDefault="002E3A3D">
                  <w:pPr>
                    <w:pStyle w:val="afc"/>
                    <w:numPr>
                      <w:ilvl w:val="0"/>
                      <w:numId w:val="1"/>
                    </w:numPr>
                    <w:spacing w:line="268" w:lineRule="auto"/>
                    <w:ind w:right="129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Kaspersky Security </w:t>
                  </w:r>
                  <w:r>
                    <w:t>для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виртуальных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и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облачных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сред</w:t>
                  </w:r>
                  <w:r>
                    <w:rPr>
                      <w:lang w:val="en-US"/>
                    </w:rPr>
                    <w:t xml:space="preserve">, Server Russian Edition. </w:t>
                  </w:r>
                  <w:proofErr w:type="spellStart"/>
                  <w:r>
                    <w:rPr>
                      <w:lang w:val="en-US"/>
                    </w:rPr>
                    <w:t>VirtualServer</w:t>
                  </w:r>
                  <w:proofErr w:type="spellEnd"/>
                  <w:r>
                    <w:t>. Продление лицензии *</w:t>
                  </w:r>
                  <w:r>
                    <w:rPr>
                      <w:rStyle w:val="aff3"/>
                    </w:rPr>
                    <w:t xml:space="preserve"> </w:t>
                  </w:r>
                  <w:r>
                    <w:t>для 200 защищаемых объектов</w:t>
                  </w:r>
                </w:p>
                <w:p w:rsidR="00440F07" w:rsidRDefault="002E3A3D">
                  <w:pPr>
                    <w:spacing w:line="268" w:lineRule="auto"/>
                    <w:ind w:left="12" w:right="129"/>
                    <w:jc w:val="both"/>
                  </w:pPr>
                  <w:r>
                    <w:t>(далее Программы для ЭВМ)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2E3A3D">
                  <w:pPr>
                    <w:spacing w:line="268" w:lineRule="auto"/>
                    <w:jc w:val="center"/>
                  </w:pPr>
                  <w:r>
                    <w:rPr>
                      <w:lang w:val="uk-UA"/>
                    </w:rPr>
                    <w:t xml:space="preserve">1 </w:t>
                  </w:r>
                  <w:r>
                    <w:t>условная единица</w:t>
                  </w:r>
                </w:p>
              </w:tc>
            </w:tr>
          </w:tbl>
          <w:p w:rsidR="00440F07" w:rsidRDefault="002E3A3D">
            <w:pPr>
              <w:spacing w:line="268" w:lineRule="auto"/>
              <w:jc w:val="both"/>
              <w:rPr>
                <w:i/>
              </w:rPr>
            </w:pPr>
            <w:r>
              <w:rPr>
                <w:i/>
              </w:rPr>
              <w:t>*Эквивалент не предусмотрен и предоставление права использования программ для ЭВМ других разработчиков не допускается, в связи с необходимостью обеспечения совместимости и взаимодействия приобретаемых Программ для ЭВМ с уже развернутым и эксплуатируемым Заказчиком программным обеспечением:</w:t>
            </w:r>
          </w:p>
          <w:p w:rsidR="00440F07" w:rsidRDefault="00440F07">
            <w:pPr>
              <w:spacing w:line="268" w:lineRule="auto"/>
              <w:jc w:val="both"/>
            </w:pPr>
          </w:p>
          <w:tbl>
            <w:tblPr>
              <w:tblW w:w="93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4996"/>
              <w:gridCol w:w="3827"/>
            </w:tblGrid>
            <w:tr w:rsidR="00440F07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2E3A3D">
                  <w:pPr>
                    <w:spacing w:line="268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№ п\п</w:t>
                  </w:r>
                </w:p>
              </w:tc>
              <w:tc>
                <w:tcPr>
                  <w:tcW w:w="4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2E3A3D">
                  <w:pPr>
                    <w:spacing w:line="268" w:lineRule="auto"/>
                    <w:ind w:left="-86" w:right="-81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Наименование программ для ЭВМ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2E3A3D">
                  <w:pPr>
                    <w:spacing w:line="268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Номер действующего лицензионного сертификата:</w:t>
                  </w:r>
                </w:p>
              </w:tc>
            </w:tr>
            <w:tr w:rsidR="00440F07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2E3A3D">
                  <w:pPr>
                    <w:spacing w:line="268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</w:p>
              </w:tc>
              <w:tc>
                <w:tcPr>
                  <w:tcW w:w="4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2E3A3D">
                  <w:pPr>
                    <w:spacing w:line="268" w:lineRule="auto"/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 xml:space="preserve">Kaspersky Endpoint Security </w:t>
                  </w:r>
                  <w:r>
                    <w:rPr>
                      <w:i/>
                    </w:rPr>
                    <w:t>для</w:t>
                  </w:r>
                  <w:r>
                    <w:rPr>
                      <w:i/>
                      <w:lang w:val="en-US"/>
                    </w:rPr>
                    <w:t xml:space="preserve"> </w:t>
                  </w:r>
                  <w:r>
                    <w:rPr>
                      <w:i/>
                    </w:rPr>
                    <w:t>бизнеса</w:t>
                  </w:r>
                  <w:r>
                    <w:rPr>
                      <w:i/>
                      <w:lang w:val="en-US"/>
                    </w:rPr>
                    <w:t xml:space="preserve"> – </w:t>
                  </w:r>
                  <w:r>
                    <w:rPr>
                      <w:i/>
                    </w:rPr>
                    <w:t>Стандартный</w:t>
                  </w:r>
                  <w:r>
                    <w:rPr>
                      <w:i/>
                      <w:lang w:val="en-US"/>
                    </w:rPr>
                    <w:t xml:space="preserve"> Russian Edition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BA1B5C">
                  <w:pPr>
                    <w:spacing w:line="268" w:lineRule="auto"/>
                    <w:jc w:val="center"/>
                    <w:rPr>
                      <w:i/>
                      <w:color w:val="FF0000"/>
                      <w:lang w:val="en-US"/>
                    </w:rPr>
                  </w:pPr>
                  <w:r>
                    <w:rPr>
                      <w:rFonts w:ascii="KasperskySansDisplay-Light" w:eastAsiaTheme="minorHAnsi" w:hAnsi="KasperskySansDisplay-Light" w:cs="KasperskySansDisplay-Light"/>
                      <w:sz w:val="22"/>
                      <w:szCs w:val="22"/>
                      <w:lang w:eastAsia="en-US"/>
                    </w:rPr>
                    <w:t>2B1E-231220-123405-8-15657</w:t>
                  </w:r>
                </w:p>
              </w:tc>
            </w:tr>
            <w:tr w:rsidR="00440F07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2E3A3D">
                  <w:pPr>
                    <w:spacing w:line="268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</w:t>
                  </w:r>
                </w:p>
              </w:tc>
              <w:tc>
                <w:tcPr>
                  <w:tcW w:w="4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2E3A3D">
                  <w:pPr>
                    <w:spacing w:line="268" w:lineRule="auto"/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 xml:space="preserve">Kaspersky Security </w:t>
                  </w:r>
                  <w:r>
                    <w:rPr>
                      <w:i/>
                    </w:rPr>
                    <w:t>для</w:t>
                  </w:r>
                  <w:r>
                    <w:rPr>
                      <w:i/>
                      <w:lang w:val="en-US"/>
                    </w:rPr>
                    <w:t xml:space="preserve"> </w:t>
                  </w:r>
                  <w:r>
                    <w:rPr>
                      <w:i/>
                    </w:rPr>
                    <w:t>виртуальных</w:t>
                  </w:r>
                  <w:r>
                    <w:rPr>
                      <w:i/>
                      <w:lang w:val="en-US"/>
                    </w:rPr>
                    <w:t xml:space="preserve"> </w:t>
                  </w:r>
                  <w:r>
                    <w:rPr>
                      <w:i/>
                    </w:rPr>
                    <w:t>и</w:t>
                  </w:r>
                  <w:r>
                    <w:rPr>
                      <w:i/>
                      <w:lang w:val="en-US"/>
                    </w:rPr>
                    <w:t xml:space="preserve"> </w:t>
                  </w:r>
                  <w:r>
                    <w:rPr>
                      <w:i/>
                    </w:rPr>
                    <w:t>облачных</w:t>
                  </w:r>
                  <w:r>
                    <w:rPr>
                      <w:i/>
                      <w:lang w:val="en-US"/>
                    </w:rPr>
                    <w:t xml:space="preserve"> </w:t>
                  </w:r>
                  <w:r>
                    <w:rPr>
                      <w:i/>
                    </w:rPr>
                    <w:t>сред</w:t>
                  </w:r>
                  <w:r>
                    <w:rPr>
                      <w:i/>
                      <w:lang w:val="en-US"/>
                    </w:rPr>
                    <w:t xml:space="preserve">, Server Russian Edition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F07" w:rsidRDefault="00BA1B5C">
                  <w:pPr>
                    <w:spacing w:line="268" w:lineRule="auto"/>
                    <w:jc w:val="center"/>
                    <w:rPr>
                      <w:i/>
                      <w:color w:val="FF0000"/>
                      <w:lang w:val="en-US"/>
                    </w:rPr>
                  </w:pPr>
                  <w:r>
                    <w:rPr>
                      <w:rFonts w:ascii="KasperskySansDisplay-Light" w:eastAsiaTheme="minorHAnsi" w:hAnsi="KasperskySansDisplay-Light" w:cs="KasperskySansDisplay-Light"/>
                      <w:sz w:val="22"/>
                      <w:szCs w:val="22"/>
                      <w:lang w:eastAsia="en-US"/>
                    </w:rPr>
                    <w:t>2B1E-231220-123439-2-16164</w:t>
                  </w:r>
                </w:p>
              </w:tc>
            </w:tr>
          </w:tbl>
          <w:p w:rsidR="00440F07" w:rsidRDefault="00440F07">
            <w:pPr>
              <w:spacing w:line="268" w:lineRule="auto"/>
              <w:jc w:val="both"/>
            </w:pP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3.</w:t>
            </w:r>
            <w:r w:rsidR="002E3A3D">
              <w:t>Место оказания услуг (с указанием конкретного адреса /адресов, этажей помещений; возможно приложение схем расположения, поэтажные планы и др.)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 w:rsidP="00715AE2">
            <w:pPr>
              <w:spacing w:line="271" w:lineRule="auto"/>
              <w:contextualSpacing/>
              <w:jc w:val="both"/>
            </w:pPr>
            <w:r>
              <w:lastRenderedPageBreak/>
              <w:t xml:space="preserve">Доступ к Услуге осуществляется с территории Заказчика по адресу: 295034, Республика Крым, г. Симферополь, ул. Киевская, 74/6. </w:t>
            </w:r>
          </w:p>
          <w:p w:rsidR="002E3A3D" w:rsidRPr="0021736B" w:rsidRDefault="002E3A3D" w:rsidP="00715AE2">
            <w:pPr>
              <w:spacing w:line="271" w:lineRule="auto"/>
              <w:contextualSpacing/>
              <w:jc w:val="both"/>
            </w:pPr>
            <w:r w:rsidRPr="0021736B">
              <w:t>Услуг</w:t>
            </w:r>
            <w:r>
              <w:t>а</w:t>
            </w:r>
            <w:r w:rsidRPr="0021736B">
              <w:t xml:space="preserve"> </w:t>
            </w:r>
            <w:r>
              <w:t>может оказываться</w:t>
            </w:r>
            <w:r w:rsidRPr="0021736B">
              <w:t xml:space="preserve"> </w:t>
            </w:r>
            <w:r w:rsidRPr="0021736B">
              <w:rPr>
                <w:rFonts w:eastAsia="Batang"/>
                <w:lang w:eastAsia="ko-KR"/>
              </w:rPr>
              <w:t xml:space="preserve">в электронном виде посредством сети </w:t>
            </w:r>
            <w:r>
              <w:rPr>
                <w:rFonts w:eastAsia="Batang"/>
                <w:lang w:eastAsia="ko-KR"/>
              </w:rPr>
              <w:t>«</w:t>
            </w:r>
            <w:r w:rsidRPr="0021736B">
              <w:rPr>
                <w:rFonts w:eastAsia="Batang"/>
                <w:lang w:eastAsia="ko-KR"/>
              </w:rPr>
              <w:t>Интернет</w:t>
            </w:r>
            <w:r>
              <w:rPr>
                <w:rFonts w:eastAsia="Batang"/>
                <w:lang w:eastAsia="ko-KR"/>
              </w:rPr>
              <w:t>»,</w:t>
            </w:r>
            <w:r w:rsidRPr="0021736B">
              <w:rPr>
                <w:rFonts w:eastAsia="Batang"/>
                <w:lang w:eastAsia="ko-KR"/>
              </w:rPr>
              <w:t xml:space="preserve"> </w:t>
            </w:r>
            <w:r w:rsidRPr="0079315E">
              <w:t xml:space="preserve">в том числе </w:t>
            </w:r>
            <w:r w:rsidRPr="0021736B">
              <w:rPr>
                <w:rFonts w:eastAsia="Batang"/>
                <w:lang w:eastAsia="ko-KR"/>
              </w:rPr>
              <w:t>на адрес электронной почты (E-</w:t>
            </w:r>
            <w:proofErr w:type="spellStart"/>
            <w:r w:rsidRPr="0021736B">
              <w:rPr>
                <w:rFonts w:eastAsia="Batang"/>
                <w:lang w:eastAsia="ko-KR"/>
              </w:rPr>
              <w:t>mail</w:t>
            </w:r>
            <w:proofErr w:type="spellEnd"/>
            <w:r w:rsidRPr="0021736B">
              <w:rPr>
                <w:rFonts w:eastAsia="Batang"/>
                <w:lang w:eastAsia="ko-KR"/>
              </w:rPr>
              <w:t>)</w:t>
            </w:r>
            <w:r>
              <w:rPr>
                <w:rFonts w:eastAsia="Batang"/>
                <w:lang w:eastAsia="ko-KR"/>
              </w:rPr>
              <w:t>:</w:t>
            </w:r>
            <w:r w:rsidRPr="0021736B">
              <w:rPr>
                <w:rFonts w:eastAsia="Batang"/>
                <w:lang w:eastAsia="ko-KR"/>
              </w:rPr>
              <w:t xml:space="preserve"> </w:t>
            </w:r>
            <w:hyperlink r:id="rId8" w:history="1">
              <w:r w:rsidRPr="000C73AE">
                <w:rPr>
                  <w:rStyle w:val="aff6"/>
                </w:rPr>
                <w:t>ApplicationSW@crimea-energy.ru</w:t>
              </w:r>
            </w:hyperlink>
            <w:r w:rsidRPr="0021736B">
              <w:t>.</w:t>
            </w:r>
          </w:p>
          <w:p w:rsidR="00440F07" w:rsidRDefault="002E3A3D" w:rsidP="00715AE2">
            <w:pPr>
              <w:spacing w:line="271" w:lineRule="auto"/>
              <w:jc w:val="both"/>
            </w:pPr>
            <w:r w:rsidRPr="0079315E">
              <w:t>При передаче конфиденциальной информац</w:t>
            </w:r>
            <w:r>
              <w:t xml:space="preserve">ии посредством сети </w:t>
            </w:r>
            <w:r>
              <w:rPr>
                <w:rFonts w:eastAsia="Batang"/>
                <w:lang w:eastAsia="ko-KR"/>
              </w:rPr>
              <w:t>«</w:t>
            </w:r>
            <w:r w:rsidRPr="0021736B">
              <w:rPr>
                <w:rFonts w:eastAsia="Batang"/>
                <w:lang w:eastAsia="ko-KR"/>
              </w:rPr>
              <w:t>Интернет</w:t>
            </w:r>
            <w:r>
              <w:rPr>
                <w:rFonts w:eastAsia="Batang"/>
                <w:lang w:eastAsia="ko-KR"/>
              </w:rPr>
              <w:t xml:space="preserve">» </w:t>
            </w:r>
            <w:r>
              <w:t xml:space="preserve">и </w:t>
            </w:r>
            <w:r w:rsidRPr="0079315E">
              <w:t>электронной почт</w:t>
            </w:r>
            <w:r>
              <w:t>ы</w:t>
            </w:r>
            <w:r w:rsidRPr="0079315E">
              <w:t xml:space="preserve"> Исполнитель обязан обеспечить её безопасную передачу </w:t>
            </w:r>
            <w:r w:rsidRPr="00447F00">
              <w:rPr>
                <w:rFonts w:eastAsia="Calibri"/>
                <w:lang w:eastAsia="en-US"/>
              </w:rPr>
              <w:t>по каналам связи с использованием средств криптографической защиты информации с использованием протокола HTTPS, SSL с ограниченным доступом.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4.</w:t>
            </w:r>
            <w:r w:rsidR="002E3A3D">
              <w:t>Сроки (периоды) оказания услуг (с указанием периода/периодов, в течение которого (-ых) должны оказываться услуги или конкретной календарной даты, к которой должно быть завершено оказание услуг, или минимально приемлемой для заказчика даты завершения оказания услуг, или срока с момента заключения договора (уплаты аванса, иного момента), с которого исполнитель должен приступить к оказанию услуг)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 w:rsidP="00715AE2">
            <w:pPr>
              <w:spacing w:line="268" w:lineRule="auto"/>
              <w:jc w:val="both"/>
            </w:pPr>
            <w:r>
              <w:t xml:space="preserve">Права </w:t>
            </w:r>
            <w:r>
              <w:rPr>
                <w:rFonts w:eastAsia="Calibri"/>
                <w:lang w:eastAsia="en-US"/>
              </w:rPr>
              <w:t xml:space="preserve">использования Программ для ЭВМ должны быть предоставлены </w:t>
            </w:r>
            <w:r>
              <w:rPr>
                <w:highlight w:val="white"/>
              </w:rPr>
              <w:t xml:space="preserve">в течение 5 (пяти) рабочих дней со дня подписания сторонами лицензионного или </w:t>
            </w:r>
            <w:proofErr w:type="spellStart"/>
            <w:r>
              <w:rPr>
                <w:highlight w:val="white"/>
              </w:rPr>
              <w:t>сублицензионного</w:t>
            </w:r>
            <w:proofErr w:type="spellEnd"/>
            <w:r>
              <w:rPr>
                <w:highlight w:val="white"/>
              </w:rPr>
              <w:t xml:space="preserve"> договора, но не ранее окончания действия лицензионного сертификата</w:t>
            </w:r>
            <w:r>
              <w:t xml:space="preserve"> Заказчика.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5.</w:t>
            </w:r>
            <w:r w:rsidR="002E3A3D">
              <w:t>Требования по выполнению сопутствующих работ, оказанию сопутствующих услуг (поставкам необходимых товаров, в том числе оборудования, комплекта расходных материалов, предоставления иллюстративных материалов, доставке, разгрузке и др.)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>
            <w:pPr>
              <w:spacing w:line="268" w:lineRule="auto"/>
            </w:pPr>
            <w:r>
              <w:t>Не предъявляются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6.</w:t>
            </w:r>
            <w:r w:rsidR="002E3A3D">
              <w:t>Общие требования к оказанию услуг, их качеству, в том числе технологии оказания услуг, методам и методики оказания услуг (в том числе приводятся ссылки на нормы, правила, стандарты или другие нормативные документы, касающиеся качества оказываемых услуг)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>
            <w:pPr>
              <w:pStyle w:val="afc"/>
              <w:numPr>
                <w:ilvl w:val="1"/>
                <w:numId w:val="2"/>
              </w:numPr>
              <w:spacing w:line="268" w:lineRule="auto"/>
              <w:ind w:left="431"/>
              <w:jc w:val="both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Условия предоставления права использования Программ для ЭВМ.</w:t>
            </w:r>
          </w:p>
          <w:p w:rsidR="00440F07" w:rsidRDefault="002E3A3D">
            <w:pPr>
              <w:pStyle w:val="afc"/>
              <w:numPr>
                <w:ilvl w:val="1"/>
                <w:numId w:val="4"/>
              </w:numPr>
              <w:spacing w:line="268" w:lineRule="auto"/>
              <w:jc w:val="both"/>
            </w:pPr>
            <w:r>
              <w:rPr>
                <w:rFonts w:eastAsia="Arial Unicode MS"/>
                <w:bCs/>
              </w:rPr>
              <w:t xml:space="preserve">Предоставляемые права </w:t>
            </w:r>
            <w:r>
              <w:t>использования Программ для ЭВМ</w:t>
            </w:r>
            <w:r>
              <w:rPr>
                <w:rFonts w:eastAsia="Arial Unicode MS"/>
                <w:bCs/>
              </w:rPr>
              <w:t xml:space="preserve"> должны:</w:t>
            </w:r>
          </w:p>
          <w:p w:rsidR="00440F07" w:rsidRDefault="002E3A3D">
            <w:pPr>
              <w:pStyle w:val="afc"/>
              <w:numPr>
                <w:ilvl w:val="2"/>
                <w:numId w:val="4"/>
              </w:numPr>
              <w:spacing w:line="268" w:lineRule="auto"/>
              <w:ind w:left="1168"/>
              <w:jc w:val="both"/>
              <w:rPr>
                <w:rFonts w:eastAsia="Arial Unicode MS"/>
                <w:bCs/>
              </w:rPr>
            </w:pPr>
            <w:r>
              <w:t>предусматривать право использования соответствующих Программ для ЭВМ и включать в себя право на воспроизведение, инсталляцию (установку и размещение), копирование и запуск (выполнение программного кода программного обеспечения) и использование Программ для ЭВМ</w:t>
            </w:r>
            <w:r>
              <w:rPr>
                <w:rFonts w:eastAsia="Arial Unicode MS"/>
                <w:bCs/>
              </w:rPr>
              <w:t xml:space="preserve"> в соответствии с их функциональным назначением;</w:t>
            </w:r>
          </w:p>
          <w:p w:rsidR="00440F07" w:rsidRDefault="002E3A3D">
            <w:pPr>
              <w:pStyle w:val="afc"/>
              <w:numPr>
                <w:ilvl w:val="2"/>
                <w:numId w:val="4"/>
              </w:numPr>
              <w:spacing w:line="268" w:lineRule="auto"/>
              <w:ind w:left="1168"/>
              <w:jc w:val="both"/>
              <w:rPr>
                <w:rFonts w:eastAsia="Arial Unicode MS"/>
                <w:bCs/>
              </w:rPr>
            </w:pPr>
            <w:r>
              <w:t>передаваться на срок не менее 12 месяцев с момента окончания действующего лицензионного сертификата и/или начала действия нового лицензионного сертификата. (Срок использования Программ для ЭВМ в действующем лицензионном сертификате установлен с 2024-01-11 до 2025-01-11).</w:t>
            </w:r>
          </w:p>
          <w:p w:rsidR="00440F07" w:rsidRDefault="002E3A3D">
            <w:pPr>
              <w:pStyle w:val="afc"/>
              <w:spacing w:line="268" w:lineRule="auto"/>
              <w:ind w:left="1168"/>
              <w:jc w:val="both"/>
              <w:rPr>
                <w:rFonts w:eastAsia="Arial Unicode MS"/>
                <w:bCs/>
              </w:rPr>
            </w:pPr>
            <w:r>
              <w:rPr>
                <w:bCs/>
              </w:rPr>
              <w:t>Однако по истечении права использования П</w:t>
            </w:r>
            <w:r>
              <w:t>рограмм для ЭВМ</w:t>
            </w:r>
            <w:r>
              <w:rPr>
                <w:bCs/>
              </w:rPr>
              <w:t xml:space="preserve">, установленного в лицензионном сертификате, Заказчик должен иметь право продолжить использование </w:t>
            </w:r>
            <w:r>
              <w:t>Программ для ЭВМ</w:t>
            </w:r>
            <w:r>
              <w:rPr>
                <w:bCs/>
              </w:rPr>
              <w:t>, без права на:</w:t>
            </w:r>
          </w:p>
          <w:p w:rsidR="00440F07" w:rsidRDefault="002E3A3D">
            <w:pPr>
              <w:pStyle w:val="afc"/>
              <w:numPr>
                <w:ilvl w:val="1"/>
                <w:numId w:val="3"/>
              </w:numPr>
              <w:spacing w:line="268" w:lineRule="auto"/>
              <w:ind w:left="1168"/>
              <w:jc w:val="both"/>
            </w:pPr>
            <w:r>
              <w:t>использование новых версий Программ для ЭВМ или отдельных их модулей по мере их выхода;</w:t>
            </w:r>
          </w:p>
          <w:p w:rsidR="00440F07" w:rsidRDefault="002E3A3D">
            <w:pPr>
              <w:pStyle w:val="afc"/>
              <w:numPr>
                <w:ilvl w:val="1"/>
                <w:numId w:val="3"/>
              </w:numPr>
              <w:spacing w:line="268" w:lineRule="auto"/>
              <w:ind w:left="1168"/>
              <w:jc w:val="both"/>
            </w:pPr>
            <w:r>
              <w:t>доступ к информационным и вспомогательным ресурсам правообладателя, в том числе к антивирусным базам данных, содержащим описания сигнатур угроз и сетевых атак, а также методов борьбы с ними.</w:t>
            </w:r>
          </w:p>
          <w:p w:rsidR="00440F07" w:rsidRDefault="002E3A3D">
            <w:pPr>
              <w:pStyle w:val="afc"/>
              <w:numPr>
                <w:ilvl w:val="2"/>
                <w:numId w:val="4"/>
              </w:numPr>
              <w:spacing w:line="268" w:lineRule="auto"/>
              <w:ind w:left="1168"/>
              <w:jc w:val="both"/>
            </w:pPr>
            <w:r>
              <w:t>обеспечивать возможность использования текущих версий Программ для ЭВМ, предыдущих версий Программ для ЭВМ и новых версий Программ для ЭВМ, вышедших в течение срока действия лицензионного сертификата.</w:t>
            </w:r>
          </w:p>
          <w:p w:rsidR="00440F07" w:rsidRDefault="002E3A3D">
            <w:pPr>
              <w:pStyle w:val="afc"/>
              <w:numPr>
                <w:ilvl w:val="1"/>
                <w:numId w:val="4"/>
              </w:numPr>
              <w:spacing w:line="268" w:lineRule="auto"/>
              <w:jc w:val="both"/>
            </w:pPr>
            <w:r>
              <w:t xml:space="preserve">Заказчик должен иметь возможность устанавливать любое количество экземпляров Программ для ЭВМ, как на серверах, так и на рабочих станциях, суммарно не </w:t>
            </w:r>
            <w:r>
              <w:lastRenderedPageBreak/>
              <w:t>превышающее общее количество защищаемых объектов, в том числе изменять по своему усмотрению установленное количество экземпляров и место их установки, в течение всего срока, установленного в действующем лицензионном сертификате.</w:t>
            </w:r>
          </w:p>
          <w:p w:rsidR="00440F07" w:rsidRDefault="002E3A3D">
            <w:pPr>
              <w:pStyle w:val="afc"/>
              <w:numPr>
                <w:ilvl w:val="1"/>
                <w:numId w:val="4"/>
              </w:numPr>
              <w:spacing w:line="268" w:lineRule="auto"/>
              <w:jc w:val="both"/>
            </w:pPr>
            <w:r>
              <w:t>Территорией действия предоставляемых прав использования Программ для ЭВМ должна являться территория Российской Федерации.</w:t>
            </w:r>
          </w:p>
          <w:p w:rsidR="00440F07" w:rsidRDefault="002E3A3D">
            <w:pPr>
              <w:pStyle w:val="14"/>
              <w:numPr>
                <w:ilvl w:val="0"/>
                <w:numId w:val="4"/>
              </w:numPr>
              <w:shd w:val="clear" w:color="auto" w:fill="auto"/>
              <w:spacing w:line="271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ar-SA"/>
              </w:rPr>
              <w:t>Требования к технической поддержке.</w:t>
            </w:r>
          </w:p>
          <w:p w:rsidR="00440F07" w:rsidRDefault="002E3A3D">
            <w:pPr>
              <w:spacing w:line="271" w:lineRule="auto"/>
              <w:ind w:firstLine="460"/>
              <w:jc w:val="both"/>
              <w:rPr>
                <w:rFonts w:eastAsia="Arial Unicode MS"/>
                <w:bCs/>
              </w:rPr>
            </w:pPr>
            <w:r>
              <w:rPr>
                <w:rFonts w:eastAsia="Calibri"/>
              </w:rPr>
              <w:t>Условия предоставления технической поддержки и сопровождения Программ для ЭВМ устанавливаются правообладателем</w:t>
            </w:r>
            <w:r>
              <w:rPr>
                <w:rFonts w:eastAsia="Arial Unicode MS"/>
                <w:bCs/>
              </w:rPr>
              <w:t>.</w:t>
            </w:r>
          </w:p>
          <w:p w:rsidR="00440F07" w:rsidRDefault="002E3A3D">
            <w:pPr>
              <w:pStyle w:val="14"/>
              <w:shd w:val="clear" w:color="auto" w:fill="auto"/>
              <w:spacing w:line="271" w:lineRule="auto"/>
              <w:ind w:left="33" w:firstLine="460"/>
            </w:pPr>
            <w:r>
              <w:rPr>
                <w:rFonts w:ascii="Times New Roman" w:eastAsia="Arial Unicode MS" w:hAnsi="Times New Roman" w:cs="Times New Roman"/>
                <w:bCs/>
                <w:color w:val="auto"/>
                <w:sz w:val="24"/>
                <w:szCs w:val="24"/>
                <w:lang w:eastAsia="ar-SA"/>
              </w:rPr>
              <w:t>Техническая поддержка должна включать в себя бесплатное обновление версий Программ для ЭВМ и антивирусных баз данных.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lastRenderedPageBreak/>
              <w:t>7.</w:t>
            </w:r>
            <w:r w:rsidR="002E3A3D">
              <w:t>Требования к безопасности оказания услуг и безопасности результатов услуг (в случае, если от исполнителя требуется осуществить страхование ответственности перед третьими лицами или если оказываемые услуги могут быть связаны с возможной опасностью для жизни и здоровья людей, в данном разделе должны быть указаны соответствующие необходимые требования)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>
            <w:pPr>
              <w:spacing w:line="268" w:lineRule="auto"/>
            </w:pPr>
            <w:r>
              <w:t>Не предъявляются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8.</w:t>
            </w:r>
            <w:r w:rsidR="002E3A3D">
              <w:t>Порядок сдачи и приемки результатов услуг (указываются мероприятия по обеспечению сдачи и приемки услуг по каждому этапу оказания услуг и в целом, содержание отчетной, технической и иной документации, подлежащей оформлению и сдаче по каждому этапу и в целом (требование испытаний, контрольных пусков, подписания актов технического контроля, иных документов при сдаче услуг)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07" w:rsidRDefault="002E3A3D">
            <w:pPr>
              <w:pStyle w:val="aff2"/>
              <w:spacing w:line="27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сдачи и приемки результатов оказанной Услуги:</w:t>
            </w:r>
          </w:p>
          <w:p w:rsidR="00440F07" w:rsidRDefault="002E3A3D">
            <w:pPr>
              <w:pStyle w:val="aff2"/>
              <w:numPr>
                <w:ilvl w:val="0"/>
                <w:numId w:val="10"/>
              </w:numPr>
              <w:spacing w:line="271" w:lineRule="auto"/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ko-KR"/>
              </w:rPr>
              <w:t>Услуга</w:t>
            </w:r>
            <w:r>
              <w:rPr>
                <w:sz w:val="24"/>
                <w:szCs w:val="24"/>
                <w:lang w:eastAsia="en-US"/>
              </w:rPr>
              <w:t xml:space="preserve"> считается оказанной Заказчику, и Заказчик вправе начать правомерное использование Программ для ЭВМ с даты подписания сторонами (двустороннего оформления) документов приема-передачи.</w:t>
            </w:r>
          </w:p>
          <w:p w:rsidR="00440F07" w:rsidRDefault="002E3A3D">
            <w:pPr>
              <w:pStyle w:val="afc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line="268" w:lineRule="auto"/>
              <w:ind w:left="460"/>
              <w:jc w:val="both"/>
            </w:pPr>
            <w:r>
              <w:t>В случае, если при оказании Услуги Заказчиком будет обнаружено несоответствие Услуг требованиям, указанным в техническом задании, Заказчик в течение 10 (десяти) календарных дней составляет мотивированный отказ от принятия Услуги и направляет его в адрес Исполнителя.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9.</w:t>
            </w:r>
            <w:r w:rsidR="002E3A3D">
              <w:t>Требования по передаче заказчику технических и иных документов по завершению и сдаче услуг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>
            <w:pPr>
              <w:spacing w:line="271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должен предоставить Заказчику: </w:t>
            </w:r>
          </w:p>
          <w:p w:rsidR="00440F07" w:rsidRDefault="002E3A3D">
            <w:pPr>
              <w:pStyle w:val="afc"/>
              <w:numPr>
                <w:ilvl w:val="1"/>
                <w:numId w:val="3"/>
              </w:numPr>
              <w:spacing w:line="268" w:lineRule="auto"/>
              <w:ind w:left="460"/>
              <w:jc w:val="both"/>
            </w:pPr>
            <w:r>
              <w:t>документацию, содержащую описание функциональных характеристик Программ для ЭВМ и информацию, необходимую для их установки, администрирования и эксплуатации;</w:t>
            </w:r>
          </w:p>
          <w:p w:rsidR="00440F07" w:rsidRDefault="002E3A3D">
            <w:pPr>
              <w:pStyle w:val="afc"/>
              <w:numPr>
                <w:ilvl w:val="1"/>
                <w:numId w:val="3"/>
              </w:numPr>
              <w:spacing w:line="268" w:lineRule="auto"/>
              <w:ind w:left="460"/>
              <w:jc w:val="both"/>
            </w:pPr>
            <w:r>
              <w:t xml:space="preserve">документы, подтверждающие регистрацию Программ для ЭВМ в едином реестре российских программ для электронных вычислительных машин и баз данных или в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Федерации; </w:t>
            </w:r>
          </w:p>
          <w:p w:rsidR="00440F07" w:rsidRDefault="002E3A3D">
            <w:pPr>
              <w:pStyle w:val="afc"/>
              <w:numPr>
                <w:ilvl w:val="1"/>
                <w:numId w:val="3"/>
              </w:numPr>
              <w:spacing w:line="268" w:lineRule="auto"/>
              <w:ind w:left="460"/>
              <w:jc w:val="both"/>
            </w:pPr>
            <w:r>
              <w:t>лицензионные сертификаты на право использования Программ для ЭВМ;</w:t>
            </w:r>
          </w:p>
          <w:p w:rsidR="00440F07" w:rsidRDefault="002E3A3D">
            <w:pPr>
              <w:pStyle w:val="afc"/>
              <w:numPr>
                <w:ilvl w:val="1"/>
                <w:numId w:val="3"/>
              </w:numPr>
              <w:spacing w:line="268" w:lineRule="auto"/>
              <w:ind w:left="460"/>
              <w:jc w:val="both"/>
            </w:pPr>
            <w:r>
              <w:rPr>
                <w:lang w:eastAsia="en-US"/>
              </w:rPr>
              <w:t>документы приема-передачи.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10.</w:t>
            </w:r>
            <w:r w:rsidR="002E3A3D">
              <w:t>Требования по сопутствующему монтажу поставленного оборудования, пусконаладочным и иным работам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>
            <w:pPr>
              <w:spacing w:line="268" w:lineRule="auto"/>
            </w:pPr>
            <w:r>
              <w:t>Не предъявляются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11.</w:t>
            </w:r>
            <w:r w:rsidR="002E3A3D">
              <w:t>Требования по техническому обучению персонала заказчика работе на подготовленных по результатам оказания услуг объектах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>
            <w:pPr>
              <w:spacing w:line="268" w:lineRule="auto"/>
            </w:pPr>
            <w:r>
              <w:t>Не предъявляются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lastRenderedPageBreak/>
              <w:t>12.</w:t>
            </w:r>
            <w:r w:rsidR="002E3A3D">
              <w:t>Требования по объему гарантий качества услуг (минимально приемлемые для заказчика либо жестко установленные обязанности исполнителя в гарантийный период)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>
            <w:pPr>
              <w:spacing w:line="271" w:lineRule="auto"/>
              <w:jc w:val="both"/>
            </w:pPr>
            <w:r>
              <w:rPr>
                <w:rFonts w:eastAsiaTheme="minorHAnsi"/>
                <w:lang w:eastAsia="en-US"/>
              </w:rPr>
              <w:t>Гарантия качества для оказываемых Услуг должна включать:</w:t>
            </w:r>
          </w:p>
          <w:p w:rsidR="00440F07" w:rsidRDefault="002E3A3D">
            <w:pPr>
              <w:spacing w:line="271" w:lineRule="auto"/>
              <w:ind w:firstLine="567"/>
              <w:jc w:val="both"/>
            </w:pPr>
            <w:r>
              <w:rPr>
                <w:rFonts w:eastAsiaTheme="minorHAnsi"/>
                <w:lang w:eastAsia="en-US"/>
              </w:rPr>
              <w:t>1. выполнение всех требований технического задания;</w:t>
            </w:r>
          </w:p>
          <w:p w:rsidR="00440F07" w:rsidRDefault="002E3A3D">
            <w:pPr>
              <w:spacing w:line="271" w:lineRule="auto"/>
              <w:ind w:firstLine="567"/>
              <w:jc w:val="both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2. обеспечение </w:t>
            </w:r>
            <w:r>
              <w:rPr>
                <w:bCs/>
              </w:rPr>
              <w:t xml:space="preserve">их соответствия </w:t>
            </w:r>
            <w:r>
              <w:t>требованиям действующих нормативно-правовых актов Российской Федерации;</w:t>
            </w:r>
            <w:r>
              <w:rPr>
                <w:bCs/>
              </w:rPr>
              <w:t xml:space="preserve"> </w:t>
            </w:r>
          </w:p>
          <w:p w:rsidR="00440F07" w:rsidRDefault="002E3A3D">
            <w:pPr>
              <w:spacing w:line="271" w:lineRule="auto"/>
              <w:ind w:firstLine="567"/>
              <w:jc w:val="both"/>
              <w:rPr>
                <w:iCs/>
                <w:color w:val="000000"/>
              </w:rPr>
            </w:pPr>
            <w:r>
              <w:rPr>
                <w:bCs/>
              </w:rPr>
              <w:t>3. оказание технической поддержки Программ для ЭВМ.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13.</w:t>
            </w:r>
            <w:r w:rsidR="002E3A3D">
              <w:t>Требования по сроку гарантий качества на результаты услуг (минимально приемлемые для заказчика либо жестко установленные сроки)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 w:rsidP="00715AE2">
            <w:pPr>
              <w:spacing w:line="268" w:lineRule="auto"/>
              <w:jc w:val="both"/>
            </w:pPr>
            <w:r>
              <w:rPr>
                <w:rFonts w:eastAsia="Batang"/>
                <w:lang w:eastAsia="ko-KR"/>
              </w:rPr>
              <w:t>Срок гарантии качества на результаты оказанных Услуг и/или техническую поддержку Программ для ЭВМ</w:t>
            </w:r>
            <w:r>
              <w:t xml:space="preserve"> должен составлять не менее 12 (двенадцати) календарных месяцев с даты подписания сторонами (двустороннего оформления) документов приема-передачи.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14.</w:t>
            </w:r>
            <w:r w:rsidR="002E3A3D">
              <w:t>Требования к квалификации исполнителя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 w:rsidP="00715AE2">
            <w:pPr>
              <w:spacing w:line="268" w:lineRule="auto"/>
              <w:jc w:val="both"/>
            </w:pPr>
            <w:r>
              <w:t>Исполнитель должен гарантировать, что он обладает всеми законными основаниями для предоставления Заказчику права использования Программ для ЭВМ.</w:t>
            </w:r>
          </w:p>
          <w:p w:rsidR="00440F07" w:rsidRDefault="002E3A3D" w:rsidP="00715AE2">
            <w:pPr>
              <w:spacing w:line="268" w:lineRule="auto"/>
              <w:jc w:val="both"/>
            </w:pPr>
            <w:r>
              <w:t xml:space="preserve">Основанием полномочий Исполнителя являются документы, установленные правообладателем в соответствии с требованиями статей 1233, 1235, 1236, 1238 Гражданского кодекса Российской Федерации (свидетельства, лицензионные договоры/соглашения, </w:t>
            </w:r>
            <w:proofErr w:type="spellStart"/>
            <w:r>
              <w:t>авторизационные</w:t>
            </w:r>
            <w:proofErr w:type="spellEnd"/>
            <w:r>
              <w:t xml:space="preserve"> письма, партнерские сертификаты, выписки из договора с правообладателем).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15.</w:t>
            </w:r>
            <w:r w:rsidR="002E3A3D">
              <w:t>Авторские права с указанием условий о передаче заказчику исключительных прав на объекты интеллектуальной собственности, возникшие в связи с исполнением обязательств исполнителя по оказанию услуг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 w:rsidP="00715AE2">
            <w:pPr>
              <w:spacing w:line="268" w:lineRule="auto"/>
              <w:jc w:val="both"/>
            </w:pPr>
            <w:r>
              <w:t xml:space="preserve">Права на использование Программ для ЭВМ должны передаваться Заказчику на основании лицензионного или </w:t>
            </w:r>
            <w:proofErr w:type="spellStart"/>
            <w:r>
              <w:t>сублицензионного</w:t>
            </w:r>
            <w:proofErr w:type="spellEnd"/>
            <w:r>
              <w:t xml:space="preserve"> договора на условиях, определяемых статьями 1236 (пп.1 п.1), 1238, 1286 ГК РФ.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pacing w:line="268" w:lineRule="auto"/>
            </w:pPr>
            <w:r>
              <w:t>16.</w:t>
            </w:r>
            <w:r w:rsidR="002E3A3D">
              <w:t>Правовое регулирование приобретения и использования оказываемых услуг (осуществляется по усмотрению заказчика для тех видов работ, в отношении которых законодательством Российской Федерации предусмотрены особые требования)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>
            <w:pPr>
              <w:pStyle w:val="af7"/>
              <w:tabs>
                <w:tab w:val="left" w:pos="708"/>
              </w:tabs>
              <w:spacing w:line="268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Не предъявляются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0F07" w:rsidRDefault="007B0394">
            <w:pPr>
              <w:shd w:val="clear" w:color="auto" w:fill="D9D9D9"/>
              <w:spacing w:line="268" w:lineRule="auto"/>
            </w:pPr>
            <w:r>
              <w:t>17.</w:t>
            </w:r>
            <w:r w:rsidR="002E3A3D">
              <w:t>Иные требования к услугам и условиям их оказания по усмотрению заказчика (для включения в контракт)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07" w:rsidRDefault="002E3A3D">
            <w:pPr>
              <w:pStyle w:val="af7"/>
              <w:tabs>
                <w:tab w:val="left" w:pos="708"/>
              </w:tabs>
              <w:spacing w:line="268" w:lineRule="auto"/>
              <w:ind w:left="0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Не предъявляются</w:t>
            </w:r>
          </w:p>
        </w:tc>
      </w:tr>
      <w:tr w:rsidR="00440F07" w:rsidTr="00715AE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F07" w:rsidRDefault="007B0394">
            <w:pPr>
              <w:shd w:val="clear" w:color="auto" w:fill="D9D9D9"/>
              <w:spacing w:line="268" w:lineRule="auto"/>
            </w:pPr>
            <w:r>
              <w:t>18.</w:t>
            </w:r>
            <w:r w:rsidR="002E3A3D">
              <w:t>Приложения</w:t>
            </w:r>
          </w:p>
        </w:tc>
      </w:tr>
    </w:tbl>
    <w:p w:rsidR="00440F07" w:rsidRDefault="00440F07" w:rsidP="007B0394">
      <w:pPr>
        <w:spacing w:line="268" w:lineRule="auto"/>
      </w:pPr>
    </w:p>
    <w:sectPr w:rsidR="00440F07" w:rsidSect="00715AE2">
      <w:headerReference w:type="default" r:id="rId9"/>
      <w:pgSz w:w="11906" w:h="16838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732" w:rsidRDefault="00916732">
      <w:r>
        <w:separator/>
      </w:r>
    </w:p>
  </w:endnote>
  <w:endnote w:type="continuationSeparator" w:id="0">
    <w:p w:rsidR="00916732" w:rsidRDefault="0091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KasperskySansDisplay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732" w:rsidRDefault="00916732">
      <w:r>
        <w:separator/>
      </w:r>
    </w:p>
  </w:footnote>
  <w:footnote w:type="continuationSeparator" w:id="0">
    <w:p w:rsidR="00916732" w:rsidRDefault="00916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700991"/>
    </w:sdtPr>
    <w:sdtEndPr/>
    <w:sdtContent>
      <w:p w:rsidR="00440F07" w:rsidRDefault="002E3A3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AE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4DD9"/>
    <w:multiLevelType w:val="multilevel"/>
    <w:tmpl w:val="90F69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1.%2.%3."/>
      <w:lvlJc w:val="left"/>
      <w:pPr>
        <w:ind w:left="4680" w:hanging="720"/>
      </w:pPr>
    </w:lvl>
    <w:lvl w:ilvl="3">
      <w:start w:val="1"/>
      <w:numFmt w:val="decimal"/>
      <w:lvlText w:val="%1.%2.%3.%4."/>
      <w:lvlJc w:val="left"/>
      <w:pPr>
        <w:ind w:left="6660" w:hanging="720"/>
      </w:pPr>
    </w:lvl>
    <w:lvl w:ilvl="4">
      <w:start w:val="1"/>
      <w:numFmt w:val="decimal"/>
      <w:lvlText w:val="%1.%2.%3.%4.%5."/>
      <w:lvlJc w:val="left"/>
      <w:pPr>
        <w:ind w:left="9000" w:hanging="1080"/>
      </w:pPr>
    </w:lvl>
    <w:lvl w:ilvl="5">
      <w:start w:val="1"/>
      <w:numFmt w:val="decimal"/>
      <w:lvlText w:val="%1.%2.%3.%4.%5.%6."/>
      <w:lvlJc w:val="left"/>
      <w:pPr>
        <w:ind w:left="10980" w:hanging="1080"/>
      </w:pPr>
    </w:lvl>
    <w:lvl w:ilvl="6">
      <w:start w:val="1"/>
      <w:numFmt w:val="decimal"/>
      <w:lvlText w:val="%1.%2.%3.%4.%5.%6.%7."/>
      <w:lvlJc w:val="left"/>
      <w:pPr>
        <w:ind w:left="13320" w:hanging="1440"/>
      </w:pPr>
    </w:lvl>
    <w:lvl w:ilvl="7">
      <w:start w:val="1"/>
      <w:numFmt w:val="decimal"/>
      <w:lvlText w:val="%1.%2.%3.%4.%5.%6.%7.%8."/>
      <w:lvlJc w:val="left"/>
      <w:pPr>
        <w:ind w:left="15300" w:hanging="1440"/>
      </w:pPr>
    </w:lvl>
    <w:lvl w:ilvl="8">
      <w:start w:val="1"/>
      <w:numFmt w:val="decimal"/>
      <w:lvlText w:val="%1.%2.%3.%4.%5.%6.%7.%8.%9."/>
      <w:lvlJc w:val="left"/>
      <w:pPr>
        <w:ind w:left="17640" w:hanging="1800"/>
      </w:pPr>
    </w:lvl>
  </w:abstractNum>
  <w:abstractNum w:abstractNumId="1" w15:restartNumberingAfterBreak="0">
    <w:nsid w:val="2F0A5B28"/>
    <w:multiLevelType w:val="hybridMultilevel"/>
    <w:tmpl w:val="96D264BA"/>
    <w:lvl w:ilvl="0" w:tplc="B6185F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EBA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80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E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804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AAD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4D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4F1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00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B07E1"/>
    <w:multiLevelType w:val="hybridMultilevel"/>
    <w:tmpl w:val="D32A8532"/>
    <w:lvl w:ilvl="0" w:tplc="3E62B4A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B07E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18ED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8859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3C972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423DB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9C06C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38FA5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EE395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D64810"/>
    <w:multiLevelType w:val="hybridMultilevel"/>
    <w:tmpl w:val="8FC26DA6"/>
    <w:lvl w:ilvl="0" w:tplc="EF5A0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0685B80">
      <w:start w:val="1"/>
      <w:numFmt w:val="lowerLetter"/>
      <w:lvlText w:val="%2."/>
      <w:lvlJc w:val="left"/>
      <w:pPr>
        <w:ind w:left="1647" w:hanging="360"/>
      </w:pPr>
    </w:lvl>
    <w:lvl w:ilvl="2" w:tplc="9F0071A8">
      <w:start w:val="1"/>
      <w:numFmt w:val="lowerRoman"/>
      <w:lvlText w:val="%3."/>
      <w:lvlJc w:val="right"/>
      <w:pPr>
        <w:ind w:left="2367" w:hanging="180"/>
      </w:pPr>
    </w:lvl>
    <w:lvl w:ilvl="3" w:tplc="D960B3E8">
      <w:start w:val="1"/>
      <w:numFmt w:val="decimal"/>
      <w:lvlText w:val="%4."/>
      <w:lvlJc w:val="left"/>
      <w:pPr>
        <w:ind w:left="3087" w:hanging="360"/>
      </w:pPr>
    </w:lvl>
    <w:lvl w:ilvl="4" w:tplc="63B6D46A">
      <w:start w:val="1"/>
      <w:numFmt w:val="lowerLetter"/>
      <w:lvlText w:val="%5."/>
      <w:lvlJc w:val="left"/>
      <w:pPr>
        <w:ind w:left="3807" w:hanging="360"/>
      </w:pPr>
    </w:lvl>
    <w:lvl w:ilvl="5" w:tplc="A6A45322">
      <w:start w:val="1"/>
      <w:numFmt w:val="lowerRoman"/>
      <w:lvlText w:val="%6."/>
      <w:lvlJc w:val="right"/>
      <w:pPr>
        <w:ind w:left="4527" w:hanging="180"/>
      </w:pPr>
    </w:lvl>
    <w:lvl w:ilvl="6" w:tplc="B9BC0112">
      <w:start w:val="1"/>
      <w:numFmt w:val="decimal"/>
      <w:lvlText w:val="%7."/>
      <w:lvlJc w:val="left"/>
      <w:pPr>
        <w:ind w:left="5247" w:hanging="360"/>
      </w:pPr>
    </w:lvl>
    <w:lvl w:ilvl="7" w:tplc="5BA099CC">
      <w:start w:val="1"/>
      <w:numFmt w:val="lowerLetter"/>
      <w:lvlText w:val="%8."/>
      <w:lvlJc w:val="left"/>
      <w:pPr>
        <w:ind w:left="5967" w:hanging="360"/>
      </w:pPr>
    </w:lvl>
    <w:lvl w:ilvl="8" w:tplc="8D207396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9039FD"/>
    <w:multiLevelType w:val="multilevel"/>
    <w:tmpl w:val="0D5E2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5" w15:restartNumberingAfterBreak="0">
    <w:nsid w:val="4D7F41DF"/>
    <w:multiLevelType w:val="hybridMultilevel"/>
    <w:tmpl w:val="9ECEAFF4"/>
    <w:lvl w:ilvl="0" w:tplc="A82C0F30">
      <w:start w:val="1"/>
      <w:numFmt w:val="decimal"/>
      <w:lvlText w:val="%1."/>
      <w:lvlJc w:val="left"/>
      <w:pPr>
        <w:ind w:left="720" w:hanging="360"/>
      </w:pPr>
    </w:lvl>
    <w:lvl w:ilvl="1" w:tplc="E8D4A25C">
      <w:start w:val="1"/>
      <w:numFmt w:val="lowerLetter"/>
      <w:lvlText w:val="%2."/>
      <w:lvlJc w:val="left"/>
      <w:pPr>
        <w:ind w:left="1440" w:hanging="360"/>
      </w:pPr>
    </w:lvl>
    <w:lvl w:ilvl="2" w:tplc="4C966C7E">
      <w:start w:val="1"/>
      <w:numFmt w:val="lowerRoman"/>
      <w:lvlText w:val="%3."/>
      <w:lvlJc w:val="right"/>
      <w:pPr>
        <w:ind w:left="2160" w:hanging="180"/>
      </w:pPr>
    </w:lvl>
    <w:lvl w:ilvl="3" w:tplc="9BB27586">
      <w:start w:val="1"/>
      <w:numFmt w:val="decimal"/>
      <w:lvlText w:val="%4."/>
      <w:lvlJc w:val="left"/>
      <w:pPr>
        <w:ind w:left="2880" w:hanging="360"/>
      </w:pPr>
    </w:lvl>
    <w:lvl w:ilvl="4" w:tplc="2CB8FE76">
      <w:start w:val="1"/>
      <w:numFmt w:val="lowerLetter"/>
      <w:lvlText w:val="%5."/>
      <w:lvlJc w:val="left"/>
      <w:pPr>
        <w:ind w:left="3600" w:hanging="360"/>
      </w:pPr>
    </w:lvl>
    <w:lvl w:ilvl="5" w:tplc="84A67918">
      <w:start w:val="1"/>
      <w:numFmt w:val="lowerRoman"/>
      <w:lvlText w:val="%6."/>
      <w:lvlJc w:val="right"/>
      <w:pPr>
        <w:ind w:left="4320" w:hanging="180"/>
      </w:pPr>
    </w:lvl>
    <w:lvl w:ilvl="6" w:tplc="1DCC9918">
      <w:start w:val="1"/>
      <w:numFmt w:val="decimal"/>
      <w:lvlText w:val="%7."/>
      <w:lvlJc w:val="left"/>
      <w:pPr>
        <w:ind w:left="5040" w:hanging="360"/>
      </w:pPr>
    </w:lvl>
    <w:lvl w:ilvl="7" w:tplc="DD3CC982">
      <w:start w:val="1"/>
      <w:numFmt w:val="lowerLetter"/>
      <w:lvlText w:val="%8."/>
      <w:lvlJc w:val="left"/>
      <w:pPr>
        <w:ind w:left="5760" w:hanging="360"/>
      </w:pPr>
    </w:lvl>
    <w:lvl w:ilvl="8" w:tplc="F5520D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E2B13"/>
    <w:multiLevelType w:val="hybridMultilevel"/>
    <w:tmpl w:val="46465F44"/>
    <w:lvl w:ilvl="0" w:tplc="43FA5BB6">
      <w:start w:val="1"/>
      <w:numFmt w:val="decimal"/>
      <w:lvlText w:val="%1."/>
      <w:lvlJc w:val="left"/>
      <w:pPr>
        <w:ind w:left="720" w:hanging="360"/>
      </w:pPr>
    </w:lvl>
    <w:lvl w:ilvl="1" w:tplc="C0EA7BC0">
      <w:start w:val="1"/>
      <w:numFmt w:val="lowerLetter"/>
      <w:lvlText w:val="%2."/>
      <w:lvlJc w:val="left"/>
      <w:pPr>
        <w:ind w:left="1440" w:hanging="360"/>
      </w:pPr>
    </w:lvl>
    <w:lvl w:ilvl="2" w:tplc="1BDC3D20">
      <w:start w:val="1"/>
      <w:numFmt w:val="lowerRoman"/>
      <w:lvlText w:val="%3."/>
      <w:lvlJc w:val="right"/>
      <w:pPr>
        <w:ind w:left="2160" w:hanging="180"/>
      </w:pPr>
    </w:lvl>
    <w:lvl w:ilvl="3" w:tplc="5C7A503A">
      <w:start w:val="1"/>
      <w:numFmt w:val="decimal"/>
      <w:lvlText w:val="%4."/>
      <w:lvlJc w:val="left"/>
      <w:pPr>
        <w:ind w:left="2880" w:hanging="360"/>
      </w:pPr>
    </w:lvl>
    <w:lvl w:ilvl="4" w:tplc="3EDCFB60">
      <w:start w:val="1"/>
      <w:numFmt w:val="lowerLetter"/>
      <w:lvlText w:val="%5."/>
      <w:lvlJc w:val="left"/>
      <w:pPr>
        <w:ind w:left="3600" w:hanging="360"/>
      </w:pPr>
    </w:lvl>
    <w:lvl w:ilvl="5" w:tplc="501E1DFE">
      <w:start w:val="1"/>
      <w:numFmt w:val="lowerRoman"/>
      <w:lvlText w:val="%6."/>
      <w:lvlJc w:val="right"/>
      <w:pPr>
        <w:ind w:left="4320" w:hanging="180"/>
      </w:pPr>
    </w:lvl>
    <w:lvl w:ilvl="6" w:tplc="02887026">
      <w:start w:val="1"/>
      <w:numFmt w:val="decimal"/>
      <w:lvlText w:val="%7."/>
      <w:lvlJc w:val="left"/>
      <w:pPr>
        <w:ind w:left="5040" w:hanging="360"/>
      </w:pPr>
    </w:lvl>
    <w:lvl w:ilvl="7" w:tplc="BCD241A4">
      <w:start w:val="1"/>
      <w:numFmt w:val="lowerLetter"/>
      <w:lvlText w:val="%8."/>
      <w:lvlJc w:val="left"/>
      <w:pPr>
        <w:ind w:left="5760" w:hanging="360"/>
      </w:pPr>
    </w:lvl>
    <w:lvl w:ilvl="8" w:tplc="A808CC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114A1"/>
    <w:multiLevelType w:val="hybridMultilevel"/>
    <w:tmpl w:val="13282ADE"/>
    <w:lvl w:ilvl="0" w:tplc="1026F4F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E698F6AA">
      <w:start w:val="1"/>
      <w:numFmt w:val="lowerLetter"/>
      <w:lvlText w:val="%2."/>
      <w:lvlJc w:val="left"/>
      <w:pPr>
        <w:ind w:left="1092" w:hanging="360"/>
      </w:pPr>
    </w:lvl>
    <w:lvl w:ilvl="2" w:tplc="63C6FFC0">
      <w:start w:val="1"/>
      <w:numFmt w:val="lowerRoman"/>
      <w:lvlText w:val="%3."/>
      <w:lvlJc w:val="right"/>
      <w:pPr>
        <w:ind w:left="1812" w:hanging="180"/>
      </w:pPr>
    </w:lvl>
    <w:lvl w:ilvl="3" w:tplc="0FBE71F2">
      <w:start w:val="1"/>
      <w:numFmt w:val="decimal"/>
      <w:lvlText w:val="%4."/>
      <w:lvlJc w:val="left"/>
      <w:pPr>
        <w:ind w:left="2532" w:hanging="360"/>
      </w:pPr>
    </w:lvl>
    <w:lvl w:ilvl="4" w:tplc="C5305622">
      <w:start w:val="1"/>
      <w:numFmt w:val="lowerLetter"/>
      <w:lvlText w:val="%5."/>
      <w:lvlJc w:val="left"/>
      <w:pPr>
        <w:ind w:left="3252" w:hanging="360"/>
      </w:pPr>
    </w:lvl>
    <w:lvl w:ilvl="5" w:tplc="E5906972">
      <w:start w:val="1"/>
      <w:numFmt w:val="lowerRoman"/>
      <w:lvlText w:val="%6."/>
      <w:lvlJc w:val="right"/>
      <w:pPr>
        <w:ind w:left="3972" w:hanging="180"/>
      </w:pPr>
    </w:lvl>
    <w:lvl w:ilvl="6" w:tplc="D50251DE">
      <w:start w:val="1"/>
      <w:numFmt w:val="decimal"/>
      <w:lvlText w:val="%7."/>
      <w:lvlJc w:val="left"/>
      <w:pPr>
        <w:ind w:left="4692" w:hanging="360"/>
      </w:pPr>
    </w:lvl>
    <w:lvl w:ilvl="7" w:tplc="40B6100A">
      <w:start w:val="1"/>
      <w:numFmt w:val="lowerLetter"/>
      <w:lvlText w:val="%8."/>
      <w:lvlJc w:val="left"/>
      <w:pPr>
        <w:ind w:left="5412" w:hanging="360"/>
      </w:pPr>
    </w:lvl>
    <w:lvl w:ilvl="8" w:tplc="8AFEC1CE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715D48D0"/>
    <w:multiLevelType w:val="multilevel"/>
    <w:tmpl w:val="313AC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2340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."/>
      <w:lvlJc w:val="left"/>
      <w:pPr>
        <w:ind w:left="4680" w:hanging="720"/>
      </w:pPr>
    </w:lvl>
    <w:lvl w:ilvl="3">
      <w:start w:val="1"/>
      <w:numFmt w:val="decimal"/>
      <w:lvlText w:val="%1.%2.%3.%4."/>
      <w:lvlJc w:val="left"/>
      <w:pPr>
        <w:ind w:left="6660" w:hanging="720"/>
      </w:pPr>
    </w:lvl>
    <w:lvl w:ilvl="4">
      <w:start w:val="1"/>
      <w:numFmt w:val="decimal"/>
      <w:lvlText w:val="%1.%2.%3.%4.%5."/>
      <w:lvlJc w:val="left"/>
      <w:pPr>
        <w:ind w:left="9000" w:hanging="1080"/>
      </w:pPr>
    </w:lvl>
    <w:lvl w:ilvl="5">
      <w:start w:val="1"/>
      <w:numFmt w:val="decimal"/>
      <w:lvlText w:val="%1.%2.%3.%4.%5.%6."/>
      <w:lvlJc w:val="left"/>
      <w:pPr>
        <w:ind w:left="10980" w:hanging="1080"/>
      </w:pPr>
    </w:lvl>
    <w:lvl w:ilvl="6">
      <w:start w:val="1"/>
      <w:numFmt w:val="decimal"/>
      <w:lvlText w:val="%1.%2.%3.%4.%5.%6.%7."/>
      <w:lvlJc w:val="left"/>
      <w:pPr>
        <w:ind w:left="13320" w:hanging="1440"/>
      </w:pPr>
    </w:lvl>
    <w:lvl w:ilvl="7">
      <w:start w:val="1"/>
      <w:numFmt w:val="decimal"/>
      <w:lvlText w:val="%1.%2.%3.%4.%5.%6.%7.%8."/>
      <w:lvlJc w:val="left"/>
      <w:pPr>
        <w:ind w:left="15300" w:hanging="1440"/>
      </w:pPr>
    </w:lvl>
    <w:lvl w:ilvl="8">
      <w:start w:val="1"/>
      <w:numFmt w:val="decimal"/>
      <w:lvlText w:val="%1.%2.%3.%4.%5.%6.%7.%8.%9."/>
      <w:lvlJc w:val="left"/>
      <w:pPr>
        <w:ind w:left="1764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07"/>
    <w:rsid w:val="002E3A3D"/>
    <w:rsid w:val="00440F07"/>
    <w:rsid w:val="00522D86"/>
    <w:rsid w:val="00715AE2"/>
    <w:rsid w:val="007B0394"/>
    <w:rsid w:val="00916732"/>
    <w:rsid w:val="00BA1B5C"/>
    <w:rsid w:val="00D427E3"/>
    <w:rsid w:val="00F5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995C6-AC0A-4BFF-B536-7792483B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qFormat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f7">
    <w:name w:val="Пункт"/>
    <w:basedOn w:val="a"/>
    <w:pPr>
      <w:tabs>
        <w:tab w:val="num" w:pos="1980"/>
      </w:tabs>
      <w:ind w:left="1404" w:hanging="504"/>
      <w:jc w:val="both"/>
    </w:pPr>
    <w:rPr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eastAsiaTheme="minorEastAsia"/>
      <w:sz w:val="20"/>
      <w:szCs w:val="20"/>
    </w:rPr>
  </w:style>
  <w:style w:type="character" w:customStyle="1" w:styleId="afb">
    <w:name w:val="Цветовое выделение"/>
    <w:rPr>
      <w:b/>
      <w:bCs/>
      <w:color w:val="26282F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d">
    <w:name w:val="Абзац списка Знак"/>
    <w:link w:val="afc"/>
    <w:uiPriority w:val="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qFormat/>
    <w:pPr>
      <w:spacing w:after="120"/>
    </w:pPr>
    <w:rPr>
      <w:rFonts w:eastAsia="SimSun, 宋体" w:cs="Mangal"/>
      <w:lang w:eastAsia="zh-CN" w:bidi="hi-IN"/>
    </w:rPr>
  </w:style>
  <w:style w:type="paragraph" w:customStyle="1" w:styleId="afe">
    <w:name w:val="Обычный с отступом"/>
    <w:basedOn w:val="a"/>
    <w:pPr>
      <w:spacing w:after="200" w:line="276" w:lineRule="auto"/>
      <w:ind w:firstLine="709"/>
      <w:jc w:val="both"/>
    </w:pPr>
    <w:rPr>
      <w:rFonts w:ascii="Calibri" w:hAnsi="Calibri"/>
      <w:sz w:val="22"/>
      <w:szCs w:val="20"/>
      <w:lang w:eastAsia="en-US" w:bidi="en-US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</w:style>
  <w:style w:type="paragraph" w:styleId="aff0">
    <w:name w:val="Body Text"/>
    <w:basedOn w:val="a"/>
    <w:link w:val="aff1"/>
    <w:semiHidden/>
    <w:pPr>
      <w:jc w:val="both"/>
    </w:pPr>
    <w:rPr>
      <w:lang w:eastAsia="ru-RU"/>
    </w:rPr>
  </w:style>
  <w:style w:type="character" w:customStyle="1" w:styleId="aff1">
    <w:name w:val="Основной текст Знак"/>
    <w:basedOn w:val="a0"/>
    <w:link w:val="aff0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Основной"/>
    <w:basedOn w:val="a"/>
    <w:pPr>
      <w:ind w:firstLine="540"/>
      <w:jc w:val="both"/>
    </w:pPr>
    <w:rPr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ff3">
    <w:name w:val="Strong"/>
    <w:basedOn w:val="a0"/>
    <w:uiPriority w:val="22"/>
    <w:qFormat/>
    <w:rPr>
      <w:b/>
      <w:bCs/>
    </w:rPr>
  </w:style>
  <w:style w:type="character" w:customStyle="1" w:styleId="aff4">
    <w:name w:val="Текст сноски Знак"/>
    <w:link w:val="aff5"/>
    <w:uiPriority w:val="99"/>
    <w:rPr>
      <w:rFonts w:cs="Times New Roman"/>
    </w:rPr>
  </w:style>
  <w:style w:type="paragraph" w:styleId="aff5">
    <w:name w:val="footnote text"/>
    <w:basedOn w:val="a"/>
    <w:link w:val="aff4"/>
    <w:uiPriority w:val="99"/>
    <w:pPr>
      <w:spacing w:after="160" w:line="240" w:lineRule="exact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13">
    <w:name w:val="Текст сноски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6">
    <w:name w:val="Hyperlink"/>
    <w:uiPriority w:val="99"/>
    <w:unhideWhenUsed/>
    <w:rPr>
      <w:color w:val="0000FF"/>
      <w:u w:val="single"/>
    </w:rPr>
  </w:style>
  <w:style w:type="character" w:customStyle="1" w:styleId="cardmaininfocontent">
    <w:name w:val="cardmaininfo__content"/>
    <w:basedOn w:val="a0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ff7">
    <w:name w:val="annotation subject"/>
    <w:basedOn w:val="af9"/>
    <w:next w:val="af9"/>
    <w:link w:val="aff8"/>
    <w:uiPriority w:val="99"/>
    <w:semiHidden/>
    <w:unhideWhenUsed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ff8">
    <w:name w:val="Тема примечания Знак"/>
    <w:basedOn w:val="afa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f9">
    <w:name w:val="Основной текст_"/>
    <w:basedOn w:val="a0"/>
    <w:link w:val="14"/>
    <w:rPr>
      <w:rFonts w:ascii="Verdana" w:eastAsia="Verdana" w:hAnsi="Verdana" w:cs="Verdana"/>
      <w:color w:val="221E1F"/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ff9"/>
    <w:pPr>
      <w:widowControl w:val="0"/>
      <w:shd w:val="clear" w:color="auto" w:fill="FFFFFF"/>
      <w:jc w:val="both"/>
    </w:pPr>
    <w:rPr>
      <w:rFonts w:ascii="Verdana" w:eastAsia="Verdana" w:hAnsi="Verdana" w:cs="Verdana"/>
      <w:color w:val="221E1F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W@crimea-energ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410D-018C-4982-8540-E3DC5B1E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Нагорная Татьяна Михайловна</cp:lastModifiedBy>
  <cp:revision>4</cp:revision>
  <dcterms:created xsi:type="dcterms:W3CDTF">2024-12-09T05:04:00Z</dcterms:created>
  <dcterms:modified xsi:type="dcterms:W3CDTF">2024-12-09T05:59:00Z</dcterms:modified>
</cp:coreProperties>
</file>