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97100D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91B" w14:textId="04BCE4E4" w:rsidR="0049583B" w:rsidRPr="003A21B2" w:rsidRDefault="0097100D" w:rsidP="00931E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335A58AB" w:rsidR="0049583B" w:rsidRPr="00F5419E" w:rsidRDefault="00F5419E" w:rsidP="00931E56">
            <w:pPr>
              <w:jc w:val="center"/>
              <w:rPr>
                <w:lang w:val="en-US"/>
              </w:rPr>
            </w:pPr>
            <w:r w:rsidRPr="00F5419E">
              <w:t>Сетевая</w:t>
            </w:r>
            <w:r w:rsidRPr="00F5419E">
              <w:rPr>
                <w:lang w:val="en-US"/>
              </w:rPr>
              <w:t xml:space="preserve"> </w:t>
            </w:r>
            <w:r w:rsidRPr="00F5419E">
              <w:t>карта</w:t>
            </w:r>
            <w:r w:rsidRPr="00F5419E">
              <w:rPr>
                <w:lang w:val="en-US"/>
              </w:rPr>
              <w:t xml:space="preserve"> LR-LINK &lt;LREC9812AF-2SFP+&gt;Dual SFP+ Port Fiber 10 Gigabit Server Adapter PCI-Ex8 (2SFP+ 10Gbps)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37B9730B" w:rsidR="0049583B" w:rsidRPr="003A21B2" w:rsidRDefault="0097100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36B3F" w14:textId="77777777" w:rsidR="00F5419E" w:rsidRPr="00F5419E" w:rsidRDefault="00F5419E" w:rsidP="00F5419E">
            <w:pPr>
              <w:rPr>
                <w:lang w:val="en-US"/>
              </w:rPr>
            </w:pPr>
            <w:r w:rsidRPr="00F5419E">
              <w:rPr>
                <w:lang w:val="en-US"/>
              </w:rPr>
              <w:t>LR-LINK</w:t>
            </w:r>
          </w:p>
          <w:p w14:paraId="30C5FF05" w14:textId="77777777" w:rsidR="00F5419E" w:rsidRPr="00F5419E" w:rsidRDefault="00F5419E" w:rsidP="00F5419E">
            <w:pPr>
              <w:rPr>
                <w:lang w:val="en-US"/>
              </w:rPr>
            </w:pPr>
            <w:r>
              <w:t>Модель</w:t>
            </w:r>
          </w:p>
          <w:p w14:paraId="36D51FF5" w14:textId="77777777" w:rsidR="00F5419E" w:rsidRPr="00F5419E" w:rsidRDefault="00F5419E" w:rsidP="00F5419E">
            <w:pPr>
              <w:rPr>
                <w:lang w:val="en-US"/>
              </w:rPr>
            </w:pPr>
            <w:r w:rsidRPr="00F5419E">
              <w:rPr>
                <w:lang w:val="en-US"/>
              </w:rPr>
              <w:t>LREC9812AF-2SFP+</w:t>
            </w:r>
          </w:p>
          <w:p w14:paraId="2937DC3D" w14:textId="77777777" w:rsidR="00F5419E" w:rsidRDefault="00F5419E" w:rsidP="00F5419E">
            <w:r>
              <w:t>Тип оборудования</w:t>
            </w:r>
          </w:p>
          <w:p w14:paraId="6F06AD38" w14:textId="503531AB" w:rsidR="00F5419E" w:rsidRDefault="00F5419E" w:rsidP="00F5419E">
            <w:r>
              <w:t>Сетевая карта 10 Гбит/с</w:t>
            </w:r>
          </w:p>
          <w:p w14:paraId="6E303587" w14:textId="77777777" w:rsidR="00F5419E" w:rsidRDefault="00F5419E" w:rsidP="00F5419E">
            <w:r>
              <w:t>Пропускная способность</w:t>
            </w:r>
          </w:p>
          <w:p w14:paraId="4A82635E" w14:textId="77777777" w:rsidR="00F5419E" w:rsidRDefault="00F5419E" w:rsidP="00F5419E">
            <w:r>
              <w:t>20 Гбит/с</w:t>
            </w:r>
          </w:p>
          <w:p w14:paraId="072AF993" w14:textId="77777777" w:rsidR="00F5419E" w:rsidRDefault="00F5419E" w:rsidP="00F5419E">
            <w:r>
              <w:t>Загрузка по сети</w:t>
            </w:r>
          </w:p>
          <w:p w14:paraId="16B52983" w14:textId="77777777" w:rsidR="00F5419E" w:rsidRDefault="00F5419E" w:rsidP="00F5419E">
            <w:proofErr w:type="spellStart"/>
            <w:r>
              <w:t>iSCSI</w:t>
            </w:r>
            <w:proofErr w:type="spellEnd"/>
            <w:r>
              <w:t>, PXE</w:t>
            </w:r>
          </w:p>
          <w:p w14:paraId="3F064767" w14:textId="77777777" w:rsidR="00F5419E" w:rsidRDefault="00F5419E" w:rsidP="00F5419E">
            <w:r>
              <w:t>Поддержка ОС</w:t>
            </w:r>
          </w:p>
          <w:p w14:paraId="34196B08" w14:textId="6EEE18D3" w:rsidR="00E83D43" w:rsidRPr="001829B0" w:rsidRDefault="00F5419E" w:rsidP="00F5419E">
            <w:r w:rsidRPr="00F5419E">
              <w:rPr>
                <w:lang w:val="en-US"/>
              </w:rPr>
              <w:t>Windows</w:t>
            </w:r>
            <w:r w:rsidRPr="001829B0">
              <w:t xml:space="preserve"> 10,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8.1,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8,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7,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</w:t>
            </w:r>
            <w:r w:rsidRPr="00F5419E">
              <w:rPr>
                <w:lang w:val="en-US"/>
              </w:rPr>
              <w:t>XP</w:t>
            </w:r>
            <w:r w:rsidRPr="001829B0">
              <w:t xml:space="preserve">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</w:t>
            </w:r>
            <w:r w:rsidRPr="00F5419E">
              <w:rPr>
                <w:lang w:val="en-US"/>
              </w:rPr>
              <w:t>Server</w:t>
            </w:r>
            <w:r w:rsidRPr="001829B0">
              <w:t xml:space="preserve"> 2012 </w:t>
            </w:r>
            <w:r w:rsidRPr="00F5419E">
              <w:rPr>
                <w:lang w:val="en-US"/>
              </w:rPr>
              <w:t>R</w:t>
            </w:r>
            <w:r w:rsidRPr="001829B0">
              <w:t xml:space="preserve">2,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</w:t>
            </w:r>
            <w:r w:rsidRPr="00F5419E">
              <w:rPr>
                <w:lang w:val="en-US"/>
              </w:rPr>
              <w:t>Server</w:t>
            </w:r>
            <w:r w:rsidRPr="001829B0">
              <w:t xml:space="preserve"> 2012,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</w:t>
            </w:r>
            <w:r w:rsidRPr="00F5419E">
              <w:rPr>
                <w:lang w:val="en-US"/>
              </w:rPr>
              <w:t>Server</w:t>
            </w:r>
            <w:r w:rsidRPr="001829B0">
              <w:t xml:space="preserve"> 2008 </w:t>
            </w:r>
            <w:r w:rsidRPr="00F5419E">
              <w:rPr>
                <w:lang w:val="en-US"/>
              </w:rPr>
              <w:t>R</w:t>
            </w:r>
            <w:r w:rsidRPr="001829B0">
              <w:t xml:space="preserve">2,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</w:t>
            </w:r>
            <w:r w:rsidRPr="00F5419E">
              <w:rPr>
                <w:lang w:val="en-US"/>
              </w:rPr>
              <w:t>Server</w:t>
            </w:r>
            <w:r w:rsidRPr="001829B0">
              <w:t xml:space="preserve"> 2008, </w:t>
            </w:r>
            <w:r w:rsidRPr="00F5419E">
              <w:rPr>
                <w:lang w:val="en-US"/>
              </w:rPr>
              <w:t>Windows</w:t>
            </w:r>
            <w:r w:rsidRPr="001829B0">
              <w:t xml:space="preserve"> </w:t>
            </w:r>
            <w:r w:rsidRPr="00F5419E">
              <w:rPr>
                <w:lang w:val="en-US"/>
              </w:rPr>
              <w:t>Server</w:t>
            </w:r>
            <w:r w:rsidRPr="001829B0">
              <w:t xml:space="preserve"> 2003, </w:t>
            </w:r>
            <w:r w:rsidRPr="00F5419E">
              <w:rPr>
                <w:lang w:val="en-US"/>
              </w:rPr>
              <w:t>DOS</w:t>
            </w:r>
            <w:r w:rsidRPr="001829B0">
              <w:t xml:space="preserve">, </w:t>
            </w:r>
            <w:r w:rsidRPr="00F5419E">
              <w:rPr>
                <w:lang w:val="en-US"/>
              </w:rPr>
              <w:t>Linux</w:t>
            </w:r>
            <w:r w:rsidRPr="001829B0">
              <w:t xml:space="preserve">, </w:t>
            </w:r>
            <w:r w:rsidRPr="00F5419E">
              <w:rPr>
                <w:lang w:val="en-US"/>
              </w:rPr>
              <w:t>FreeBSD</w:t>
            </w:r>
            <w:r w:rsidRPr="001829B0">
              <w:t xml:space="preserve"> 7, </w:t>
            </w:r>
            <w:r w:rsidRPr="00F5419E">
              <w:rPr>
                <w:lang w:val="en-US"/>
              </w:rPr>
              <w:t>UNIX</w:t>
            </w:r>
            <w:r w:rsidRPr="001829B0">
              <w:t xml:space="preserve">, </w:t>
            </w:r>
            <w:r w:rsidRPr="00F5419E">
              <w:rPr>
                <w:lang w:val="en-US"/>
              </w:rPr>
              <w:t>Sun</w:t>
            </w:r>
            <w:r w:rsidRPr="001829B0">
              <w:t xml:space="preserve"> </w:t>
            </w:r>
            <w:r w:rsidRPr="00F5419E">
              <w:rPr>
                <w:lang w:val="en-US"/>
              </w:rPr>
              <w:t>Solaris</w:t>
            </w:r>
            <w:r w:rsidRPr="001829B0">
              <w:t xml:space="preserve"> 11, </w:t>
            </w:r>
            <w:r w:rsidRPr="00F5419E">
              <w:rPr>
                <w:lang w:val="en-US"/>
              </w:rPr>
              <w:t>Sun</w:t>
            </w:r>
            <w:r w:rsidRPr="001829B0">
              <w:t xml:space="preserve"> </w:t>
            </w:r>
            <w:r w:rsidRPr="00F5419E">
              <w:rPr>
                <w:lang w:val="en-US"/>
              </w:rPr>
              <w:t>Solaris</w:t>
            </w:r>
            <w:r w:rsidRPr="001829B0">
              <w:t xml:space="preserve"> 10, </w:t>
            </w:r>
            <w:r w:rsidRPr="00F5419E">
              <w:rPr>
                <w:lang w:val="en-US"/>
              </w:rPr>
              <w:t>Sun</w:t>
            </w:r>
            <w:r w:rsidRPr="001829B0">
              <w:t xml:space="preserve"> </w:t>
            </w:r>
            <w:r w:rsidRPr="00F5419E">
              <w:rPr>
                <w:lang w:val="en-US"/>
              </w:rPr>
              <w:t>Solaris</w:t>
            </w:r>
            <w:r w:rsidRPr="001829B0">
              <w:t xml:space="preserve"> 9,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7.0,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6.7</w:t>
            </w:r>
            <w:r w:rsidRPr="00F5419E">
              <w:rPr>
                <w:lang w:val="en-US"/>
              </w:rPr>
              <w:t>U</w:t>
            </w:r>
            <w:r w:rsidRPr="001829B0">
              <w:t xml:space="preserve">3,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6.7</w:t>
            </w:r>
            <w:r w:rsidRPr="00F5419E">
              <w:rPr>
                <w:lang w:val="en-US"/>
              </w:rPr>
              <w:t>U</w:t>
            </w:r>
            <w:r w:rsidRPr="001829B0">
              <w:t xml:space="preserve">2,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6.7</w:t>
            </w:r>
            <w:r w:rsidRPr="00F5419E">
              <w:rPr>
                <w:lang w:val="en-US"/>
              </w:rPr>
              <w:t>U</w:t>
            </w:r>
            <w:r w:rsidRPr="001829B0">
              <w:t xml:space="preserve">1,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6.7,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6.5</w:t>
            </w:r>
            <w:r w:rsidRPr="00F5419E">
              <w:rPr>
                <w:lang w:val="en-US"/>
              </w:rPr>
              <w:t>U</w:t>
            </w:r>
            <w:r w:rsidRPr="001829B0">
              <w:t xml:space="preserve">3,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6.5</w:t>
            </w:r>
            <w:r w:rsidRPr="00F5419E">
              <w:rPr>
                <w:lang w:val="en-US"/>
              </w:rPr>
              <w:t>U</w:t>
            </w:r>
            <w:r w:rsidRPr="001829B0">
              <w:t xml:space="preserve">2,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6.5</w:t>
            </w:r>
            <w:r w:rsidRPr="00F5419E">
              <w:rPr>
                <w:lang w:val="en-US"/>
              </w:rPr>
              <w:t>U</w:t>
            </w:r>
            <w:r w:rsidRPr="001829B0">
              <w:t xml:space="preserve">1,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6.5,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6.0</w:t>
            </w:r>
            <w:r w:rsidRPr="00F5419E">
              <w:rPr>
                <w:lang w:val="en-US"/>
              </w:rPr>
              <w:t>U</w:t>
            </w:r>
            <w:r w:rsidRPr="001829B0">
              <w:t xml:space="preserve">3,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6.0</w:t>
            </w:r>
            <w:r w:rsidRPr="00F5419E">
              <w:rPr>
                <w:lang w:val="en-US"/>
              </w:rPr>
              <w:t>U</w:t>
            </w:r>
            <w:r w:rsidRPr="001829B0">
              <w:t xml:space="preserve">1,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6.0,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5.5</w:t>
            </w:r>
            <w:r w:rsidRPr="00F5419E">
              <w:rPr>
                <w:lang w:val="en-US"/>
              </w:rPr>
              <w:t>U</w:t>
            </w:r>
            <w:r w:rsidRPr="001829B0">
              <w:t xml:space="preserve">2,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5.5,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5.1, </w:t>
            </w:r>
            <w:r w:rsidRPr="00F5419E">
              <w:rPr>
                <w:lang w:val="en-US"/>
              </w:rPr>
              <w:t>VMware</w:t>
            </w:r>
            <w:r w:rsidRPr="001829B0">
              <w:t xml:space="preserve"> </w:t>
            </w:r>
            <w:proofErr w:type="spellStart"/>
            <w:r w:rsidRPr="00F5419E">
              <w:rPr>
                <w:lang w:val="en-US"/>
              </w:rPr>
              <w:t>ESXi</w:t>
            </w:r>
            <w:proofErr w:type="spellEnd"/>
            <w:r w:rsidRPr="001829B0">
              <w:t xml:space="preserve"> 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7F7915DA" w:rsidR="0049583B" w:rsidRPr="00F5419E" w:rsidRDefault="00F5419E" w:rsidP="00931E5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C71" w14:textId="77777777" w:rsidR="0097100D" w:rsidRDefault="0097100D" w:rsidP="0097100D">
            <w:pPr>
              <w:jc w:val="center"/>
            </w:pPr>
          </w:p>
          <w:p w14:paraId="0C33BF9A" w14:textId="77777777" w:rsidR="0097100D" w:rsidRDefault="0097100D" w:rsidP="0097100D">
            <w:pPr>
              <w:jc w:val="center"/>
            </w:pPr>
          </w:p>
          <w:p w14:paraId="121ECDD4" w14:textId="77777777" w:rsidR="0097100D" w:rsidRDefault="0097100D" w:rsidP="0097100D">
            <w:pPr>
              <w:jc w:val="center"/>
            </w:pPr>
          </w:p>
          <w:p w14:paraId="015F80C4" w14:textId="77777777" w:rsidR="0097100D" w:rsidRDefault="0097100D" w:rsidP="0097100D">
            <w:pPr>
              <w:jc w:val="center"/>
            </w:pPr>
          </w:p>
          <w:p w14:paraId="4BB124BD" w14:textId="77777777" w:rsidR="0097100D" w:rsidRDefault="0097100D" w:rsidP="0097100D">
            <w:pPr>
              <w:jc w:val="center"/>
            </w:pPr>
          </w:p>
          <w:p w14:paraId="29CFE2F2" w14:textId="77777777" w:rsidR="0097100D" w:rsidRDefault="0097100D" w:rsidP="0097100D">
            <w:pPr>
              <w:jc w:val="center"/>
            </w:pPr>
          </w:p>
          <w:p w14:paraId="30B84BED" w14:textId="77777777" w:rsidR="0097100D" w:rsidRDefault="0097100D" w:rsidP="0097100D">
            <w:pPr>
              <w:jc w:val="center"/>
            </w:pPr>
          </w:p>
          <w:p w14:paraId="6DFBBC5C" w14:textId="77777777" w:rsidR="0097100D" w:rsidRDefault="0097100D" w:rsidP="0097100D">
            <w:pPr>
              <w:jc w:val="center"/>
            </w:pPr>
          </w:p>
          <w:p w14:paraId="61AAA09A" w14:textId="77777777" w:rsidR="0097100D" w:rsidRDefault="0097100D" w:rsidP="0097100D">
            <w:pPr>
              <w:jc w:val="center"/>
            </w:pPr>
          </w:p>
          <w:p w14:paraId="05F45094" w14:textId="6D75F7A7" w:rsidR="0049583B" w:rsidRPr="003A21B2" w:rsidRDefault="0097100D" w:rsidP="0097100D">
            <w:pPr>
              <w:jc w:val="center"/>
            </w:pPr>
            <w:r>
              <w:t>нет</w:t>
            </w:r>
          </w:p>
        </w:tc>
      </w:tr>
      <w:tr w:rsidR="002E6C51" w:rsidRPr="002E6C51" w14:paraId="45DB1CBD" w14:textId="77777777" w:rsidTr="0097100D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526" w14:textId="3CD69CE0" w:rsidR="002E6C51" w:rsidRPr="002E6C51" w:rsidRDefault="002E6C51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DABD3" w14:textId="78494098" w:rsidR="002E6C51" w:rsidRPr="00F5419E" w:rsidRDefault="00F5419E" w:rsidP="00931E56">
            <w:pPr>
              <w:jc w:val="center"/>
              <w:rPr>
                <w:lang w:val="en-US"/>
              </w:rPr>
            </w:pPr>
            <w:r w:rsidRPr="00F5419E">
              <w:t>Процессор</w:t>
            </w:r>
            <w:r w:rsidRPr="00F5419E">
              <w:rPr>
                <w:lang w:val="en-US"/>
              </w:rPr>
              <w:t xml:space="preserve"> CPU Intel Xeon E5-2699 V4 2.2 GHz/22core/5.5+55Mb/145W/9.6GT/s LGA2011-3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A043" w14:textId="0E3A0576" w:rsidR="002E6C51" w:rsidRPr="009354EF" w:rsidRDefault="009354EF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37C58" w14:textId="77777777" w:rsidR="00F5419E" w:rsidRPr="001829B0" w:rsidRDefault="00F5419E" w:rsidP="00F5419E">
            <w:pPr>
              <w:rPr>
                <w:lang w:val="en-US"/>
              </w:rPr>
            </w:pPr>
            <w:r w:rsidRPr="001829B0">
              <w:rPr>
                <w:lang w:val="en-US"/>
              </w:rPr>
              <w:t>Intel</w:t>
            </w:r>
          </w:p>
          <w:p w14:paraId="48A6EC81" w14:textId="72BCB3A1" w:rsidR="00F5419E" w:rsidRPr="001829B0" w:rsidRDefault="00F5419E" w:rsidP="00F5419E">
            <w:pPr>
              <w:rPr>
                <w:lang w:val="en-US"/>
              </w:rPr>
            </w:pPr>
            <w:r>
              <w:t>Модель</w:t>
            </w:r>
            <w:r w:rsidR="00D977C4" w:rsidRPr="001829B0">
              <w:rPr>
                <w:lang w:val="en-US"/>
              </w:rPr>
              <w:t xml:space="preserve"> </w:t>
            </w:r>
            <w:r w:rsidRPr="001829B0">
              <w:rPr>
                <w:lang w:val="en-US"/>
              </w:rPr>
              <w:t>Xeon E5 2699 V4</w:t>
            </w:r>
          </w:p>
          <w:p w14:paraId="1A6C6529" w14:textId="67F1D43A" w:rsidR="00F5419E" w:rsidRPr="00D977C4" w:rsidRDefault="00F5419E" w:rsidP="00F5419E">
            <w:pPr>
              <w:rPr>
                <w:lang w:val="en-US"/>
              </w:rPr>
            </w:pPr>
            <w:r>
              <w:t>Гнездо</w:t>
            </w:r>
            <w:r w:rsidRPr="00F5419E">
              <w:rPr>
                <w:lang w:val="en-US"/>
              </w:rPr>
              <w:t xml:space="preserve"> </w:t>
            </w:r>
            <w:r>
              <w:t>процессора</w:t>
            </w:r>
            <w:r w:rsidR="00D977C4" w:rsidRPr="00D977C4">
              <w:rPr>
                <w:lang w:val="en-US"/>
              </w:rPr>
              <w:t xml:space="preserve"> </w:t>
            </w:r>
            <w:r w:rsidRPr="00F5419E">
              <w:rPr>
                <w:lang w:val="en-US"/>
              </w:rPr>
              <w:t>Socket LGA2011-3 Square ILM, Socket LGA2011-3 Narrow ILM</w:t>
            </w:r>
          </w:p>
          <w:p w14:paraId="5FA6DC8D" w14:textId="0124B624" w:rsidR="00F5419E" w:rsidRDefault="00F5419E" w:rsidP="00F5419E">
            <w:r>
              <w:t>Тип оборудования</w:t>
            </w:r>
            <w:r w:rsidR="00D977C4">
              <w:t xml:space="preserve"> </w:t>
            </w:r>
            <w:r>
              <w:t>Серверный процессор</w:t>
            </w:r>
          </w:p>
          <w:p w14:paraId="1F67EE55" w14:textId="77777777" w:rsidR="00F5419E" w:rsidRDefault="00F5419E" w:rsidP="00F5419E">
            <w:r>
              <w:t>Поддерживаемые технологии</w:t>
            </w:r>
          </w:p>
          <w:p w14:paraId="11D3A2BC" w14:textId="5A4FE681" w:rsidR="00F5419E" w:rsidRPr="00D977C4" w:rsidRDefault="00F5419E" w:rsidP="00F5419E">
            <w:pPr>
              <w:rPr>
                <w:lang w:val="en-US"/>
              </w:rPr>
            </w:pPr>
            <w:r w:rsidRPr="00F5419E">
              <w:rPr>
                <w:lang w:val="en-US"/>
              </w:rPr>
              <w:t xml:space="preserve">Enhanced Intel </w:t>
            </w:r>
            <w:proofErr w:type="spellStart"/>
            <w:r w:rsidRPr="00F5419E">
              <w:rPr>
                <w:lang w:val="en-US"/>
              </w:rPr>
              <w:t>Speedstep</w:t>
            </w:r>
            <w:proofErr w:type="spellEnd"/>
            <w:r w:rsidRPr="00F5419E">
              <w:rPr>
                <w:lang w:val="en-US"/>
              </w:rPr>
              <w:t xml:space="preserve"> Technology, Extended Memory 64 technology (EM64T), F16C (16-bit Floating-Point conversion instructions), Intel Trusted Execution Technology (TXT), Intel TSX-NI, Intel Virtualization Technology (VT-x), Intel Virtualization Technology for Directed I/O (VT-d), Intel </w:t>
            </w:r>
            <w:proofErr w:type="spellStart"/>
            <w:r w:rsidRPr="00F5419E">
              <w:rPr>
                <w:lang w:val="en-US"/>
              </w:rPr>
              <w:t>vPro</w:t>
            </w:r>
            <w:proofErr w:type="spellEnd"/>
            <w:r w:rsidRPr="00F5419E">
              <w:rPr>
                <w:lang w:val="en-US"/>
              </w:rPr>
              <w:t xml:space="preserve"> Technology, Intel VT-x </w:t>
            </w:r>
            <w:r>
              <w:t>с</w:t>
            </w:r>
            <w:r w:rsidRPr="00F5419E">
              <w:rPr>
                <w:lang w:val="en-US"/>
              </w:rPr>
              <w:t xml:space="preserve"> </w:t>
            </w:r>
            <w:r>
              <w:t>таблицами</w:t>
            </w:r>
            <w:r w:rsidRPr="00F5419E">
              <w:rPr>
                <w:lang w:val="en-US"/>
              </w:rPr>
              <w:t xml:space="preserve"> Extended Page Tables (EPT), NX / XD / Execute disable bit, Thermal Monitoring Technologies, Transactional Synchronization Extensions (TSX), </w:t>
            </w:r>
            <w:r>
              <w:t>Аппаратное</w:t>
            </w:r>
            <w:r w:rsidRPr="00F5419E">
              <w:rPr>
                <w:lang w:val="en-US"/>
              </w:rPr>
              <w:t xml:space="preserve"> </w:t>
            </w:r>
            <w:r>
              <w:t>ускорение</w:t>
            </w:r>
            <w:r w:rsidRPr="00F5419E">
              <w:rPr>
                <w:lang w:val="en-US"/>
              </w:rPr>
              <w:t xml:space="preserve"> </w:t>
            </w:r>
            <w:r>
              <w:t>шифрования</w:t>
            </w:r>
            <w:r w:rsidRPr="00F5419E">
              <w:rPr>
                <w:lang w:val="en-US"/>
              </w:rPr>
              <w:t xml:space="preserve"> AES, </w:t>
            </w:r>
            <w:r>
              <w:t>Набор</w:t>
            </w:r>
            <w:r w:rsidRPr="00F5419E">
              <w:rPr>
                <w:lang w:val="en-US"/>
              </w:rPr>
              <w:t xml:space="preserve"> </w:t>
            </w:r>
            <w:r>
              <w:t>инструкций</w:t>
            </w:r>
            <w:r w:rsidRPr="00F5419E">
              <w:rPr>
                <w:lang w:val="en-US"/>
              </w:rPr>
              <w:t xml:space="preserve">: BMI, BMI1 + BMI2 (Bit Manipulation instructions), </w:t>
            </w:r>
            <w:r>
              <w:t>Набор</w:t>
            </w:r>
            <w:r w:rsidRPr="00F5419E">
              <w:rPr>
                <w:lang w:val="en-US"/>
              </w:rPr>
              <w:t xml:space="preserve"> </w:t>
            </w:r>
            <w:r>
              <w:t>инструкций</w:t>
            </w:r>
            <w:r w:rsidRPr="00F5419E">
              <w:rPr>
                <w:lang w:val="en-US"/>
              </w:rPr>
              <w:t xml:space="preserve">: FMA3, 3-operand Fused Multiply-Add, </w:t>
            </w:r>
            <w:r>
              <w:t>наборы</w:t>
            </w:r>
            <w:r w:rsidRPr="00F5419E">
              <w:rPr>
                <w:lang w:val="en-US"/>
              </w:rPr>
              <w:t xml:space="preserve"> </w:t>
            </w:r>
            <w:r>
              <w:t>инструкций</w:t>
            </w:r>
            <w:r w:rsidRPr="00F5419E">
              <w:rPr>
                <w:lang w:val="en-US"/>
              </w:rPr>
              <w:t xml:space="preserve">: SSE, SSE2, SSE3, SSE4.1, </w:t>
            </w:r>
            <w:r>
              <w:t>наборы</w:t>
            </w:r>
            <w:r w:rsidRPr="00F5419E">
              <w:rPr>
                <w:lang w:val="en-US"/>
              </w:rPr>
              <w:t xml:space="preserve"> </w:t>
            </w:r>
            <w:r>
              <w:t>инструкций</w:t>
            </w:r>
            <w:r w:rsidRPr="00F5419E">
              <w:rPr>
                <w:lang w:val="en-US"/>
              </w:rPr>
              <w:t xml:space="preserve">: SSE, SSE2, SSE3, SSE4.2, </w:t>
            </w:r>
            <w:r>
              <w:t>расширения</w:t>
            </w:r>
            <w:r w:rsidRPr="00F5419E">
              <w:rPr>
                <w:lang w:val="en-US"/>
              </w:rPr>
              <w:t xml:space="preserve"> AVX, </w:t>
            </w:r>
            <w:r>
              <w:t>расширения</w:t>
            </w:r>
            <w:r w:rsidRPr="00F5419E">
              <w:rPr>
                <w:lang w:val="en-US"/>
              </w:rPr>
              <w:t xml:space="preserve"> AVX 2.0</w:t>
            </w:r>
          </w:p>
          <w:p w14:paraId="7F16BD4A" w14:textId="77777777" w:rsidR="00F5419E" w:rsidRDefault="00F5419E" w:rsidP="00F5419E">
            <w:r>
              <w:t>Назначение</w:t>
            </w:r>
          </w:p>
          <w:p w14:paraId="1EA1DF51" w14:textId="2668CC86" w:rsidR="002E6C51" w:rsidRPr="002E6C51" w:rsidRDefault="00F5419E" w:rsidP="00F5419E">
            <w:r>
              <w:t>Сервер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EA03" w14:textId="146BD150" w:rsidR="002E6C51" w:rsidRPr="009354EF" w:rsidRDefault="009354EF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8CA" w14:textId="11AD2589" w:rsidR="002E6C51" w:rsidRPr="009354EF" w:rsidRDefault="00D977C4" w:rsidP="0097100D">
            <w:pPr>
              <w:jc w:val="center"/>
            </w:pPr>
            <w:r>
              <w:t>нет</w:t>
            </w:r>
          </w:p>
        </w:tc>
      </w:tr>
      <w:tr w:rsidR="009354EF" w:rsidRPr="009354EF" w14:paraId="25FA045F" w14:textId="77777777" w:rsidTr="0097100D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C571" w14:textId="4B2632B8" w:rsidR="009354EF" w:rsidRPr="009354EF" w:rsidRDefault="009354EF" w:rsidP="00931E56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3E03" w14:textId="43DE8878" w:rsidR="009354EF" w:rsidRPr="00542917" w:rsidRDefault="009354EF" w:rsidP="00931E56">
            <w:pPr>
              <w:jc w:val="center"/>
            </w:pPr>
            <w:r w:rsidRPr="00542917">
              <w:t xml:space="preserve">240 </w:t>
            </w:r>
            <w:r w:rsidRPr="009354EF">
              <w:t>ГБ</w:t>
            </w:r>
            <w:r w:rsidRPr="00542917">
              <w:t xml:space="preserve"> </w:t>
            </w:r>
            <w:r w:rsidRPr="009354EF">
              <w:t>Серверный</w:t>
            </w:r>
            <w:r w:rsidRPr="00542917">
              <w:t xml:space="preserve"> </w:t>
            </w:r>
            <w:r w:rsidRPr="009354EF">
              <w:rPr>
                <w:lang w:val="en-US"/>
              </w:rPr>
              <w:t>SSD</w:t>
            </w:r>
            <w:r w:rsidRPr="00542917">
              <w:t xml:space="preserve"> </w:t>
            </w:r>
            <w:r w:rsidRPr="009354EF">
              <w:t>накопитель</w:t>
            </w:r>
            <w:r w:rsidRPr="00542917">
              <w:t xml:space="preserve"> </w:t>
            </w:r>
            <w:r w:rsidRPr="009354EF">
              <w:rPr>
                <w:lang w:val="en-US"/>
              </w:rPr>
              <w:t>Samsung</w:t>
            </w:r>
            <w:r w:rsidRPr="00542917">
              <w:t xml:space="preserve"> </w:t>
            </w:r>
            <w:r w:rsidRPr="009354EF">
              <w:rPr>
                <w:lang w:val="en-US"/>
              </w:rPr>
              <w:t>PM</w:t>
            </w:r>
            <w:r w:rsidRPr="00542917">
              <w:t>893 [</w:t>
            </w:r>
            <w:r w:rsidRPr="009354EF">
              <w:rPr>
                <w:lang w:val="en-US"/>
              </w:rPr>
              <w:t>MZ</w:t>
            </w:r>
            <w:r w:rsidRPr="00542917">
              <w:t>7</w:t>
            </w:r>
            <w:r w:rsidRPr="009354EF">
              <w:rPr>
                <w:lang w:val="en-US"/>
              </w:rPr>
              <w:t>L</w:t>
            </w:r>
            <w:r w:rsidRPr="00542917">
              <w:t>3240</w:t>
            </w:r>
            <w:r w:rsidRPr="009354EF">
              <w:rPr>
                <w:lang w:val="en-US"/>
              </w:rPr>
              <w:t>HCHQ</w:t>
            </w:r>
            <w:r w:rsidRPr="00542917">
              <w:t>-00</w:t>
            </w:r>
            <w:r w:rsidRPr="009354EF">
              <w:rPr>
                <w:lang w:val="en-US"/>
              </w:rPr>
              <w:t>A</w:t>
            </w:r>
            <w:r w:rsidRPr="00542917">
              <w:t>07]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019D" w14:textId="072BF5E9" w:rsidR="009354EF" w:rsidRPr="009354EF" w:rsidRDefault="009354EF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295B6" w14:textId="2C408984" w:rsidR="009354EF" w:rsidRPr="009354EF" w:rsidRDefault="009354EF" w:rsidP="002E6C51">
            <w:r w:rsidRPr="009354EF">
              <w:rPr>
                <w:lang w:val="en-US"/>
              </w:rPr>
              <w:t>SATA</w:t>
            </w:r>
            <w:r w:rsidRPr="009354EF">
              <w:t xml:space="preserve"> </w:t>
            </w:r>
            <w:r w:rsidRPr="009354EF">
              <w:rPr>
                <w:lang w:val="en-US"/>
              </w:rPr>
              <w:t>III</w:t>
            </w:r>
            <w:r w:rsidRPr="009354EF">
              <w:t>, чтение - 550 Мбайт/сек, 3</w:t>
            </w:r>
            <w:r w:rsidRPr="009354EF">
              <w:rPr>
                <w:lang w:val="en-US"/>
              </w:rPr>
              <w:t>D</w:t>
            </w:r>
            <w:r w:rsidRPr="009354EF">
              <w:t xml:space="preserve"> </w:t>
            </w:r>
            <w:r w:rsidRPr="009354EF">
              <w:rPr>
                <w:lang w:val="en-US"/>
              </w:rPr>
              <w:t>NAND</w:t>
            </w:r>
            <w:r w:rsidRPr="009354EF">
              <w:t xml:space="preserve"> 3 бит </w:t>
            </w:r>
            <w:r w:rsidRPr="009354EF">
              <w:rPr>
                <w:lang w:val="en-US"/>
              </w:rPr>
              <w:t>MLC</w:t>
            </w:r>
            <w:r w:rsidRPr="009354EF">
              <w:t xml:space="preserve"> (</w:t>
            </w:r>
            <w:r w:rsidRPr="009354EF">
              <w:rPr>
                <w:lang w:val="en-US"/>
              </w:rPr>
              <w:t>TLC</w:t>
            </w:r>
            <w:r w:rsidRPr="009354EF">
              <w:t>)</w:t>
            </w:r>
            <w:r w:rsidRPr="009354EF">
              <w:rPr>
                <w:lang w:val="en-US"/>
              </w:rPr>
              <w:t>TBW</w:t>
            </w:r>
            <w:r w:rsidRPr="009354EF">
              <w:t xml:space="preserve"> - 438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15D" w14:textId="337E91F5" w:rsidR="009354EF" w:rsidRPr="009354EF" w:rsidRDefault="00D977C4" w:rsidP="00931E56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C5B" w14:textId="2B3381F3" w:rsidR="009354EF" w:rsidRPr="009354EF" w:rsidRDefault="009354EF" w:rsidP="0097100D">
            <w:pPr>
              <w:jc w:val="center"/>
            </w:pPr>
            <w:r>
              <w:t>да</w:t>
            </w:r>
          </w:p>
        </w:tc>
      </w:tr>
      <w:tr w:rsidR="009354EF" w:rsidRPr="009354EF" w14:paraId="40C23173" w14:textId="77777777" w:rsidTr="0097100D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B87" w14:textId="74EFEC21" w:rsidR="009354EF" w:rsidRDefault="009354EF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D8C89" w14:textId="6F7D9FB6" w:rsidR="009354EF" w:rsidRPr="001829B0" w:rsidRDefault="001829B0" w:rsidP="00931E56">
            <w:pPr>
              <w:jc w:val="center"/>
              <w:rPr>
                <w:lang w:val="en-US"/>
              </w:rPr>
            </w:pPr>
            <w:proofErr w:type="spellStart"/>
            <w:r w:rsidRPr="001829B0">
              <w:rPr>
                <w:lang w:val="en-US"/>
              </w:rPr>
              <w:t>Сетевая</w:t>
            </w:r>
            <w:proofErr w:type="spellEnd"/>
            <w:r w:rsidRPr="001829B0">
              <w:rPr>
                <w:lang w:val="en-US"/>
              </w:rPr>
              <w:t xml:space="preserve"> </w:t>
            </w:r>
            <w:proofErr w:type="spellStart"/>
            <w:r w:rsidRPr="001829B0">
              <w:rPr>
                <w:lang w:val="en-US"/>
              </w:rPr>
              <w:t>карта</w:t>
            </w:r>
            <w:proofErr w:type="spellEnd"/>
            <w:r w:rsidRPr="001829B0">
              <w:rPr>
                <w:lang w:val="en-US"/>
              </w:rPr>
              <w:t xml:space="preserve"> Intel &lt;I350T2(V2)BLK&gt; Ethernet Server Adapter I350-T2 (OEM) PCI-E x4 (2UTP 1000Mbps)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2C3A" w14:textId="6AB256E6" w:rsidR="009354EF" w:rsidRPr="009354EF" w:rsidRDefault="009354EF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7DC3A" w14:textId="77777777" w:rsidR="00FD506D" w:rsidRPr="00FD506D" w:rsidRDefault="00FD506D" w:rsidP="00FD506D">
            <w:pPr>
              <w:rPr>
                <w:lang w:val="en-US"/>
              </w:rPr>
            </w:pPr>
            <w:r w:rsidRPr="00FD506D">
              <w:rPr>
                <w:lang w:val="en-US"/>
              </w:rPr>
              <w:t>Intel</w:t>
            </w:r>
          </w:p>
          <w:p w14:paraId="0D288EF7" w14:textId="77777777" w:rsidR="00FD506D" w:rsidRPr="00FD506D" w:rsidRDefault="00FD506D" w:rsidP="00FD506D">
            <w:pPr>
              <w:rPr>
                <w:lang w:val="en-US"/>
              </w:rPr>
            </w:pPr>
            <w:r>
              <w:t>Модель</w:t>
            </w:r>
          </w:p>
          <w:p w14:paraId="680150CD" w14:textId="77777777" w:rsidR="00FD506D" w:rsidRPr="00FD506D" w:rsidRDefault="00FD506D" w:rsidP="00FD506D">
            <w:pPr>
              <w:rPr>
                <w:lang w:val="en-US"/>
              </w:rPr>
            </w:pPr>
            <w:r w:rsidRPr="00FD506D">
              <w:rPr>
                <w:lang w:val="en-US"/>
              </w:rPr>
              <w:t>Ethernet Server Adapter I350-T2 (I350T2BLK)</w:t>
            </w:r>
          </w:p>
          <w:p w14:paraId="1585B5B9" w14:textId="77777777" w:rsidR="00FD506D" w:rsidRDefault="00FD506D" w:rsidP="00FD506D">
            <w:r>
              <w:t>Тип оборудования</w:t>
            </w:r>
          </w:p>
          <w:p w14:paraId="1F832F5F" w14:textId="69552481" w:rsidR="00FD506D" w:rsidRDefault="00FD506D" w:rsidP="00FD506D">
            <w:r>
              <w:t>Сетевая карта 1 Гбит/с</w:t>
            </w:r>
          </w:p>
          <w:p w14:paraId="06BD0BAF" w14:textId="77777777" w:rsidR="00FD506D" w:rsidRDefault="00FD506D" w:rsidP="00FD506D">
            <w:proofErr w:type="spellStart"/>
            <w:r>
              <w:t>Wake</w:t>
            </w:r>
            <w:proofErr w:type="spellEnd"/>
            <w:r>
              <w:t>-</w:t>
            </w:r>
            <w:proofErr w:type="spellStart"/>
            <w:r>
              <w:t>On</w:t>
            </w:r>
            <w:proofErr w:type="spellEnd"/>
            <w:r>
              <w:t>-LAN</w:t>
            </w:r>
          </w:p>
          <w:p w14:paraId="1D75E695" w14:textId="77777777" w:rsidR="00FD506D" w:rsidRDefault="00FD506D" w:rsidP="00FD506D">
            <w:r>
              <w:t>Поддерживается, ACPI, APM</w:t>
            </w:r>
          </w:p>
          <w:p w14:paraId="4F1BA9D6" w14:textId="77777777" w:rsidR="00FD506D" w:rsidRDefault="00FD506D" w:rsidP="00FD506D">
            <w:r>
              <w:t>Загрузка по сети</w:t>
            </w:r>
          </w:p>
          <w:p w14:paraId="734F4A0F" w14:textId="77777777" w:rsidR="00FD506D" w:rsidRPr="00213E59" w:rsidRDefault="00FD506D" w:rsidP="00FD506D">
            <w:pPr>
              <w:rPr>
                <w:lang w:val="en-US"/>
              </w:rPr>
            </w:pPr>
            <w:r w:rsidRPr="00213E59">
              <w:rPr>
                <w:lang w:val="en-US"/>
              </w:rPr>
              <w:t>iSCSI, PXE 2.1</w:t>
            </w:r>
          </w:p>
          <w:p w14:paraId="43D9210D" w14:textId="77777777" w:rsidR="00FD506D" w:rsidRPr="00213E59" w:rsidRDefault="00FD506D" w:rsidP="00FD506D">
            <w:pPr>
              <w:rPr>
                <w:lang w:val="en-US"/>
              </w:rPr>
            </w:pPr>
            <w:r>
              <w:t>Поддержка</w:t>
            </w:r>
            <w:r w:rsidRPr="00213E59">
              <w:rPr>
                <w:lang w:val="en-US"/>
              </w:rPr>
              <w:t xml:space="preserve"> </w:t>
            </w:r>
            <w:r>
              <w:t>ОС</w:t>
            </w:r>
          </w:p>
          <w:p w14:paraId="419E7959" w14:textId="7BD5D672" w:rsidR="009354EF" w:rsidRPr="00FD506D" w:rsidRDefault="00FD506D" w:rsidP="00FD506D">
            <w:pPr>
              <w:rPr>
                <w:lang w:val="en-US"/>
              </w:rPr>
            </w:pPr>
            <w:r w:rsidRPr="00FD506D">
              <w:rPr>
                <w:lang w:val="en-US"/>
              </w:rPr>
              <w:t>Windows 11 (</w:t>
            </w:r>
            <w:r>
              <w:t>только</w:t>
            </w:r>
            <w:r w:rsidRPr="00FD506D">
              <w:rPr>
                <w:lang w:val="en-US"/>
              </w:rPr>
              <w:t xml:space="preserve"> 64 bit), Windows 10, Windows Server 2022, Windows Server 2019, Windows Server 2016, Linux, Ubuntu 20.04 LTS, Ubuntu 18.04 LTS, RedHat Enterprise Linux 8.5, RedHat Enterprise Linux 8.4, RedHat Enterprise Linux 7, </w:t>
            </w:r>
            <w:proofErr w:type="spellStart"/>
            <w:r w:rsidRPr="00FD506D">
              <w:rPr>
                <w:lang w:val="en-US"/>
              </w:rPr>
              <w:t>SuSE</w:t>
            </w:r>
            <w:proofErr w:type="spellEnd"/>
            <w:r w:rsidRPr="00FD506D">
              <w:rPr>
                <w:lang w:val="en-US"/>
              </w:rPr>
              <w:t xml:space="preserve"> Linux Enterprise Server 15, </w:t>
            </w:r>
            <w:proofErr w:type="spellStart"/>
            <w:r w:rsidRPr="00FD506D">
              <w:rPr>
                <w:lang w:val="en-US"/>
              </w:rPr>
              <w:t>SuSE</w:t>
            </w:r>
            <w:proofErr w:type="spellEnd"/>
            <w:r w:rsidRPr="00FD506D">
              <w:rPr>
                <w:lang w:val="en-US"/>
              </w:rPr>
              <w:t xml:space="preserve"> Linux Enterprise Server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21B9" w14:textId="547482FF" w:rsidR="009354EF" w:rsidRDefault="009354EF" w:rsidP="00931E5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09B" w14:textId="2737DE66" w:rsidR="009354EF" w:rsidRDefault="009354EF" w:rsidP="0097100D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Pr="009354EF" w:rsidRDefault="002511D4" w:rsidP="002511D4">
      <w:pPr>
        <w:pStyle w:val="Footnote"/>
        <w:jc w:val="both"/>
        <w:rPr>
          <w:sz w:val="24"/>
          <w:szCs w:val="24"/>
          <w:lang w:val="en-US"/>
        </w:rPr>
      </w:pP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bookmarkStart w:id="0" w:name="_GoBack"/>
      <w:bookmarkEnd w:id="0"/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6ACDAD1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Срок поставки на весь перечень Товаров, указанный в Таблице 1 не должен превышать</w:t>
      </w:r>
      <w:r w:rsidR="00133282">
        <w:rPr>
          <w:rFonts w:ascii="Times New Roman" w:eastAsia="Calibri" w:hAnsi="Times New Roman" w:cs="Times New Roman"/>
          <w:sz w:val="24"/>
          <w:szCs w:val="24"/>
        </w:rPr>
        <w:t xml:space="preserve"> 30 календарных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D109E"/>
    <w:rsid w:val="00122A7C"/>
    <w:rsid w:val="00133282"/>
    <w:rsid w:val="001829B0"/>
    <w:rsid w:val="001B5417"/>
    <w:rsid w:val="001E23BB"/>
    <w:rsid w:val="00213E59"/>
    <w:rsid w:val="002511D4"/>
    <w:rsid w:val="002E5836"/>
    <w:rsid w:val="002E6C51"/>
    <w:rsid w:val="003A21B2"/>
    <w:rsid w:val="003F1E0C"/>
    <w:rsid w:val="004432A9"/>
    <w:rsid w:val="00481514"/>
    <w:rsid w:val="00486C37"/>
    <w:rsid w:val="0049583B"/>
    <w:rsid w:val="00497981"/>
    <w:rsid w:val="004D09B2"/>
    <w:rsid w:val="00542917"/>
    <w:rsid w:val="00596C97"/>
    <w:rsid w:val="005D6923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354EF"/>
    <w:rsid w:val="0097100D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234B2"/>
    <w:rsid w:val="00C765CD"/>
    <w:rsid w:val="00C819FC"/>
    <w:rsid w:val="00C91882"/>
    <w:rsid w:val="00CE5A99"/>
    <w:rsid w:val="00D43022"/>
    <w:rsid w:val="00D977C4"/>
    <w:rsid w:val="00DA4EED"/>
    <w:rsid w:val="00E421EF"/>
    <w:rsid w:val="00E83D43"/>
    <w:rsid w:val="00EA3CCD"/>
    <w:rsid w:val="00ED0113"/>
    <w:rsid w:val="00F47082"/>
    <w:rsid w:val="00F5419E"/>
    <w:rsid w:val="00F6229F"/>
    <w:rsid w:val="00F63B1E"/>
    <w:rsid w:val="00F84475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Ольга Шерсткова</cp:lastModifiedBy>
  <cp:revision>2</cp:revision>
  <dcterms:created xsi:type="dcterms:W3CDTF">2025-02-18T05:45:00Z</dcterms:created>
  <dcterms:modified xsi:type="dcterms:W3CDTF">2025-02-18T05:45:00Z</dcterms:modified>
</cp:coreProperties>
</file>