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AB1B693" w:rsidR="002767F1" w:rsidRDefault="00D877E3" w:rsidP="000D0A94">
      <w:pPr>
        <w:tabs>
          <w:tab w:val="left" w:pos="540"/>
          <w:tab w:val="left" w:pos="6564"/>
        </w:tabs>
        <w:ind w:firstLine="567"/>
        <w:jc w:val="center"/>
        <w:rPr>
          <w:b/>
        </w:rPr>
      </w:pPr>
      <w:r w:rsidRPr="00A6356F">
        <w:rPr>
          <w:b/>
        </w:rPr>
        <w:t>№ З-</w:t>
      </w:r>
      <w:r w:rsidR="00C61252">
        <w:rPr>
          <w:b/>
        </w:rPr>
        <w:t>19</w:t>
      </w:r>
      <w:r w:rsidR="000B0965">
        <w:rPr>
          <w:b/>
        </w:rPr>
        <w:t>3</w:t>
      </w:r>
      <w:r w:rsidRPr="00A6356F">
        <w:rPr>
          <w:b/>
        </w:rPr>
        <w:t>/2</w:t>
      </w:r>
      <w:r w:rsidR="001D71B4" w:rsidRPr="00A6356F">
        <w:rPr>
          <w:b/>
        </w:rPr>
        <w:t>5</w:t>
      </w:r>
      <w:r w:rsidR="008C4971">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6963CA13"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71396F">
        <w:rPr>
          <w:b/>
        </w:rPr>
        <w:t xml:space="preserve">(г. Махачкала)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proofErr w:type="spellStart"/>
      <w:r w:rsidRPr="00157A21">
        <w:t>юрид</w:t>
      </w:r>
      <w:proofErr w:type="spellEnd"/>
      <w:r w:rsidRPr="00157A21">
        <w:t>/</w:t>
      </w:r>
      <w:proofErr w:type="spellStart"/>
      <w:r w:rsidRPr="00157A21">
        <w:t>почт.адрес</w:t>
      </w:r>
      <w:proofErr w:type="spellEnd"/>
      <w:r w:rsidRPr="00157A21">
        <w:t xml:space="preserve">: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65AA4E87" w14:textId="3034D87A" w:rsidR="000F7154" w:rsidRPr="000F7154" w:rsidRDefault="00157A21" w:rsidP="000F7154">
      <w:pPr>
        <w:ind w:firstLine="567"/>
        <w:jc w:val="both"/>
        <w:rPr>
          <w:b/>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1396F" w:rsidRPr="0071396F">
        <w:t>Изготовление модульного здания физико-химической и бактериологической лабораторий, с лабораторной мебелью, оборудованием и комплектующими (г. Махачкала) для нужд филиала «Махачкалинский горводоканал» АО «Единый оператор Республики Дагестан в сфере водоснабжения и водоотведения»</w:t>
      </w:r>
      <w:r w:rsidR="000F7154" w:rsidRPr="0071396F">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DD5E86F" w:rsidR="006F6E5B" w:rsidRDefault="00157A21" w:rsidP="005B3E71">
      <w:pPr>
        <w:ind w:firstLine="567"/>
        <w:jc w:val="both"/>
        <w:rPr>
          <w:b/>
          <w:bCs/>
        </w:rPr>
      </w:pPr>
      <w:r w:rsidRPr="00157A21">
        <w:rPr>
          <w:b/>
          <w:bCs/>
        </w:rPr>
        <w:t>Сведения о начальной (максимальной) цене договора</w:t>
      </w:r>
      <w:r w:rsidRPr="0071396F">
        <w:rPr>
          <w:b/>
          <w:bCs/>
        </w:rPr>
        <w:t xml:space="preserve">: </w:t>
      </w:r>
      <w:r w:rsidR="00C103FF" w:rsidRPr="0071396F">
        <w:rPr>
          <w:b/>
          <w:bCs/>
        </w:rPr>
        <w:t>5</w:t>
      </w:r>
      <w:r w:rsidR="008C4971" w:rsidRPr="0071396F">
        <w:rPr>
          <w:b/>
          <w:bCs/>
        </w:rPr>
        <w:t>8 </w:t>
      </w:r>
      <w:r w:rsidR="008C4971">
        <w:rPr>
          <w:b/>
          <w:bCs/>
        </w:rPr>
        <w:t>919 558</w:t>
      </w:r>
      <w:r w:rsidR="00C103FF" w:rsidRPr="00C103FF">
        <w:rPr>
          <w:b/>
          <w:bCs/>
        </w:rPr>
        <w:t xml:space="preserve">,33 </w:t>
      </w:r>
      <w:r w:rsidR="006F6E5B" w:rsidRPr="00166495">
        <w:rPr>
          <w:b/>
          <w:bCs/>
        </w:rPr>
        <w:t>(</w:t>
      </w:r>
      <w:r w:rsidR="00D02930">
        <w:rPr>
          <w:b/>
          <w:bCs/>
        </w:rPr>
        <w:t xml:space="preserve">пятьдесят </w:t>
      </w:r>
      <w:r w:rsidR="008C4971">
        <w:rPr>
          <w:b/>
          <w:bCs/>
        </w:rPr>
        <w:t>восемь миллионов девятьсот девятнадцать тысяч пятьсот пятьдесят восемь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5B3E71">
      <w:pPr>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59F79EB4" w:rsidR="00157A21" w:rsidRPr="00157A21" w:rsidRDefault="00157A21" w:rsidP="005B3E71">
      <w:pPr>
        <w:tabs>
          <w:tab w:val="left" w:pos="284"/>
        </w:tabs>
        <w:ind w:firstLine="567"/>
        <w:jc w:val="both"/>
      </w:pPr>
      <w:r w:rsidRPr="00C979E2">
        <w:t xml:space="preserve"> 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616005A3"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71396F">
        <w:rPr>
          <w:color w:val="FF0000"/>
        </w:rPr>
        <w:t>19</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6B6AD2E0"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71396F">
        <w:t>19</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72D33C5F"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Российской </w:t>
      </w:r>
      <w:r w:rsidRPr="00326480">
        <w:rPr>
          <w:b/>
        </w:rPr>
        <w:t>Федерации от 23.12.2024</w:t>
      </w:r>
      <w:r w:rsidRPr="00FC6F6C">
        <w:rPr>
          <w:b/>
          <w:bCs/>
        </w:rPr>
        <w:t xml:space="preserve"> №1875</w:t>
      </w:r>
      <w:r w:rsidR="00EA6AE8">
        <w:rPr>
          <w:b/>
          <w:bCs/>
        </w:rPr>
        <w:t xml:space="preserve"> – </w:t>
      </w:r>
      <w:r w:rsidR="00EA6AE8" w:rsidRPr="00326480">
        <w:rPr>
          <w:i/>
          <w:iCs/>
          <w:u w:val="single"/>
        </w:rPr>
        <w:t>установлено</w:t>
      </w:r>
      <w:r w:rsidR="00EA6AE8">
        <w:rPr>
          <w:b/>
          <w:bCs/>
        </w:rPr>
        <w:t>.</w:t>
      </w:r>
    </w:p>
    <w:p w14:paraId="4A8E3E23" w14:textId="77777777" w:rsidR="00326480" w:rsidRDefault="00326480" w:rsidP="00326480">
      <w:pPr>
        <w:tabs>
          <w:tab w:val="left" w:pos="284"/>
        </w:tabs>
        <w:ind w:firstLine="567"/>
        <w:jc w:val="both"/>
      </w:pPr>
      <w:r>
        <w:t xml:space="preserve">Установлено </w:t>
      </w:r>
      <w:r>
        <w:rPr>
          <w:i/>
          <w:iCs/>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4DF2A3CC" w14:textId="77777777" w:rsidR="00326480" w:rsidRDefault="00326480" w:rsidP="00326480">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082B634" w14:textId="77777777" w:rsidR="00326480" w:rsidRDefault="00326480" w:rsidP="00326480">
      <w:pPr>
        <w:tabs>
          <w:tab w:val="left" w:pos="284"/>
        </w:tabs>
        <w:ind w:firstLine="567"/>
        <w:jc w:val="both"/>
      </w:pPr>
      <w:r>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94D4B6" w14:textId="77777777" w:rsidR="00326480" w:rsidRDefault="00326480" w:rsidP="00326480">
      <w:pPr>
        <w:tabs>
          <w:tab w:val="left" w:pos="284"/>
        </w:tabs>
        <w:ind w:firstLine="567"/>
        <w:jc w:val="both"/>
      </w:pPr>
      <w:r>
        <w:t xml:space="preserve">Установлено </w:t>
      </w:r>
      <w:r>
        <w:rPr>
          <w:i/>
          <w:i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B132A5" w14:textId="77777777" w:rsidR="00326480" w:rsidRDefault="00326480" w:rsidP="00326480">
      <w:pPr>
        <w:tabs>
          <w:tab w:val="left" w:pos="284"/>
        </w:tabs>
        <w:ind w:firstLine="567"/>
        <w:jc w:val="both"/>
      </w:pPr>
      <w:r>
        <w:t>2. При осуществлении закупки товара:</w:t>
      </w:r>
    </w:p>
    <w:p w14:paraId="19F0A655" w14:textId="77777777" w:rsidR="00326480" w:rsidRDefault="00326480" w:rsidP="00326480">
      <w:pPr>
        <w:tabs>
          <w:tab w:val="left" w:pos="284"/>
        </w:tabs>
        <w:ind w:firstLine="567"/>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029BBCF" w14:textId="77777777" w:rsidR="00326480" w:rsidRDefault="00326480" w:rsidP="00326480">
      <w:pPr>
        <w:tabs>
          <w:tab w:val="left" w:pos="284"/>
        </w:tabs>
        <w:ind w:firstLine="567"/>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C16BF21" w14:textId="77777777" w:rsidR="00326480" w:rsidRDefault="00326480" w:rsidP="00326480">
      <w:pPr>
        <w:tabs>
          <w:tab w:val="left" w:pos="284"/>
        </w:tabs>
        <w:ind w:firstLine="567"/>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FAF210B" w14:textId="77777777" w:rsidR="00326480" w:rsidRDefault="00326480" w:rsidP="00326480">
      <w:pPr>
        <w:tabs>
          <w:tab w:val="left" w:pos="284"/>
        </w:tabs>
        <w:ind w:firstLine="567"/>
        <w:jc w:val="both"/>
      </w:pPr>
      <w: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C93647B" w14:textId="77777777" w:rsidR="00326480" w:rsidRDefault="00326480" w:rsidP="00326480">
      <w:pPr>
        <w:tabs>
          <w:tab w:val="left" w:pos="284"/>
        </w:tabs>
        <w:ind w:firstLine="567"/>
        <w:jc w:val="both"/>
      </w:pPr>
      <w:r>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D82B971" w14:textId="77777777" w:rsidR="00326480" w:rsidRDefault="00326480" w:rsidP="00326480">
      <w:pPr>
        <w:tabs>
          <w:tab w:val="left" w:pos="284"/>
        </w:tabs>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B112082" w14:textId="77777777" w:rsidR="00326480" w:rsidRDefault="00326480" w:rsidP="00326480">
      <w:pPr>
        <w:tabs>
          <w:tab w:val="left" w:pos="284"/>
        </w:tabs>
        <w:ind w:firstLine="567"/>
        <w:jc w:val="both"/>
      </w:pPr>
      <w: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lastRenderedPageBreak/>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51CCD71" w14:textId="77777777" w:rsidR="00326480" w:rsidRDefault="00252121" w:rsidP="00326480">
      <w:pPr>
        <w:framePr w:hSpace="180" w:wrap="around" w:vAnchor="text" w:hAnchor="margin" w:x="108" w:y="170"/>
        <w:ind w:firstLine="567"/>
        <w:jc w:val="both"/>
      </w:pPr>
      <w:r w:rsidRPr="00651297">
        <w:t>и)</w:t>
      </w:r>
      <w:r w:rsidR="00A209EB">
        <w:t> </w:t>
      </w:r>
      <w:r w:rsidR="0032648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326480" w:rsidRPr="00E55C42">
          <w:t>пунктом 2 части 2 статьи 3.1-4</w:t>
        </w:r>
      </w:hyperlink>
      <w:r w:rsidR="00326480">
        <w:t xml:space="preserve"> Федерального закона № 223-ФЗ, а именно: </w:t>
      </w:r>
    </w:p>
    <w:p w14:paraId="39803370" w14:textId="1D0264BC" w:rsidR="00651297" w:rsidRDefault="00326480" w:rsidP="00326480">
      <w:pPr>
        <w:tabs>
          <w:tab w:val="left" w:pos="456"/>
        </w:tabs>
        <w:ind w:firstLine="567"/>
        <w:contextualSpacing/>
        <w:jc w:val="both"/>
      </w:pPr>
      <w:r>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EA6AE8">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lastRenderedPageBreak/>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57A21">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w:t>
      </w:r>
      <w:r w:rsidRPr="00157A21">
        <w:lastRenderedPageBreak/>
        <w:t>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590D91E"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60E62CFD"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71396F">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3AEB7277" w:rsidR="00621A3B" w:rsidRPr="00621A3B" w:rsidRDefault="00621A3B" w:rsidP="000D0A94">
      <w:pPr>
        <w:keepNext/>
        <w:pageBreakBefore/>
        <w:suppressAutoHyphens/>
        <w:snapToGrid w:val="0"/>
        <w:spacing w:before="360" w:after="120"/>
        <w:ind w:firstLine="567"/>
        <w:jc w:val="both"/>
        <w:outlineLvl w:val="1"/>
        <w:rPr>
          <w:b/>
          <w:bCs/>
        </w:rPr>
      </w:pPr>
      <w:bookmarkStart w:id="9" w:name="_Ref167696933"/>
      <w:bookmarkStart w:id="10" w:name="_Toc243990647"/>
      <w:r w:rsidRPr="00621A3B">
        <w:rPr>
          <w:b/>
          <w:bCs/>
        </w:rPr>
        <w:lastRenderedPageBreak/>
        <w:t>3.</w:t>
      </w:r>
      <w:r w:rsidR="00E55C42">
        <w:t> </w:t>
      </w:r>
      <w:r w:rsidRPr="00621A3B">
        <w:rPr>
          <w:b/>
          <w:bCs/>
        </w:rPr>
        <w:t>Техническое предложение (форма 3)</w:t>
      </w:r>
      <w:bookmarkEnd w:id="9"/>
      <w:bookmarkEnd w:id="10"/>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 xml:space="preserve">(наименование участника закупки - юридического лица, </w:t>
      </w:r>
      <w:proofErr w:type="spellStart"/>
      <w:r w:rsidRPr="00A52ED1">
        <w:rPr>
          <w:i/>
          <w:iCs/>
          <w:sz w:val="17"/>
          <w:szCs w:val="17"/>
        </w:rPr>
        <w:t>ф.и.о.</w:t>
      </w:r>
      <w:proofErr w:type="spellEnd"/>
      <w:r w:rsidRPr="00A52ED1">
        <w:rPr>
          <w:i/>
          <w:iCs/>
          <w:sz w:val="17"/>
          <w:szCs w:val="17"/>
        </w:rPr>
        <w:t xml:space="preserve">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0965"/>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26480"/>
    <w:rsid w:val="00336E70"/>
    <w:rsid w:val="00343817"/>
    <w:rsid w:val="0034391A"/>
    <w:rsid w:val="003478AA"/>
    <w:rsid w:val="003542A6"/>
    <w:rsid w:val="00356B19"/>
    <w:rsid w:val="003622D8"/>
    <w:rsid w:val="003674E3"/>
    <w:rsid w:val="00371D9E"/>
    <w:rsid w:val="00376AC4"/>
    <w:rsid w:val="00383A96"/>
    <w:rsid w:val="00386C13"/>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A5C8A"/>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96F"/>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435F"/>
    <w:rsid w:val="00885113"/>
    <w:rsid w:val="00891414"/>
    <w:rsid w:val="00896286"/>
    <w:rsid w:val="008A139A"/>
    <w:rsid w:val="008A5DA6"/>
    <w:rsid w:val="008C0B8D"/>
    <w:rsid w:val="008C42C6"/>
    <w:rsid w:val="008C4971"/>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5C42"/>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485249789">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710837396">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7385</Words>
  <Characters>42100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3</cp:revision>
  <cp:lastPrinted>2022-11-08T07:34:00Z</cp:lastPrinted>
  <dcterms:created xsi:type="dcterms:W3CDTF">2025-06-09T12:50:00Z</dcterms:created>
  <dcterms:modified xsi:type="dcterms:W3CDTF">2025-06-09T12:50:00Z</dcterms:modified>
</cp:coreProperties>
</file>