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overflowPunct w:val="true"/>
        <w:spacing w:lineRule="auto" w:line="240" w:before="0" w:after="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  <w:r>
        <w:rPr>
          <w:b w:val="false"/>
          <w:bCs w:val="false"/>
          <w:color w:val="000000"/>
          <w:sz w:val="20"/>
          <w:szCs w:val="20"/>
        </w:rPr>
        <w:t xml:space="preserve"> </w:t>
      </w:r>
      <w:r>
        <w:rPr>
          <w:b w:val="false"/>
          <w:bCs w:val="false"/>
          <w:color w:val="000000"/>
          <w:sz w:val="20"/>
          <w:szCs w:val="20"/>
        </w:rPr>
        <w:t>Приложение № 1</w:t>
      </w:r>
    </w:p>
    <w:p>
      <w:pPr>
        <w:pStyle w:val="BodyText"/>
        <w:overflowPunct w:val="true"/>
        <w:spacing w:lineRule="auto" w:line="240" w:before="0" w:after="20"/>
        <w:jc w:val="righ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к извещению о проведении </w:t>
      </w:r>
    </w:p>
    <w:p>
      <w:pPr>
        <w:pStyle w:val="BodyText"/>
        <w:overflowPunct w:val="true"/>
        <w:spacing w:lineRule="auto" w:line="240" w:before="0" w:after="20"/>
        <w:jc w:val="righ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запроса котировок</w:t>
      </w:r>
    </w:p>
    <w:p>
      <w:pPr>
        <w:pStyle w:val="BodyText"/>
        <w:jc w:val="center"/>
        <w:rPr>
          <w:b/>
          <w:color w:val="000000"/>
          <w:sz w:val="26"/>
          <w:szCs w:val="20"/>
        </w:rPr>
      </w:pPr>
      <w:r>
        <w:rPr>
          <w:b/>
          <w:color w:val="000000"/>
          <w:sz w:val="26"/>
          <w:szCs w:val="20"/>
        </w:rPr>
        <w:t>ТЕХНИЧЕСКОЕ ЗАДАНИЕ</w:t>
      </w:r>
    </w:p>
    <w:p>
      <w:pPr>
        <w:pStyle w:val="BodyText"/>
        <w:jc w:val="center"/>
        <w:rPr>
          <w:b/>
          <w:color w:val="000000"/>
          <w:sz w:val="26"/>
          <w:szCs w:val="20"/>
        </w:rPr>
      </w:pPr>
      <w:r>
        <w:rPr>
          <w:b/>
          <w:sz w:val="26"/>
        </w:rPr>
        <w:t xml:space="preserve">на поставку и монтаж кондиционеров (сплит-систем) </w:t>
      </w:r>
    </w:p>
    <w:p>
      <w:pPr>
        <w:pStyle w:val="BodyText"/>
        <w:overflowPunct w:val="true"/>
        <w:spacing w:lineRule="auto" w:line="240" w:before="0" w:after="20"/>
        <w:jc w:val="both"/>
        <w:rPr>
          <w:b/>
          <w:sz w:val="26"/>
        </w:rPr>
      </w:pPr>
      <w:r>
        <w:rPr>
          <w:b/>
          <w:sz w:val="26"/>
        </w:rPr>
        <w:t>1. Заказчик: ГУП «Севэлектроавтотранс им. А.С. Крупадерова»</w:t>
      </w:r>
    </w:p>
    <w:p>
      <w:pPr>
        <w:pStyle w:val="BodyText"/>
        <w:overflowPunct w:val="true"/>
        <w:spacing w:lineRule="auto" w:line="240" w:before="0" w:after="20"/>
        <w:jc w:val="both"/>
        <w:rPr>
          <w:b/>
          <w:sz w:val="26"/>
        </w:rPr>
      </w:pPr>
      <w:r>
        <w:rPr>
          <w:b/>
          <w:sz w:val="26"/>
        </w:rPr>
        <w:t>2. Адрес поставки: 299003, г. Севастополь, ул. Льва Толстого, д.51</w:t>
      </w:r>
    </w:p>
    <w:p>
      <w:pPr>
        <w:pStyle w:val="BodyText"/>
        <w:overflowPunct w:val="true"/>
        <w:spacing w:lineRule="auto" w:line="240" w:before="0" w:after="20"/>
        <w:jc w:val="both"/>
        <w:rPr>
          <w:b/>
        </w:rPr>
      </w:pPr>
      <w:r>
        <w:rPr>
          <w:b/>
        </w:rPr>
        <w:t xml:space="preserve">3. Цель </w:t>
      </w:r>
      <w:r>
        <w:rPr>
          <w:b/>
          <w:color w:val="000000"/>
        </w:rPr>
        <w:t>выполнения</w:t>
      </w:r>
      <w:r>
        <w:rPr>
          <w:b/>
        </w:rPr>
        <w:t xml:space="preserve"> работы. </w:t>
      </w:r>
    </w:p>
    <w:p>
      <w:pPr>
        <w:pStyle w:val="BodyText"/>
        <w:overflowPunct w:val="true"/>
        <w:spacing w:lineRule="auto" w:line="240" w:before="0" w:after="20"/>
        <w:ind w:right="130"/>
        <w:jc w:val="both"/>
        <w:rPr/>
      </w:pPr>
      <w:r>
        <w:rPr/>
        <w:t xml:space="preserve">Настоящее техническое задание определяет технические и организационные требования по поставке и монтажу кондиционеров (сплит-систем) вводом в эксплуатацию. </w:t>
      </w:r>
    </w:p>
    <w:p>
      <w:pPr>
        <w:pStyle w:val="BodyText"/>
        <w:jc w:val="both"/>
        <w:rPr>
          <w:b/>
        </w:rPr>
      </w:pPr>
      <w:r>
        <w:rPr>
          <w:b/>
        </w:rPr>
        <w:t>4. Требования к поставляемой продукции.</w:t>
      </w:r>
    </w:p>
    <w:p>
      <w:pPr>
        <w:pStyle w:val="BodyText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Настенная сплит-система 07 BTU</w:t>
      </w:r>
    </w:p>
    <w:tbl>
      <w:tblPr>
        <w:tblStyle w:val="af2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75"/>
        <w:gridCol w:w="1442"/>
        <w:gridCol w:w="2954"/>
      </w:tblGrid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Характеристика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Ед.изм.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Значение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Вид поставляемого оборудования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Кондиционер, сплит-система настенного типа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внешних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внутренних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Пульт дистанционного управления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Режим работы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Охлаждение, обогрев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Рекомендуемая площадь помещения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м.2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20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Класс энергоэффективности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А/А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Тип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Тип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Уровень шума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более 27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Уровень шума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более 40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Диапазон рабочих температур (охлаждение)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менее +18+43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Диапазон рабочих температур (обогрев)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менее -7+24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Цвет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Белый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Напряжение питания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Вт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менее220, не более 240В/50Гц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Комплект поставки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соответствии с документацией завода изготовителя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Дополнительное оборудование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количестве и объеме, необходимое для проведения монтажных работ (трубопровод, шланг дренажный, изоляция, силовой кабель, шланг гофрированный, рабочие жидкости)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Гарантийный срок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3  лет</w:t>
            </w:r>
          </w:p>
        </w:tc>
      </w:tr>
    </w:tbl>
    <w:p>
      <w:pPr>
        <w:pStyle w:val="BodyText"/>
        <w:jc w:val="both"/>
        <w:rPr/>
      </w:pPr>
      <w:r>
        <w:rPr/>
      </w:r>
    </w:p>
    <w:p>
      <w:pPr>
        <w:pStyle w:val="BodyText"/>
        <w:overflowPunct w:val="true"/>
        <w:spacing w:lineRule="auto" w:line="360" w:before="0" w:after="0"/>
        <w:jc w:val="both"/>
        <w:rPr/>
      </w:pPr>
      <w:r>
        <w:rPr>
          <w:b/>
          <w:color w:val="000000"/>
        </w:rPr>
        <w:t>Настенная сплит-ситема 09 BTU</w:t>
      </w:r>
    </w:p>
    <w:tbl>
      <w:tblPr>
        <w:tblStyle w:val="af2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75"/>
        <w:gridCol w:w="1442"/>
        <w:gridCol w:w="2954"/>
      </w:tblGrid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Характеристика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Ед.изм.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Значение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Вид поставляемого оборудования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Кондиционер, сплит-система настенного типа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внешних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внутренних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Пульт дистанционного управления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Режим работы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Охлаждение, обогрев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Рекомендуемая площадь помещения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м.2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25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Класс энергоэффективности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А/А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Тип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Тип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Уровень шума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более 30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/>
              </w:rPr>
              <w:t>Уровень шума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sz w:val="20"/>
                <w:lang w:val="ru-RU"/>
              </w:rPr>
              <w:t>Дб.</w:t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более 53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/>
              </w:rPr>
              <w:t>Диапазон рабочих температур (охлаждение)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sz w:val="20"/>
                <w:lang w:val="ru-RU"/>
              </w:rPr>
              <w:t>Не менее +18+43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/>
              </w:rPr>
              <w:t>Диапазон рабочих температур (обогрев)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sz w:val="20"/>
                <w:lang w:val="ru-RU"/>
              </w:rPr>
              <w:t>Не менее -7+24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Цвет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Белый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Напряжение питания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Вт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менее220, не более 240В/50Гц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Комплект поставки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соответствии с документацией завода изготовителя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Дополнительное оборудование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количестве и объеме, необходимое для проведения монтажных работ (трубопровод, шланг дренажный, изоляция, силовой кабель, шланг гофрированный, рабочие жидкости)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Гарантийный срок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3  лет</w:t>
            </w:r>
          </w:p>
        </w:tc>
      </w:tr>
    </w:tbl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overflowPunct w:val="true"/>
        <w:spacing w:lineRule="auto" w:line="360" w:before="0" w:after="0"/>
        <w:jc w:val="both"/>
        <w:rPr/>
      </w:pPr>
      <w:r>
        <w:rPr>
          <w:b/>
          <w:bCs/>
          <w:color w:val="000000"/>
        </w:rPr>
        <w:t>Настенная сплит-ситема 12 BTU</w:t>
      </w:r>
    </w:p>
    <w:tbl>
      <w:tblPr>
        <w:tblStyle w:val="af2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75"/>
        <w:gridCol w:w="1442"/>
        <w:gridCol w:w="2954"/>
      </w:tblGrid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Характеристика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Ед.изм.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Значение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Вид поставляемого оборудования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Кондиционер, сплит-система настенного типа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внешних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внутренних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Пульт дистанционного управления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Режим работы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Охлаждение, обогрев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Рекомендуемая площадь помещения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м.2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35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Класс энергоэффективности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А/А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Тип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Тип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Уровень шума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более 39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Уровень шума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более 55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Диапазон рабочих температур (охлажд</w:t>
            </w:r>
            <w:bookmarkStart w:id="0" w:name="_GoBack"/>
            <w:bookmarkEnd w:id="0"/>
            <w:r>
              <w:rPr>
                <w:kern w:val="0"/>
                <w:lang w:val="ru-RU"/>
              </w:rPr>
              <w:t>ение)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менее +18+43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Диапазон рабочих температур (обогрев)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менее -7+24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Цвет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Белый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Напряжение питания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Вт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менее220, не более 240В/50Гц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Комплект поставки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соответствии с документацией завода изготовителя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Дополнительное оборудование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количестве и объеме, необходимое для проведения монтажных работ (трубопровод, шланг дренажный, изоляция, силовой кабель, шланг гофрированный, рабочие жидкости)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Гарантийный срок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3  лет</w:t>
            </w:r>
          </w:p>
        </w:tc>
      </w:tr>
    </w:tbl>
    <w:p>
      <w:pPr>
        <w:pStyle w:val="Normal"/>
        <w:overflowPunct w:val="tru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true"/>
        <w:spacing w:lineRule="auto" w:line="360"/>
        <w:jc w:val="both"/>
        <w:rPr/>
      </w:pPr>
      <w:r>
        <w:rPr>
          <w:b/>
          <w:bCs/>
          <w:color w:val="000000"/>
        </w:rPr>
        <w:t>Настенная сплит-ситема 18 BTU</w:t>
      </w:r>
    </w:p>
    <w:tbl>
      <w:tblPr>
        <w:tblStyle w:val="af2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75"/>
        <w:gridCol w:w="1442"/>
        <w:gridCol w:w="2954"/>
      </w:tblGrid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Характеристика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Ед.изм.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Значение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Вид поставляемого оборудования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Кондиционер, сплит-система настенного типа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внешних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Количество внутренних блоков одного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Пульт дистанционного управления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комплекте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Режим работы кондиционера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Охлаждение, обогрев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Рекомендуемая площадь помещения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м.2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50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Класс энергоэффективности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А/А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lang w:val="ru-RU"/>
              </w:rPr>
              <w:t>Тип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Тип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Настенный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Уровень шума внешнего блока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более 59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Уровень шума внутреннего блока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Дб.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более 30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Диапазон рабочих температур (охлаждение)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менее +18+43</w:t>
            </w:r>
          </w:p>
        </w:tc>
      </w:tr>
      <w:tr>
        <w:trPr/>
        <w:tc>
          <w:tcPr>
            <w:tcW w:w="5175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Диапазон рабочих температур (обогрев)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Не менее -7+24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Цвет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Белый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Напряжение питания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Вт</w:t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менее220, не более 240В/50Гц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Комплект поставки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соответствии с документацией завода изготовителя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Дополнительное оборудование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В количестве и объеме, необходимое для проведения монтажных работ (трубопровод, шланг дренажный, изоляция, силовой кабель, шланг гофрированный, рабочие жидкости)</w:t>
            </w:r>
          </w:p>
        </w:tc>
      </w:tr>
      <w:tr>
        <w:trPr/>
        <w:tc>
          <w:tcPr>
            <w:tcW w:w="517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kern w:val="0"/>
                <w:lang w:val="ru-RU"/>
              </w:rPr>
              <w:t>Гарантийный срок</w:t>
            </w:r>
          </w:p>
        </w:tc>
        <w:tc>
          <w:tcPr>
            <w:tcW w:w="1442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4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140"/>
              <w:jc w:val="center"/>
              <w:rPr>
                <w:sz w:val="20"/>
              </w:rPr>
            </w:pPr>
            <w:r>
              <w:rPr>
                <w:kern w:val="0"/>
                <w:lang w:val="ru-RU"/>
              </w:rPr>
              <w:t>не менее 3  лет</w:t>
            </w:r>
          </w:p>
        </w:tc>
      </w:tr>
    </w:tbl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/>
      </w:pPr>
      <w:r>
        <w:rPr>
          <w:b/>
          <w:bCs/>
        </w:rPr>
        <w:t>5.Требование по монтажу оборудования (Товара)</w:t>
      </w:r>
    </w:p>
    <w:tbl>
      <w:tblPr>
        <w:tblW w:w="95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"/>
        <w:gridCol w:w="4394"/>
        <w:gridCol w:w="4760"/>
      </w:tblGrid>
      <w:tr>
        <w:trPr/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процессе монтажа выполняются следующие работы: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/>
              <w:t>Оборудование, подлежащее монтажу на высоте (не более 4 этажа здания)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/>
              <w:t>Настенная сплит-система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монтаж наружного блока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установки согласовывается с Заказчиком таким образом, чтоб обеспечить свободный доступ к оборудованию для дальнейшего обслуживания, а также, чтобы обеспечить работоспособность самого оборудования в соответствии с требованиями монтажных руководств. Монтаж наружного блока должен быть произведен на стене здания.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монтаж внутреннего блока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Внутренний блок должен устанавливаться в помещении с учетом функциональных требований, дизайна помещения и требований производителя оборудования. Крепеж осуществляется строго по уровню. По окончанию работ должна быть восстановлена целостность стен.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проходка отверстий для трубопроводов в наружных стенах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 xml:space="preserve">Отверстия сверлятся с наклоном вниз к наружной стене без разрушения фасада. Заделка отверстий и устранение повреждений строительных конструкций, возникающих при установке системы, подрядчик производит своими силами и за свой счет. Урон, нанесенный интерьеру помещения, возмещается Подрядчиком. </w:t>
            </w:r>
            <w:r>
              <w:rPr>
                <w:color w:themeColor="text1" w:val="000000"/>
                <w:shd w:fill="FFFFFF" w:val="clear"/>
                <w:lang w:eastAsia="en-US"/>
              </w:rPr>
              <w:t>Материал стен –инкерманский блок.</w:t>
            </w:r>
          </w:p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прокладка внутренних и внешних трубопроводов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 xml:space="preserve">Общая длина трубопровода для </w:t>
            </w:r>
            <w:r>
              <w:rPr>
                <w:color w:themeColor="text1" w:val="000000"/>
                <w:shd w:fill="FFFFFF" w:val="clear"/>
                <w:lang w:eastAsia="en-US"/>
              </w:rPr>
              <w:t>кондиционера: 1 позиция- не более 5 метров.</w:t>
            </w:r>
            <w:r>
              <w:rPr>
                <w:color w:themeColor="text1" w:val="000000"/>
                <w:lang w:eastAsia="en-US"/>
              </w:rPr>
              <w:t xml:space="preserve"> Трубопровод укладывается в декоративный короб. Неаккуратное использование декоративных коробов, порча интерьера помещения, фасада и кровли здания устраняется за счет Подрядчика.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монтаж межблочных силовых кабелей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>Внутри помещения фреоновый трубопровод, электрический кабель, автоматический выключатель и дренажный шланг укладываются в коробе. Подрядчик обязан не допускать заломов и порывов дренажного шланга при протаскивании через отверстие в стене, не допускать касание его оголенных частей трубопровода. Отверстие в стене после укладки фреонового трубопровода, электрического кабеля или дренажного шланга заполняется теплоизолятором во избежание промерзания воды и появления сквозняков в помещении. Электропровод должен быть проложен в гофротрубе.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отвод дренажных труб через отверстия в наружных стенах на улицу</w:t>
            </w:r>
          </w:p>
        </w:tc>
        <w:tc>
          <w:tcPr>
            <w:tcW w:w="4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теплоизоляция фреоновых газовых и жидкостных труб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 xml:space="preserve">Трубки </w:t>
            </w:r>
            <w:r>
              <w:rPr>
                <w:color w:themeColor="text1" w:val="000000"/>
                <w:lang w:val="en-US" w:eastAsia="en-US"/>
              </w:rPr>
              <w:t>K</w:t>
            </w:r>
            <w:r>
              <w:rPr>
                <w:color w:themeColor="text1" w:val="000000"/>
                <w:lang w:eastAsia="en-US"/>
              </w:rPr>
              <w:t>-</w:t>
            </w:r>
            <w:r>
              <w:rPr>
                <w:color w:themeColor="text1" w:val="000000"/>
                <w:lang w:val="en-US" w:eastAsia="en-US"/>
              </w:rPr>
              <w:t>Flex</w:t>
            </w:r>
            <w:r>
              <w:rPr>
                <w:color w:themeColor="text1" w:val="000000"/>
                <w:lang w:eastAsia="en-US"/>
              </w:rPr>
              <w:t xml:space="preserve"> или аналог.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дозаправка хладагентом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>Дозаправка хладагентом выполняется при необходимости для обеспечения работоспособности оборудования.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тестовый запуск системы во всех режимах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>После запуска системы её работа тестируется во всех режимах. При тестировании производятся замеры напряжения в сети, энергопотребление, давление хладагента, температура при входе и выходе из внутреннего блока.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обучение специалистов Заказчика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lang w:eastAsia="en-US"/>
              </w:rPr>
            </w:pPr>
            <w:r>
              <w:rPr>
                <w:lang w:eastAsia="en-US"/>
              </w:rPr>
              <w:t>После ввода в эксплуатацию системы необходимо провести инструктаж работников Заказчика о правилах эксплуатации оборудования и по самостоятельной работе с оборудованием в различных производственных ситуациях.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восстановление отделки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 завершения работ, Подрядчик обязан своими силами и за свой счет восстановить все повреждения отделки помещений, кабельных линий и вентиляционных каналов, плинтусов, дверных коробок, иных элементов отделки и (или) оборудования помещений, в которых им (Подрядчиком) выполнялись работы, в случае, если такие повреждения допущены и не входят в объем сметных работ.</w:t>
            </w:r>
          </w:p>
        </w:tc>
      </w:tr>
    </w:tbl>
    <w:p>
      <w:pPr>
        <w:pStyle w:val="Normal"/>
        <w:overflowPunct w:val="true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При поставке товара должны быть предоставлены следующие документы на каждую позицию: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- Сертификат соответствия (называемый также сертификат качества), выданный официальным сертификационным органом РФ.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- 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>Кондиционер должен быть сертифицирован на территории России и соответствовать требованиям нормативных документов по ГОСТ.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>
          <w:b/>
        </w:rPr>
        <w:t>6. Требование к качеству товара:</w:t>
      </w:r>
      <w:r>
        <w:rPr/>
        <w:t xml:space="preserve"> Товар должен быть новым, не бывшем в употреблении, должен быть заводского производства.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Покупателем правил эксплуатации поставляемого товара. </w:t>
      </w:r>
    </w:p>
    <w:p>
      <w:pPr>
        <w:pStyle w:val="BodyText"/>
        <w:overflowPunct w:val="true"/>
        <w:spacing w:lineRule="auto" w:line="240" w:before="0" w:after="0"/>
        <w:jc w:val="both"/>
        <w:rPr>
          <w:b/>
        </w:rPr>
      </w:pPr>
      <w:r>
        <w:rPr>
          <w:b/>
        </w:rPr>
        <w:t xml:space="preserve">7. Гарантийный срок. 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 xml:space="preserve">При поставке товара требуется предоставить гарантию производителя на срок: 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>
          <w:b/>
        </w:rPr>
        <w:t xml:space="preserve">- </w:t>
      </w:r>
      <w:r>
        <w:rPr/>
        <w:t xml:space="preserve">не менее 3 лет с момента подписания Покупателем акта приемки-передачи поставленного товара; 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Гарантийный срок Поставщика, установленный на Товар, должен быть не менее чем срок действия гарантии производителя этого Товара с момента подписания Акта приемки-передачи товара.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 xml:space="preserve">Замена Товара ненадлежащего качества осуществляется за счет Поставщика. 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 xml:space="preserve">Поставщик обязан обеспечить устранение недостатков или замену Товара в пределах гарантийного срока, в течение 15 рабочих дней с момента поступления соответствующего уведомления Покупателя. 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Гарантийный срок на монтажные Работы должен составлять не менее 12 месяцев с даты утверждения Покупателем подписанного уполномоченными представителями сторон Акта приема-передачи товара и ввода его в эксплуатацию.</w:t>
      </w:r>
    </w:p>
    <w:p>
      <w:pPr>
        <w:pStyle w:val="BodyText"/>
        <w:overflowPunct w:val="true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 xml:space="preserve">При причинении вреда имуществу Покупателя вследствие конструктивных, производственных или иных недостатков поставляемого Товара, в течение гарантийного срока Товара, Поставщик возмещает убытки, понесенные Покупателем. 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>
          <w:b/>
        </w:rPr>
        <w:t>8. Требование к функциональным характеристикам (потребительским свойствам) товара:</w:t>
      </w:r>
      <w:r>
        <w:rPr/>
        <w:t xml:space="preserve"> Поставляемый товар должен соответствовать функциональным характеристикам, установленным производителем для предлагаемого к поставке товара и соответствовать требованиям ГОСТ Р 51125-98 «Оборудование бытовое для кондиционирования и очистки воздуха, Требования безопасности и методы испытаний»; ГОСТ 26963-86 Кондиционеры бытовые автономные. Общее технические условия».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>
          <w:b/>
        </w:rPr>
        <w:t>9. Требования к размерам, упаковке, отгрузке товара:</w:t>
      </w:r>
      <w:r>
        <w:rPr/>
        <w:t xml:space="preserve"> Товар должен поставляться в упаковке, способной предотвратить его повреждение или порчу во время перевозки, передачи Покупателю; упаковка не должна содержать вскрытий, вмятин, порезов, деформации.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>
          <w:b/>
        </w:rPr>
        <w:t>10. Требования к безопасности товара:</w:t>
      </w:r>
      <w:r>
        <w:rPr/>
        <w:t xml:space="preserve"> в соответствии с действующими нормами и правилами.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>В случае если оборудование или отдельные составляющие произведены не в Российской Федерации перед поставкой оборудование должно пройти все таможенные и иные процедуры, предусмотренные действующим законодательством Российской Федерации.</w:t>
      </w:r>
    </w:p>
    <w:p>
      <w:pPr>
        <w:pStyle w:val="BodyText"/>
        <w:numPr>
          <w:ilvl w:val="0"/>
          <w:numId w:val="2"/>
        </w:numPr>
        <w:overflowPunct w:val="true"/>
        <w:spacing w:lineRule="auto" w:line="240" w:before="0" w:after="0"/>
        <w:jc w:val="both"/>
        <w:rPr>
          <w:b/>
        </w:rPr>
      </w:pPr>
      <w:r>
        <w:rPr>
          <w:b/>
        </w:rPr>
        <w:t>Срок поставки оборудования и выполнения всех работ.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>Срок поставки, сборки и монтажа Товара, после подписания договора, не должны превышать 25 (двадцати пяти) календарных дня от момента получения заявки от Заказчика. Время производства работ по демонтажу и монтажу  должно быть предварительно (не позднее 2 дней) согласовано с Заказчиком.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>Разгрузочные работы на объекте Покупателя осуществляются силами Поставщика. Стоимость доставки и монтажа должна быть включена в стоимость товара. Поставщик берет на себя все расходы, связанные с транспортировкой оборудования, прохождением при необходимости таможенных процедур и т.д.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 xml:space="preserve">Поставщик самостоятельно осуществляет доставку, разгрузку (подъем вплоть до 4 этажа здания), демонтаж и монтаж (квалифицированными специалистами) оборудования в указанных Покупателем помещениях. 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>Товар (оборудование) при доставке должен быть упакован в разовую тару, обеспечивающую сохранность от повреждений и загрязнений при хранении и транспортировке. Упаковка товара должна быть прочная, сухая, без нарушения целостности со специальной маркировкой, пригодна для манипуляций при погрузке и разгрузке.</w:t>
      </w:r>
    </w:p>
    <w:p>
      <w:pPr>
        <w:pStyle w:val="BodyText"/>
        <w:overflowPunct w:val="true"/>
        <w:spacing w:lineRule="auto" w:line="240" w:before="0" w:after="0"/>
        <w:jc w:val="both"/>
        <w:rPr>
          <w:b/>
        </w:rPr>
      </w:pPr>
      <w:r>
        <w:rPr>
          <w:b/>
        </w:rPr>
        <w:t>12. Обязательные требования к гарантийному обслуживанию.</w:t>
      </w:r>
    </w:p>
    <w:p>
      <w:pPr>
        <w:pStyle w:val="BodyText"/>
        <w:overflowPunct w:val="true"/>
        <w:spacing w:lineRule="auto" w:line="240" w:before="0" w:after="0"/>
        <w:jc w:val="both"/>
        <w:rPr/>
      </w:pPr>
      <w:r>
        <w:rPr/>
        <w:t>Покупатель требует, чтобы Поставщик обеспечил гарантийное обслуживание поставляемого товара без дополнительных расходов со стороны Покупателя.</w:t>
      </w:r>
    </w:p>
    <w:p>
      <w:pPr>
        <w:pStyle w:val="BodyText"/>
        <w:overflowPunct w:val="true"/>
        <w:spacing w:lineRule="auto" w:line="240" w:before="0" w:after="0"/>
        <w:ind w:right="23"/>
        <w:jc w:val="both"/>
        <w:rPr/>
      </w:pPr>
      <w:r>
        <w:rPr/>
        <w:t xml:space="preserve">Срок гарантийного обслуживания – 3 года с момента поставки товара. </w:t>
      </w:r>
    </w:p>
    <w:p>
      <w:pPr>
        <w:pStyle w:val="BodyText"/>
        <w:overflowPunct w:val="true"/>
        <w:spacing w:lineRule="auto" w:line="240" w:before="0" w:after="20"/>
        <w:jc w:val="both"/>
        <w:rPr/>
      </w:pPr>
      <w:r>
        <w:rPr/>
        <w:t>Поставщик в течение гарантийного срока должен осуществлять за свой счет, гарантийное обслуживание товара и комплектующих его изделий, гарантийный ремонт или замену товара, или его частей. Пересылка Товара, подлежащего гарантийному ремонту или его замене, должна производиться за счет средств Поставщика.</w:t>
      </w:r>
    </w:p>
    <w:p>
      <w:pPr>
        <w:pStyle w:val="BodyText"/>
        <w:overflowPunct w:val="true"/>
        <w:spacing w:lineRule="auto" w:line="240" w:before="0" w:after="20"/>
        <w:jc w:val="both"/>
        <w:rPr/>
      </w:pPr>
      <w:r>
        <w:rPr/>
      </w:r>
    </w:p>
    <w:p>
      <w:pPr>
        <w:pStyle w:val="BodyText"/>
        <w:overflowPunct w:val="true"/>
        <w:spacing w:lineRule="auto" w:line="240" w:before="0" w:after="20"/>
        <w:jc w:val="both"/>
        <w:rPr/>
      </w:pPr>
      <w:r>
        <w:rPr/>
      </w:r>
    </w:p>
    <w:p>
      <w:pPr>
        <w:pStyle w:val="BodyText"/>
        <w:overflowPunct w:val="true"/>
        <w:spacing w:lineRule="auto" w:line="240" w:before="0" w:after="20"/>
        <w:jc w:val="both"/>
        <w:rPr/>
      </w:pPr>
      <w:r>
        <w:rPr/>
      </w:r>
    </w:p>
    <w:p>
      <w:pPr>
        <w:pStyle w:val="BodyText"/>
        <w:overflowPunct w:val="true"/>
        <w:spacing w:lineRule="auto" w:line="240" w:before="0" w:after="20"/>
        <w:jc w:val="both"/>
        <w:rPr/>
      </w:pPr>
      <w:r>
        <w:rPr/>
      </w:r>
    </w:p>
    <w:p>
      <w:pPr>
        <w:pStyle w:val="BodyText"/>
        <w:overflowPunct w:val="true"/>
        <w:spacing w:lineRule="auto" w:line="240" w:before="0" w:after="20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id w:val="-1790110079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id w:val="-1790110079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link w:val="Style14"/>
    <w:qFormat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Droid Sans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20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Application>LibreOffice/7.6.7.2$Linux_X86_64 LibreOffice_project/60$Build-2</Application>
  <AppVersion>15.0000</AppVersion>
  <Pages>8</Pages>
  <Words>1599</Words>
  <Characters>11325</Characters>
  <CharactersWithSpaces>12746</CharactersWithSpaces>
  <Paragraphs>242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2024-06-12T21:21:00Z</dcterms:created>
  <dc:creator>Пользователь Windows</dc:creator>
  <dc:description/>
  <dc:language>ru-RU</dc:language>
  <cp:lastModifiedBy/>
  <cp:lastPrinted>2025-05-15T10:09:00Z</cp:lastPrinted>
  <dcterms:modified xsi:type="dcterms:W3CDTF">2025-06-25T15:03:30Z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