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36DC4" w14:textId="246F683B" w:rsidR="006A5EAD" w:rsidRDefault="006A5EAD" w:rsidP="006A5EAD">
      <w:pPr>
        <w:pStyle w:val="1"/>
        <w:keepNext w:val="0"/>
        <w:keepLines w:val="0"/>
        <w:tabs>
          <w:tab w:val="left" w:pos="567"/>
        </w:tabs>
        <w:spacing w:before="120" w:after="120" w:line="360" w:lineRule="auto"/>
        <w:jc w:val="right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</w:pPr>
      <w:bookmarkStart w:id="0" w:name="_Toc101520384"/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>Приложение №1</w:t>
      </w:r>
    </w:p>
    <w:p w14:paraId="4901A7DB" w14:textId="33D10757" w:rsidR="007A7F48" w:rsidRDefault="007A7F48" w:rsidP="007A7F48">
      <w:pPr>
        <w:pStyle w:val="1"/>
        <w:keepNext w:val="0"/>
        <w:keepLines w:val="0"/>
        <w:tabs>
          <w:tab w:val="left" w:pos="567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>ТЕХНИЧЕСКОЕ ЗАДАНИЕ</w:t>
      </w:r>
      <w:bookmarkEnd w:id="0"/>
    </w:p>
    <w:p w14:paraId="5F915D24" w14:textId="5271B6E4" w:rsidR="00F5557E" w:rsidRPr="007A0CBA" w:rsidRDefault="00CC35A1" w:rsidP="007A7F48">
      <w:pPr>
        <w:spacing w:line="360" w:lineRule="auto"/>
        <w:jc w:val="center"/>
        <w:rPr>
          <w:b/>
          <w:bCs/>
          <w:kern w:val="36"/>
        </w:rPr>
      </w:pPr>
      <w:r w:rsidRPr="00CC35A1">
        <w:rPr>
          <w:b/>
          <w:bCs/>
          <w:kern w:val="36"/>
        </w:rPr>
        <w:t xml:space="preserve">на оказание услуг по </w:t>
      </w:r>
      <w:r w:rsidR="00100687">
        <w:rPr>
          <w:b/>
          <w:bCs/>
          <w:kern w:val="36"/>
        </w:rPr>
        <w:t>проведению</w:t>
      </w:r>
      <w:r w:rsidR="00F5557E">
        <w:rPr>
          <w:b/>
          <w:bCs/>
          <w:kern w:val="36"/>
        </w:rPr>
        <w:t xml:space="preserve"> </w:t>
      </w:r>
      <w:r w:rsidR="00523A62">
        <w:rPr>
          <w:b/>
          <w:bCs/>
          <w:kern w:val="36"/>
        </w:rPr>
        <w:t xml:space="preserve">экспертизы промышленной безопасности </w:t>
      </w:r>
      <w:r w:rsidR="00F5557E">
        <w:rPr>
          <w:b/>
          <w:bCs/>
          <w:kern w:val="36"/>
        </w:rPr>
        <w:t>резервуаров резервного топлива (дизель)</w:t>
      </w:r>
      <w:r w:rsidR="009A227B" w:rsidRPr="009A227B">
        <w:rPr>
          <w:b/>
          <w:bCs/>
          <w:kern w:val="36"/>
        </w:rPr>
        <w:t xml:space="preserve"> </w:t>
      </w:r>
    </w:p>
    <w:p w14:paraId="66AF0D16" w14:textId="77777777" w:rsidR="007A7F48" w:rsidRPr="002E34B1" w:rsidRDefault="00523A62" w:rsidP="007A7F48">
      <w:pPr>
        <w:spacing w:line="360" w:lineRule="auto"/>
        <w:jc w:val="center"/>
        <w:rPr>
          <w:color w:val="0D0D0D" w:themeColor="text1" w:themeTint="F2"/>
        </w:rPr>
      </w:pPr>
      <w:r>
        <w:rPr>
          <w:b/>
          <w:bCs/>
          <w:kern w:val="36"/>
        </w:rPr>
        <w:t xml:space="preserve"> ООО «Гранель Инжиниринг»</w:t>
      </w:r>
    </w:p>
    <w:tbl>
      <w:tblPr>
        <w:tblStyle w:val="a4"/>
        <w:tblW w:w="102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399"/>
        <w:gridCol w:w="6095"/>
      </w:tblGrid>
      <w:tr w:rsidR="007A7F48" w:rsidRPr="002E34B1" w14:paraId="25A35F04" w14:textId="77777777" w:rsidTr="00C15EC1">
        <w:tc>
          <w:tcPr>
            <w:tcW w:w="710" w:type="dxa"/>
          </w:tcPr>
          <w:p w14:paraId="6495EB1E" w14:textId="77777777" w:rsidR="007A7F48" w:rsidRPr="002E34B1" w:rsidRDefault="007A7F48" w:rsidP="00C15EC1">
            <w:pPr>
              <w:spacing w:line="360" w:lineRule="auto"/>
              <w:jc w:val="center"/>
              <w:rPr>
                <w:b/>
                <w:color w:val="0D0D0D" w:themeColor="text1" w:themeTint="F2"/>
                <w:lang w:val="en-US"/>
              </w:rPr>
            </w:pPr>
            <w:r w:rsidRPr="002E34B1">
              <w:rPr>
                <w:b/>
                <w:color w:val="0D0D0D" w:themeColor="text1" w:themeTint="F2"/>
              </w:rPr>
              <w:t>№</w:t>
            </w:r>
          </w:p>
        </w:tc>
        <w:tc>
          <w:tcPr>
            <w:tcW w:w="3399" w:type="dxa"/>
            <w:vAlign w:val="center"/>
          </w:tcPr>
          <w:p w14:paraId="6669CDD7" w14:textId="77777777" w:rsidR="007A7F48" w:rsidRPr="002E34B1" w:rsidRDefault="007A7F48" w:rsidP="00C15EC1">
            <w:pPr>
              <w:spacing w:line="360" w:lineRule="auto"/>
              <w:jc w:val="center"/>
              <w:rPr>
                <w:b/>
                <w:color w:val="0D0D0D" w:themeColor="text1" w:themeTint="F2"/>
              </w:rPr>
            </w:pPr>
            <w:r w:rsidRPr="002E34B1">
              <w:rPr>
                <w:b/>
                <w:color w:val="0D0D0D" w:themeColor="text1" w:themeTint="F2"/>
              </w:rPr>
              <w:t>Наименование пункта</w:t>
            </w:r>
          </w:p>
        </w:tc>
        <w:tc>
          <w:tcPr>
            <w:tcW w:w="6095" w:type="dxa"/>
            <w:vAlign w:val="center"/>
          </w:tcPr>
          <w:p w14:paraId="040A992F" w14:textId="77777777" w:rsidR="007A7F48" w:rsidRPr="002E34B1" w:rsidRDefault="007A7F48" w:rsidP="00C15EC1">
            <w:pPr>
              <w:spacing w:line="360" w:lineRule="auto"/>
              <w:jc w:val="center"/>
              <w:rPr>
                <w:b/>
                <w:color w:val="0D0D0D" w:themeColor="text1" w:themeTint="F2"/>
              </w:rPr>
            </w:pPr>
            <w:r w:rsidRPr="002E34B1">
              <w:rPr>
                <w:b/>
                <w:color w:val="0D0D0D" w:themeColor="text1" w:themeTint="F2"/>
              </w:rPr>
              <w:t>Информация</w:t>
            </w:r>
          </w:p>
        </w:tc>
      </w:tr>
      <w:tr w:rsidR="007A7F48" w:rsidRPr="002E34B1" w14:paraId="7789F757" w14:textId="77777777" w:rsidTr="00C15EC1">
        <w:tc>
          <w:tcPr>
            <w:tcW w:w="710" w:type="dxa"/>
            <w:vAlign w:val="center"/>
          </w:tcPr>
          <w:p w14:paraId="0780E61D" w14:textId="77777777" w:rsidR="007A7F48" w:rsidRPr="001D2ABE" w:rsidRDefault="007A7F48" w:rsidP="007A7F48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14:paraId="770888D9" w14:textId="77777777" w:rsidR="007A7F48" w:rsidRPr="001D2ABE" w:rsidRDefault="007A7F48" w:rsidP="00C15EC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D2ABE">
              <w:rPr>
                <w:bCs/>
              </w:rPr>
              <w:t>Наименование оказываемых услуг, выполняемых работ, поставляемых товаров</w:t>
            </w:r>
          </w:p>
        </w:tc>
        <w:tc>
          <w:tcPr>
            <w:tcW w:w="6095" w:type="dxa"/>
          </w:tcPr>
          <w:p w14:paraId="1D76F461" w14:textId="77777777" w:rsidR="0071093C" w:rsidRPr="001D2ABE" w:rsidRDefault="00523A62" w:rsidP="0071093C">
            <w:pPr>
              <w:rPr>
                <w:color w:val="808080" w:themeColor="background1" w:themeShade="80"/>
              </w:rPr>
            </w:pPr>
            <w:r w:rsidRPr="001D2ABE">
              <w:t xml:space="preserve">Проведение </w:t>
            </w:r>
            <w:r w:rsidR="00F5557E" w:rsidRPr="00F5557E">
              <w:t>экспертизы промышленной безопасности резервуаров резервного топлива (дизель)</w:t>
            </w:r>
            <w:r w:rsidR="003F2C5B">
              <w:t xml:space="preserve"> </w:t>
            </w:r>
            <w:r w:rsidR="003F2C5B" w:rsidRPr="003F2C5B">
              <w:t>ООО «Гранель Инжиниринг»</w:t>
            </w:r>
          </w:p>
        </w:tc>
      </w:tr>
      <w:tr w:rsidR="007A7F48" w:rsidRPr="002E34B1" w14:paraId="601A4271" w14:textId="77777777" w:rsidTr="00C15EC1">
        <w:tc>
          <w:tcPr>
            <w:tcW w:w="710" w:type="dxa"/>
            <w:vAlign w:val="center"/>
          </w:tcPr>
          <w:p w14:paraId="02E2B71A" w14:textId="77777777" w:rsidR="007A7F48" w:rsidRPr="001D2ABE" w:rsidRDefault="007A7F48" w:rsidP="007A7F48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14:paraId="4E97028A" w14:textId="77777777" w:rsidR="007A7F48" w:rsidRPr="001D2ABE" w:rsidRDefault="007A7F48" w:rsidP="00C15EC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D2ABE">
              <w:rPr>
                <w:bCs/>
              </w:rPr>
              <w:t>Цель оказания услуг, работ, поставки товаров</w:t>
            </w:r>
          </w:p>
        </w:tc>
        <w:tc>
          <w:tcPr>
            <w:tcW w:w="6095" w:type="dxa"/>
          </w:tcPr>
          <w:p w14:paraId="1249346A" w14:textId="77777777" w:rsidR="00CE49D5" w:rsidRPr="001D2ABE" w:rsidRDefault="00CE49D5" w:rsidP="00CE49D5">
            <w:r w:rsidRPr="001D2ABE">
              <w:t>Во исполнение следующих нормативных документов:</w:t>
            </w:r>
          </w:p>
          <w:p w14:paraId="1D6C8D8B" w14:textId="77777777" w:rsidR="007A7F48" w:rsidRPr="001D2ABE" w:rsidRDefault="00523A62" w:rsidP="00CC35A1">
            <w:r w:rsidRPr="001D2ABE">
              <w:t>- Статья 13. Экспертиза промышленной безопасности Федерального закона "О промышленной безопасности опасных производственных объектов" от 21.07.1997 N 116-ФЗ</w:t>
            </w:r>
          </w:p>
          <w:p w14:paraId="687EC876" w14:textId="77777777" w:rsidR="00523A62" w:rsidRPr="001D2ABE" w:rsidRDefault="00523A62" w:rsidP="00523A62">
            <w:r w:rsidRPr="001D2ABE">
              <w:t>- Федеральны</w:t>
            </w:r>
            <w:r w:rsidR="001D2ABE">
              <w:t>е</w:t>
            </w:r>
            <w:r w:rsidRPr="001D2ABE">
              <w:t xml:space="preserve"> норм</w:t>
            </w:r>
            <w:r w:rsidR="001D2ABE">
              <w:t>ы</w:t>
            </w:r>
            <w:r w:rsidRPr="001D2ABE">
              <w:t xml:space="preserve"> и правил</w:t>
            </w:r>
            <w:r w:rsidR="001D2ABE">
              <w:t>а</w:t>
            </w:r>
            <w:r w:rsidRPr="001D2ABE">
              <w:t xml:space="preserve"> в области промышленной безопасности "Правила проведения экспертизы промышленной безопасности" (Приказ Федеральной службы по экологическому,</w:t>
            </w:r>
            <w:r w:rsidR="001D2ABE" w:rsidRPr="001D2ABE">
              <w:t xml:space="preserve"> </w:t>
            </w:r>
            <w:r w:rsidRPr="001D2ABE">
              <w:t>технологическому и атомному надзору</w:t>
            </w:r>
            <w:r w:rsidR="001D2ABE" w:rsidRPr="001D2ABE">
              <w:t xml:space="preserve"> </w:t>
            </w:r>
            <w:r w:rsidRPr="001D2ABE">
              <w:t>от 20 октября 2020 года N 420);</w:t>
            </w:r>
          </w:p>
          <w:p w14:paraId="62DD5532" w14:textId="77777777" w:rsidR="00523A62" w:rsidRPr="00F5557E" w:rsidRDefault="00523A62" w:rsidP="00523A62">
            <w:r w:rsidRPr="001D2ABE">
              <w:rPr>
                <w:color w:val="808080" w:themeColor="background1" w:themeShade="80"/>
              </w:rPr>
              <w:t xml:space="preserve">- </w:t>
            </w:r>
            <w:r w:rsidRPr="001D2ABE">
              <w:t>Приказ Министерства энергетики РФ от 24 марта 2003 года N 115 Об утверждении «Правил технической эксплуатации тепловых энергоустановок»;</w:t>
            </w:r>
          </w:p>
        </w:tc>
      </w:tr>
      <w:tr w:rsidR="007A7F48" w:rsidRPr="002E34B1" w14:paraId="1E764029" w14:textId="77777777" w:rsidTr="00C15EC1">
        <w:tc>
          <w:tcPr>
            <w:tcW w:w="710" w:type="dxa"/>
            <w:vAlign w:val="center"/>
          </w:tcPr>
          <w:p w14:paraId="6A73DCBD" w14:textId="77777777" w:rsidR="007A7F48" w:rsidRPr="001D2ABE" w:rsidRDefault="007A7F48" w:rsidP="007A7F48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14:paraId="79E829E1" w14:textId="77777777" w:rsidR="007A7F48" w:rsidRPr="001D2ABE" w:rsidRDefault="007A7F48" w:rsidP="00C15EC1">
            <w:pPr>
              <w:spacing w:line="360" w:lineRule="auto"/>
              <w:jc w:val="center"/>
              <w:rPr>
                <w:bCs/>
              </w:rPr>
            </w:pPr>
            <w:r w:rsidRPr="001D2ABE">
              <w:rPr>
                <w:bCs/>
              </w:rPr>
              <w:t>Наименование производственного объекта и его расположение, адрес поставки</w:t>
            </w:r>
          </w:p>
        </w:tc>
        <w:tc>
          <w:tcPr>
            <w:tcW w:w="6095" w:type="dxa"/>
          </w:tcPr>
          <w:p w14:paraId="5A9B9A2B" w14:textId="77777777" w:rsidR="007A7F48" w:rsidRPr="001D2ABE" w:rsidRDefault="00CC35A1" w:rsidP="00CE49D5">
            <w:pPr>
              <w:rPr>
                <w:color w:val="808080" w:themeColor="background1" w:themeShade="80"/>
              </w:rPr>
            </w:pPr>
            <w:r w:rsidRPr="001D2ABE">
              <w:t>Перечень объектов и месторасположение указано в Приложении №1 к Техническому заданию</w:t>
            </w:r>
          </w:p>
        </w:tc>
      </w:tr>
      <w:tr w:rsidR="007A7F48" w:rsidRPr="002E34B1" w14:paraId="79F53F50" w14:textId="77777777" w:rsidTr="00C15EC1">
        <w:tc>
          <w:tcPr>
            <w:tcW w:w="710" w:type="dxa"/>
            <w:vAlign w:val="center"/>
          </w:tcPr>
          <w:p w14:paraId="398824E2" w14:textId="77777777" w:rsidR="007A7F48" w:rsidRPr="001D2ABE" w:rsidRDefault="007A7F48" w:rsidP="007A7F48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14:paraId="36FBD096" w14:textId="77777777" w:rsidR="007A7F48" w:rsidRPr="001D2ABE" w:rsidRDefault="007A7F48" w:rsidP="00C15EC1">
            <w:pPr>
              <w:spacing w:line="360" w:lineRule="auto"/>
              <w:jc w:val="center"/>
              <w:rPr>
                <w:bCs/>
              </w:rPr>
            </w:pPr>
            <w:r w:rsidRPr="001D2ABE">
              <w:rPr>
                <w:bCs/>
              </w:rPr>
              <w:t>Срок оказания услуг, работ, поставки товаров</w:t>
            </w:r>
          </w:p>
        </w:tc>
        <w:tc>
          <w:tcPr>
            <w:tcW w:w="6095" w:type="dxa"/>
          </w:tcPr>
          <w:p w14:paraId="757DE634" w14:textId="77777777" w:rsidR="008F6E44" w:rsidRPr="001D2ABE" w:rsidRDefault="00A07C86" w:rsidP="00A32DCD">
            <w:r w:rsidRPr="001D2ABE">
              <w:t xml:space="preserve">Начало – с момента начала оказания услуг по договору, Окончание – </w:t>
            </w:r>
            <w:r w:rsidR="00F5557E">
              <w:t>31.12.2025г.</w:t>
            </w:r>
          </w:p>
        </w:tc>
      </w:tr>
      <w:tr w:rsidR="007A7F48" w:rsidRPr="002E34B1" w14:paraId="315841C2" w14:textId="77777777" w:rsidTr="00C15EC1">
        <w:tc>
          <w:tcPr>
            <w:tcW w:w="710" w:type="dxa"/>
            <w:vAlign w:val="center"/>
          </w:tcPr>
          <w:p w14:paraId="508AEBF4" w14:textId="77777777" w:rsidR="007A7F48" w:rsidRPr="001D2ABE" w:rsidRDefault="007A7F48" w:rsidP="007A7F48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14:paraId="7C8ACE46" w14:textId="77777777" w:rsidR="007A7F48" w:rsidRPr="001D2ABE" w:rsidRDefault="007A7F48" w:rsidP="00C15EC1">
            <w:pPr>
              <w:spacing w:line="360" w:lineRule="auto"/>
              <w:jc w:val="center"/>
              <w:rPr>
                <w:bCs/>
              </w:rPr>
            </w:pPr>
            <w:r w:rsidRPr="001D2ABE">
              <w:rPr>
                <w:bCs/>
              </w:rPr>
              <w:t xml:space="preserve">Порядок оказания услуг работ, поставки товара </w:t>
            </w:r>
          </w:p>
        </w:tc>
        <w:tc>
          <w:tcPr>
            <w:tcW w:w="6095" w:type="dxa"/>
          </w:tcPr>
          <w:p w14:paraId="74183D13" w14:textId="77777777" w:rsidR="00F5557E" w:rsidRPr="00F5557E" w:rsidRDefault="00F5557E" w:rsidP="004C444E">
            <w:pPr>
              <w:pStyle w:val="a3"/>
              <w:spacing w:line="240" w:lineRule="auto"/>
              <w:ind w:left="182"/>
              <w:rPr>
                <w:b/>
                <w:i/>
              </w:rPr>
            </w:pPr>
            <w:r w:rsidRPr="00F5557E">
              <w:rPr>
                <w:b/>
                <w:i/>
              </w:rPr>
              <w:t>Порядок проведения работ по экспертизе промышленной безопасности:</w:t>
            </w:r>
          </w:p>
          <w:p w14:paraId="59C60FCB" w14:textId="589AB00B" w:rsidR="00BD02B3" w:rsidRPr="004C444E" w:rsidRDefault="00190820" w:rsidP="00C165D4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40"/>
              <w:rPr>
                <w:sz w:val="24"/>
                <w:szCs w:val="24"/>
              </w:rPr>
            </w:pPr>
            <w:r w:rsidRPr="004C444E">
              <w:rPr>
                <w:sz w:val="24"/>
                <w:szCs w:val="24"/>
              </w:rPr>
              <w:t>Уточнение технических характеристик объектов, указанных в Приложении №1 к Техническому заданию в рамках предоставленной исполнительной документации от заказчика для составления четкого заключения экспертизы промышленной безопасности</w:t>
            </w:r>
            <w:r w:rsidR="00F5557E" w:rsidRPr="004C444E">
              <w:rPr>
                <w:sz w:val="24"/>
                <w:szCs w:val="24"/>
              </w:rPr>
              <w:t>.</w:t>
            </w:r>
          </w:p>
          <w:p w14:paraId="49D2A83A" w14:textId="318C9490" w:rsidR="004C444E" w:rsidRDefault="00CD57A8" w:rsidP="00C165D4">
            <w:pPr>
              <w:pStyle w:val="a5"/>
              <w:numPr>
                <w:ilvl w:val="0"/>
                <w:numId w:val="3"/>
              </w:numPr>
              <w:ind w:left="0" w:firstLine="106"/>
            </w:pPr>
            <w:r w:rsidRPr="004C444E">
              <w:t>Составление программы проведения ЭПБ. Визуальный осмотр всех конструкций резервуара, включая сварные соединения.</w:t>
            </w:r>
          </w:p>
          <w:p w14:paraId="01A238A5" w14:textId="7D682C4A" w:rsidR="00CD57A8" w:rsidRDefault="004C444E" w:rsidP="00C165D4">
            <w:pPr>
              <w:pStyle w:val="a5"/>
              <w:numPr>
                <w:ilvl w:val="0"/>
                <w:numId w:val="3"/>
              </w:numPr>
              <w:ind w:left="0" w:firstLine="0"/>
            </w:pPr>
            <w:r>
              <w:t>При необходимости проведения замеров и исследования резервуаров изнутри</w:t>
            </w:r>
            <w:r w:rsidR="00C165D4">
              <w:t>,</w:t>
            </w:r>
            <w:r>
              <w:t xml:space="preserve"> </w:t>
            </w:r>
            <w:r w:rsidRPr="00262316">
              <w:rPr>
                <w:b/>
                <w:i/>
              </w:rPr>
              <w:t xml:space="preserve">необходимо удалить дизельное топливо из резервуаров в </w:t>
            </w:r>
            <w:r w:rsidR="00522619">
              <w:rPr>
                <w:b/>
                <w:i/>
              </w:rPr>
              <w:t>отдельную</w:t>
            </w:r>
            <w:r w:rsidRPr="00262316">
              <w:rPr>
                <w:b/>
                <w:i/>
              </w:rPr>
              <w:t xml:space="preserve"> емкость.</w:t>
            </w:r>
            <w:r>
              <w:t xml:space="preserve"> При наличии свободной емкости перекачать дизельное топливо из одного резервуара в </w:t>
            </w:r>
            <w:r>
              <w:lastRenderedPageBreak/>
              <w:t>другой.</w:t>
            </w:r>
            <w:r w:rsidR="00CD57A8" w:rsidRPr="004C444E">
              <w:br/>
              <w:t>3. Измерение фактических толщин элементов резервуара</w:t>
            </w:r>
            <w:r w:rsidR="00CD57A8" w:rsidRPr="004C444E">
              <w:rPr>
                <w:rFonts w:ascii="Georgia" w:hAnsi="Georgia"/>
                <w:color w:val="636363"/>
              </w:rPr>
              <w:br/>
            </w:r>
            <w:r w:rsidR="00CD57A8" w:rsidRPr="004C444E">
              <w:t>4. Измерение геометрической</w:t>
            </w:r>
            <w:r w:rsidR="00CD57A8" w:rsidRPr="00CD57A8">
              <w:t xml:space="preserve"> формы стенки и нивелирование днища</w:t>
            </w:r>
            <w:r w:rsidR="00CD57A8">
              <w:rPr>
                <w:rFonts w:ascii="Georgia" w:hAnsi="Georgia"/>
                <w:color w:val="636363"/>
                <w:sz w:val="20"/>
                <w:szCs w:val="20"/>
              </w:rPr>
              <w:br/>
            </w:r>
            <w:r w:rsidR="00CD57A8">
              <w:t xml:space="preserve">5. </w:t>
            </w:r>
            <w:r w:rsidR="00CD57A8" w:rsidRPr="00CD57A8">
              <w:t>Контроль сварных соединений стенки неразрушающими методами</w:t>
            </w:r>
            <w:r w:rsidR="003F2C5B">
              <w:t>.</w:t>
            </w:r>
          </w:p>
          <w:p w14:paraId="1FB9AE16" w14:textId="44DC8825" w:rsidR="00F5557E" w:rsidRPr="00BD02B3" w:rsidRDefault="00787CCD" w:rsidP="004C444E">
            <w:pPr>
              <w:pStyle w:val="a5"/>
              <w:numPr>
                <w:ilvl w:val="0"/>
                <w:numId w:val="1"/>
              </w:numPr>
              <w:ind w:left="0" w:hanging="280"/>
              <w:rPr>
                <w:color w:val="808080" w:themeColor="background1" w:themeShade="80"/>
              </w:rPr>
            </w:pPr>
            <w:r>
              <w:t xml:space="preserve">6. </w:t>
            </w:r>
            <w:r w:rsidR="00CD57A8">
              <w:t>И</w:t>
            </w:r>
            <w:r w:rsidR="00CD57A8" w:rsidRPr="00CD57A8">
              <w:t>сследование химического состава, механических свойств металлов и сварных соединений и их структуры</w:t>
            </w:r>
            <w:r w:rsidR="00CD57A8" w:rsidRPr="00CD57A8">
              <w:br/>
            </w:r>
            <w:r w:rsidR="00CD57A8">
              <w:t xml:space="preserve">7. </w:t>
            </w:r>
            <w:r w:rsidR="00CD57A8" w:rsidRPr="00CD57A8">
              <w:t>Проверку состояния основания и отмостки</w:t>
            </w:r>
            <w:r w:rsidR="00CD57A8" w:rsidRPr="00CD57A8">
              <w:br/>
            </w:r>
            <w:r w:rsidR="00CD57A8">
              <w:t xml:space="preserve">8. </w:t>
            </w:r>
            <w:r w:rsidR="00CD57A8" w:rsidRPr="00CD57A8">
              <w:t>Поверочные расчеты конструкций резервуаров</w:t>
            </w:r>
            <w:r w:rsidR="00CD57A8" w:rsidRPr="00CD57A8">
              <w:rPr>
                <w:rFonts w:ascii="Georgia" w:hAnsi="Georgia"/>
                <w:color w:val="636363"/>
                <w:sz w:val="20"/>
                <w:szCs w:val="20"/>
              </w:rPr>
              <w:br/>
            </w:r>
            <w:r w:rsidR="00CD57A8">
              <w:t xml:space="preserve">9. </w:t>
            </w:r>
            <w:r w:rsidR="00CD57A8" w:rsidRPr="00CD57A8">
              <w:t>Анализ результатов обследования, составление заключения о техническом состоянии резервуара, разработка рекомендаций по его дальнейшей эксплуатации, ремонту или исключению из эксплуатации</w:t>
            </w:r>
            <w:r w:rsidR="00CD57A8" w:rsidRPr="00CD57A8">
              <w:rPr>
                <w:rFonts w:ascii="Georgia" w:hAnsi="Georgia"/>
                <w:color w:val="636363"/>
                <w:sz w:val="20"/>
                <w:szCs w:val="20"/>
              </w:rPr>
              <w:br/>
            </w:r>
            <w:r w:rsidR="00CD57A8">
              <w:t xml:space="preserve">10. </w:t>
            </w:r>
            <w:r w:rsidR="001D2ABE" w:rsidRPr="006E0E2B">
              <w:t>Регистрация заключения экспертизы промышленной безопасности в Центральном управлении Федеральной службы по экологическому, технологическому и атомному надзору (Ростехнадзоре).</w:t>
            </w:r>
          </w:p>
        </w:tc>
      </w:tr>
      <w:tr w:rsidR="007A7F48" w:rsidRPr="00AD4108" w14:paraId="50E5362E" w14:textId="77777777" w:rsidTr="00C15EC1">
        <w:trPr>
          <w:trHeight w:val="1122"/>
        </w:trPr>
        <w:tc>
          <w:tcPr>
            <w:tcW w:w="710" w:type="dxa"/>
            <w:vAlign w:val="center"/>
          </w:tcPr>
          <w:p w14:paraId="21DF790F" w14:textId="77777777" w:rsidR="007A7F48" w:rsidRPr="001D2ABE" w:rsidRDefault="007A7F48" w:rsidP="007A7F48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14:paraId="1533F62A" w14:textId="77777777" w:rsidR="007A7F48" w:rsidRPr="001D2ABE" w:rsidRDefault="007A7F48" w:rsidP="00C15EC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D2ABE">
              <w:rPr>
                <w:bCs/>
              </w:rPr>
              <w:t>Описание предмета закупки, с указанием кода ОКПД2</w:t>
            </w:r>
            <w:r w:rsidRPr="001D2ABE">
              <w:rPr>
                <w:bCs/>
                <w:color w:val="000000" w:themeColor="text1"/>
              </w:rPr>
              <w:t xml:space="preserve">                    </w:t>
            </w:r>
          </w:p>
        </w:tc>
        <w:tc>
          <w:tcPr>
            <w:tcW w:w="6095" w:type="dxa"/>
          </w:tcPr>
          <w:p w14:paraId="05776834" w14:textId="17D47821" w:rsidR="007A7F48" w:rsidRPr="00F5557E" w:rsidRDefault="00190820" w:rsidP="00CE49D5">
            <w:pPr>
              <w:rPr>
                <w:color w:val="FF0000"/>
              </w:rPr>
            </w:pPr>
            <w:r w:rsidRPr="00F5557E">
              <w:rPr>
                <w:color w:val="FF0000"/>
              </w:rPr>
              <w:t>ОКПД 2: 71.20.</w:t>
            </w:r>
            <w:r w:rsidR="00EF11FF">
              <w:rPr>
                <w:color w:val="FF0000"/>
              </w:rPr>
              <w:t>19</w:t>
            </w:r>
            <w:r w:rsidR="006A5EAD">
              <w:rPr>
                <w:color w:val="FF0000"/>
              </w:rPr>
              <w:t>.190</w:t>
            </w:r>
          </w:p>
        </w:tc>
      </w:tr>
      <w:tr w:rsidR="007A7F48" w:rsidRPr="00AD4108" w14:paraId="3CE6AE3D" w14:textId="77777777" w:rsidTr="00C15EC1">
        <w:tc>
          <w:tcPr>
            <w:tcW w:w="710" w:type="dxa"/>
            <w:vAlign w:val="center"/>
          </w:tcPr>
          <w:p w14:paraId="045C71C2" w14:textId="77777777" w:rsidR="007A7F48" w:rsidRPr="001D2ABE" w:rsidRDefault="007A7F48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14:paraId="6984DA4B" w14:textId="77777777" w:rsidR="007A7F48" w:rsidRPr="001D2ABE" w:rsidRDefault="007A7F48" w:rsidP="00C15EC1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399" w:type="dxa"/>
            <w:vAlign w:val="center"/>
          </w:tcPr>
          <w:p w14:paraId="28B75FA4" w14:textId="77777777" w:rsidR="007A7F48" w:rsidRPr="001D2ABE" w:rsidRDefault="007A7F48" w:rsidP="00C15EC1">
            <w:pPr>
              <w:spacing w:line="360" w:lineRule="auto"/>
              <w:jc w:val="center"/>
              <w:rPr>
                <w:color w:val="000000" w:themeColor="text1"/>
              </w:rPr>
            </w:pPr>
            <w:r w:rsidRPr="001D2ABE">
              <w:rPr>
                <w:color w:val="0D0D0D" w:themeColor="text1" w:themeTint="F2"/>
              </w:rPr>
              <w:t>Состав закупки и количество</w:t>
            </w:r>
          </w:p>
        </w:tc>
        <w:tc>
          <w:tcPr>
            <w:tcW w:w="6095" w:type="dxa"/>
          </w:tcPr>
          <w:p w14:paraId="1DDCDBBD" w14:textId="77777777" w:rsidR="007A7F48" w:rsidRPr="006E0E2B" w:rsidRDefault="00B8187D" w:rsidP="00CE49D5">
            <w:pPr>
              <w:rPr>
                <w:color w:val="808080" w:themeColor="background1" w:themeShade="80"/>
              </w:rPr>
            </w:pPr>
            <w:r>
              <w:t>У</w:t>
            </w:r>
            <w:r w:rsidRPr="006E0E2B">
              <w:t>казаны в Приложении №1 к Техническому заданию</w:t>
            </w:r>
          </w:p>
        </w:tc>
      </w:tr>
      <w:tr w:rsidR="007A7F48" w:rsidRPr="00AD4108" w14:paraId="48EEF9E3" w14:textId="77777777" w:rsidTr="00C15EC1">
        <w:tc>
          <w:tcPr>
            <w:tcW w:w="710" w:type="dxa"/>
            <w:vAlign w:val="center"/>
          </w:tcPr>
          <w:p w14:paraId="78B7260F" w14:textId="77777777" w:rsidR="007A7F48" w:rsidRPr="001D2ABE" w:rsidRDefault="007A7F48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14:paraId="253C0DBA" w14:textId="77777777" w:rsidR="007A7F48" w:rsidRPr="001D2ABE" w:rsidRDefault="007A7F48" w:rsidP="00C15EC1">
            <w:pPr>
              <w:spacing w:line="360" w:lineRule="auto"/>
              <w:jc w:val="center"/>
            </w:pPr>
            <w:r w:rsidRPr="001D2ABE">
              <w:rPr>
                <w:color w:val="0D0D0D" w:themeColor="text1" w:themeTint="F2"/>
              </w:rPr>
              <w:t>Исходные данные для договора</w:t>
            </w:r>
          </w:p>
        </w:tc>
        <w:tc>
          <w:tcPr>
            <w:tcW w:w="6095" w:type="dxa"/>
          </w:tcPr>
          <w:p w14:paraId="0BE77137" w14:textId="77777777" w:rsidR="007A7F48" w:rsidRPr="006E0E2B" w:rsidRDefault="009973CB" w:rsidP="009973CB">
            <w:pPr>
              <w:rPr>
                <w:color w:val="808080" w:themeColor="background1" w:themeShade="80"/>
              </w:rPr>
            </w:pPr>
            <w:r w:rsidRPr="006E0E2B">
              <w:t>Исходные данные указаны в Приложении №1 к Техническому заданию</w:t>
            </w:r>
          </w:p>
        </w:tc>
      </w:tr>
      <w:tr w:rsidR="007A7F48" w:rsidRPr="00AD4108" w14:paraId="409FCDB5" w14:textId="77777777" w:rsidTr="00C15EC1">
        <w:tc>
          <w:tcPr>
            <w:tcW w:w="710" w:type="dxa"/>
            <w:vAlign w:val="center"/>
          </w:tcPr>
          <w:p w14:paraId="12F54811" w14:textId="77777777" w:rsidR="007A7F48" w:rsidRPr="001D2ABE" w:rsidRDefault="007A7F48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14:paraId="66DA7C68" w14:textId="77777777" w:rsidR="007A7F48" w:rsidRPr="001D2ABE" w:rsidRDefault="007A7F48" w:rsidP="00C15EC1">
            <w:pPr>
              <w:spacing w:line="360" w:lineRule="auto"/>
              <w:jc w:val="center"/>
              <w:rPr>
                <w:color w:val="0D0D0D" w:themeColor="text1" w:themeTint="F2"/>
              </w:rPr>
            </w:pPr>
            <w:r w:rsidRPr="001D2ABE">
              <w:rPr>
                <w:color w:val="0D0D0D" w:themeColor="text1" w:themeTint="F2"/>
              </w:rPr>
              <w:t xml:space="preserve">Гарантийный срок на Товар/оборудование         </w:t>
            </w:r>
          </w:p>
        </w:tc>
        <w:tc>
          <w:tcPr>
            <w:tcW w:w="6095" w:type="dxa"/>
          </w:tcPr>
          <w:p w14:paraId="66E37F84" w14:textId="39F9AF20" w:rsidR="007A7F48" w:rsidRPr="006E0E2B" w:rsidRDefault="00E5174A" w:rsidP="00E5174A">
            <w:r>
              <w:t>Дальнейшая эксплуатация резервуаров определяется экспертизой промышленной безопасности.</w:t>
            </w:r>
            <w:r w:rsidR="00126C29">
              <w:t xml:space="preserve"> Не менее 5 лет с момента проведения экспертизы.</w:t>
            </w:r>
          </w:p>
        </w:tc>
      </w:tr>
      <w:tr w:rsidR="007A7F48" w:rsidRPr="00AD4108" w14:paraId="7A4D52CD" w14:textId="77777777" w:rsidTr="00C15EC1">
        <w:tc>
          <w:tcPr>
            <w:tcW w:w="710" w:type="dxa"/>
            <w:vAlign w:val="center"/>
          </w:tcPr>
          <w:p w14:paraId="4DA38207" w14:textId="77777777" w:rsidR="007A7F48" w:rsidRPr="001D2ABE" w:rsidRDefault="007A7F48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14:paraId="14C02841" w14:textId="77777777" w:rsidR="007A7F48" w:rsidRPr="001D2ABE" w:rsidRDefault="007A7F48" w:rsidP="00C15EC1">
            <w:pPr>
              <w:spacing w:line="360" w:lineRule="auto"/>
              <w:jc w:val="center"/>
              <w:rPr>
                <w:color w:val="0D0D0D" w:themeColor="text1" w:themeTint="F2"/>
              </w:rPr>
            </w:pPr>
            <w:r w:rsidRPr="001D2ABE">
              <w:rPr>
                <w:color w:val="0D0D0D" w:themeColor="text1" w:themeTint="F2"/>
              </w:rPr>
              <w:t xml:space="preserve">Гарантийный срок на результаты выполненных работ, </w:t>
            </w:r>
            <w:r w:rsidRPr="001D2ABE">
              <w:t xml:space="preserve">техническое обслуживание, работ/ услуг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AD4F3B2" w14:textId="77777777" w:rsidR="001D1699" w:rsidRPr="00A25772" w:rsidRDefault="001D2ABE" w:rsidP="00607ECA">
            <w:r w:rsidRPr="00A25772">
              <w:t xml:space="preserve">Ответственность за результаты проведенных работ в рамках проведенной экспертизы промышленной безопасности на срок, указанный в </w:t>
            </w:r>
            <w:r w:rsidR="00190820" w:rsidRPr="00A25772">
              <w:t xml:space="preserve">выводах </w:t>
            </w:r>
            <w:r w:rsidRPr="00A25772">
              <w:t>заключени</w:t>
            </w:r>
            <w:r w:rsidR="00190820" w:rsidRPr="00A25772">
              <w:t>я ЭПБ</w:t>
            </w:r>
            <w:r w:rsidR="001D1699" w:rsidRPr="00A25772">
              <w:t>.</w:t>
            </w:r>
          </w:p>
          <w:p w14:paraId="4695C257" w14:textId="77777777" w:rsidR="00C979B9" w:rsidRPr="00A25772" w:rsidRDefault="00C979B9" w:rsidP="00607ECA">
            <w:r w:rsidRPr="00A25772">
              <w:t>В случае обнаружения ошибок в заключении экспертизы промышленной безопасности в рамках плановой проверки инспектором Федеральной службы по экологическому, технологическому и атомному надзору исполнителю необходимо устранить выявленные замечания и внести изменения в реестре заключений экспертизы промышленной безопасности без дополнительных затрат со стороны заказчика.</w:t>
            </w:r>
          </w:p>
        </w:tc>
      </w:tr>
      <w:tr w:rsidR="007A7F48" w:rsidRPr="00AD4108" w14:paraId="54AEEFBF" w14:textId="77777777" w:rsidTr="00C15EC1">
        <w:trPr>
          <w:trHeight w:val="715"/>
        </w:trPr>
        <w:tc>
          <w:tcPr>
            <w:tcW w:w="710" w:type="dxa"/>
            <w:vAlign w:val="center"/>
          </w:tcPr>
          <w:p w14:paraId="036E8274" w14:textId="77777777" w:rsidR="007A7F48" w:rsidRPr="001D2ABE" w:rsidRDefault="007A7F48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399" w:type="dxa"/>
            <w:tcBorders>
              <w:right w:val="single" w:sz="4" w:space="0" w:color="auto"/>
            </w:tcBorders>
            <w:vAlign w:val="center"/>
          </w:tcPr>
          <w:p w14:paraId="418F58E8" w14:textId="77777777" w:rsidR="007A7F48" w:rsidRPr="001D2ABE" w:rsidRDefault="007A7F48" w:rsidP="00C15EC1">
            <w:pPr>
              <w:spacing w:line="360" w:lineRule="auto"/>
              <w:jc w:val="center"/>
              <w:rPr>
                <w:color w:val="0D0D0D" w:themeColor="text1" w:themeTint="F2"/>
              </w:rPr>
            </w:pPr>
            <w:r w:rsidRPr="001D2ABE">
              <w:t>Требования к наличию лицензии, безопасности выполнения работ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0060" w14:textId="77777777" w:rsidR="00563933" w:rsidRPr="00A944E4" w:rsidRDefault="00563933" w:rsidP="006E0E2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8" w:firstLine="425"/>
              <w:rPr>
                <w:color w:val="000000" w:themeColor="text1"/>
                <w:sz w:val="24"/>
              </w:rPr>
            </w:pPr>
            <w:r w:rsidRPr="00126C29">
              <w:rPr>
                <w:sz w:val="24"/>
              </w:rPr>
              <w:t xml:space="preserve">Организация, оказывающая услуги по проведению ЭПБ (ТД, ТО), должна иметь соответствующую </w:t>
            </w:r>
            <w:r w:rsidRPr="00A944E4">
              <w:rPr>
                <w:color w:val="000000" w:themeColor="text1"/>
                <w:sz w:val="24"/>
              </w:rPr>
              <w:t>лицензию на деятельность по проведению ЭПБ, выданную Федеральной службой по экологическому, технологическому и атомному надзору.</w:t>
            </w:r>
          </w:p>
          <w:p w14:paraId="345E12D5" w14:textId="77777777" w:rsidR="00563933" w:rsidRPr="00126C29" w:rsidRDefault="00563933" w:rsidP="006E0E2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8" w:firstLine="425"/>
              <w:rPr>
                <w:sz w:val="24"/>
              </w:rPr>
            </w:pPr>
            <w:r w:rsidRPr="00A944E4">
              <w:rPr>
                <w:color w:val="000000" w:themeColor="text1"/>
                <w:sz w:val="24"/>
              </w:rPr>
              <w:t xml:space="preserve">Организация, оказывающая услуги по проведению ЭПБ (ТД, ТО), должна иметь лабораторию неразрушающего контроля с действующим свидетельством об аккредитации. Работы </w:t>
            </w:r>
            <w:r w:rsidRPr="00126C29">
              <w:rPr>
                <w:sz w:val="24"/>
              </w:rPr>
              <w:t xml:space="preserve">по </w:t>
            </w:r>
            <w:r w:rsidRPr="00126C29">
              <w:rPr>
                <w:sz w:val="24"/>
              </w:rPr>
              <w:lastRenderedPageBreak/>
              <w:t>неразрушающему контролю осуществляются лабораториями, аттестованными в установленном порядке</w:t>
            </w:r>
            <w:r w:rsidR="00EF11FF" w:rsidRPr="00126C29">
              <w:rPr>
                <w:sz w:val="24"/>
              </w:rPr>
              <w:t>.</w:t>
            </w:r>
          </w:p>
          <w:p w14:paraId="1A6D1AAE" w14:textId="3FCB6CA5" w:rsidR="001B1052" w:rsidRPr="00323F79" w:rsidRDefault="00563933" w:rsidP="006E0E2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8" w:firstLine="425"/>
              <w:rPr>
                <w:color w:val="EE0000"/>
                <w:sz w:val="24"/>
              </w:rPr>
            </w:pPr>
            <w:r w:rsidRPr="00126C29">
              <w:rPr>
                <w:sz w:val="24"/>
              </w:rPr>
              <w:t>Организация, оказывающая услуги по проведению ЭПБ (ТД, ТО), должна иметь собственное сертифицированное и поверенное диагностическое</w:t>
            </w:r>
            <w:r w:rsidRPr="00126C29">
              <w:rPr>
                <w:color w:val="FF0000"/>
                <w:sz w:val="24"/>
              </w:rPr>
              <w:t xml:space="preserve"> </w:t>
            </w:r>
            <w:r w:rsidRPr="00126C29">
              <w:rPr>
                <w:sz w:val="24"/>
              </w:rPr>
              <w:t>оборудование, приборы, инструменты и прочие средства измерения (ультразвуковые толщиномеры, дефектоскопы; наборы ВИК; приборы для капиллярного контроля; приборы и оборудование для разрушающего контроля – твердомеры, приборы для исследования структуры металлов), а также наличие предохранительных приспособлений и средств защиты при работах на высоте (приставные лестницы, леса, предохранительные пояса, страховочные канаты и т.д.) с наличием на период проведения работ действующих свидетельств о поверке</w:t>
            </w:r>
            <w:r w:rsidR="001B1052" w:rsidRPr="00984AD8">
              <w:rPr>
                <w:sz w:val="24"/>
              </w:rPr>
              <w:t>.</w:t>
            </w:r>
            <w:r w:rsidR="00EA207B" w:rsidRPr="00984AD8">
              <w:rPr>
                <w:sz w:val="24"/>
              </w:rPr>
              <w:t xml:space="preserve"> </w:t>
            </w:r>
            <w:r w:rsidR="007A0CBA" w:rsidRPr="00984AD8">
              <w:rPr>
                <w:sz w:val="24"/>
              </w:rPr>
              <w:t xml:space="preserve">(балансовая ведомость с перечнем приборов или договор аренды оборудования, свидетельства о поверке приборов) </w:t>
            </w:r>
          </w:p>
          <w:p w14:paraId="1AC08DD6" w14:textId="77777777" w:rsidR="00A944E4" w:rsidRPr="00A944E4" w:rsidRDefault="001B1052" w:rsidP="006E0E2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8" w:firstLine="425"/>
              <w:rPr>
                <w:color w:val="EE0000"/>
                <w:sz w:val="24"/>
              </w:rPr>
            </w:pPr>
            <w:r w:rsidRPr="00126C29">
              <w:rPr>
                <w:sz w:val="24"/>
              </w:rPr>
              <w:t>Наличие в штате как минимум 3х экспертов</w:t>
            </w:r>
            <w:r w:rsidR="006E0E2B" w:rsidRPr="00126C29">
              <w:rPr>
                <w:sz w:val="24"/>
              </w:rPr>
              <w:t xml:space="preserve"> с регистрацией в г. Москва или Московская область </w:t>
            </w:r>
            <w:r w:rsidR="006E0E2B" w:rsidRPr="00A944E4">
              <w:rPr>
                <w:color w:val="000000" w:themeColor="text1"/>
                <w:sz w:val="24"/>
              </w:rPr>
              <w:t>(предоставление трудовых договоров)</w:t>
            </w:r>
            <w:r w:rsidRPr="00A944E4">
              <w:rPr>
                <w:color w:val="000000" w:themeColor="text1"/>
                <w:sz w:val="24"/>
              </w:rPr>
              <w:t>.</w:t>
            </w:r>
          </w:p>
          <w:p w14:paraId="66A541D3" w14:textId="0ECB25C3" w:rsidR="0047305C" w:rsidRPr="00984AD8" w:rsidRDefault="0047305C" w:rsidP="006E0E2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8" w:firstLine="425"/>
              <w:rPr>
                <w:sz w:val="24"/>
              </w:rPr>
            </w:pPr>
            <w:r w:rsidRPr="00A944E4">
              <w:rPr>
                <w:color w:val="000000" w:themeColor="text1"/>
                <w:sz w:val="24"/>
              </w:rPr>
              <w:t xml:space="preserve"> </w:t>
            </w:r>
            <w:r w:rsidR="001B1052" w:rsidRPr="00126C29">
              <w:rPr>
                <w:sz w:val="24"/>
              </w:rPr>
              <w:t>Персонал должен быть аттестован</w:t>
            </w:r>
            <w:r w:rsidRPr="00126C29">
              <w:rPr>
                <w:sz w:val="24"/>
              </w:rPr>
              <w:t xml:space="preserve"> на II квалификационный уровень по следующим видам (методам) неразрушающего контроля: визуальный и измерительный (ВИК); ультразвуковой (УК); радиационный (РК); проникающими веществами: капиллярный (ПВК); проникающими веществами: течеискание (ПВТ</w:t>
            </w:r>
            <w:r w:rsidRPr="00984AD8">
              <w:rPr>
                <w:sz w:val="24"/>
              </w:rPr>
              <w:t xml:space="preserve">); </w:t>
            </w:r>
            <w:proofErr w:type="spellStart"/>
            <w:r w:rsidRPr="00984AD8">
              <w:rPr>
                <w:sz w:val="24"/>
              </w:rPr>
              <w:t>вибродиагностический</w:t>
            </w:r>
            <w:proofErr w:type="spellEnd"/>
            <w:r w:rsidRPr="00984AD8">
              <w:rPr>
                <w:sz w:val="24"/>
              </w:rPr>
              <w:t xml:space="preserve"> (ВД); акустико-эмиссионный (АЭ); тепловой метод (ТК), измерение твердости;</w:t>
            </w:r>
            <w:r w:rsidR="00A944E4" w:rsidRPr="00984AD8">
              <w:rPr>
                <w:sz w:val="24"/>
              </w:rPr>
              <w:t xml:space="preserve"> </w:t>
            </w:r>
            <w:r w:rsidR="007A0CBA" w:rsidRPr="00984AD8">
              <w:rPr>
                <w:sz w:val="24"/>
              </w:rPr>
              <w:t>(удостоверения и протоколы)</w:t>
            </w:r>
          </w:p>
          <w:p w14:paraId="314675B9" w14:textId="37CB19D7" w:rsidR="0047305C" w:rsidRPr="00984AD8" w:rsidRDefault="0047305C" w:rsidP="00984AD8">
            <w:pPr>
              <w:pStyle w:val="a3"/>
              <w:spacing w:after="0" w:line="240" w:lineRule="auto"/>
              <w:ind w:left="8" w:firstLine="425"/>
              <w:rPr>
                <w:sz w:val="24"/>
              </w:rPr>
            </w:pPr>
            <w:r w:rsidRPr="00984AD8">
              <w:rPr>
                <w:sz w:val="24"/>
              </w:rPr>
              <w:t xml:space="preserve">- наличие в штате Исполнителя аттестованного персонала </w:t>
            </w:r>
            <w:r w:rsidR="006E0E2B" w:rsidRPr="00984AD8">
              <w:rPr>
                <w:sz w:val="24"/>
              </w:rPr>
              <w:t xml:space="preserve">(экспертов) </w:t>
            </w:r>
            <w:r w:rsidRPr="00984AD8">
              <w:rPr>
                <w:sz w:val="24"/>
              </w:rPr>
              <w:t>на III квалификационный уровень по следующим видам (методам) неразрушающего контроля: визуальный и измерительный (ВИК); ультразвуковой (УК); радиационный (РК); магнитный (МК);</w:t>
            </w:r>
            <w:r w:rsidR="00A944E4" w:rsidRPr="00984AD8">
              <w:rPr>
                <w:sz w:val="24"/>
              </w:rPr>
              <w:t xml:space="preserve"> </w:t>
            </w:r>
            <w:r w:rsidR="007A0CBA" w:rsidRPr="00984AD8">
              <w:rPr>
                <w:sz w:val="24"/>
              </w:rPr>
              <w:t>(удостоверения и протоколы)</w:t>
            </w:r>
          </w:p>
          <w:p w14:paraId="771F0FD9" w14:textId="77777777" w:rsidR="0047305C" w:rsidRPr="00126C29" w:rsidRDefault="0047305C" w:rsidP="006E0E2B">
            <w:pPr>
              <w:pStyle w:val="a3"/>
              <w:spacing w:after="0" w:line="240" w:lineRule="auto"/>
              <w:ind w:left="8" w:firstLine="425"/>
              <w:rPr>
                <w:sz w:val="24"/>
              </w:rPr>
            </w:pPr>
            <w:r w:rsidRPr="00126C29">
              <w:rPr>
                <w:sz w:val="24"/>
              </w:rPr>
              <w:t>- привлекаемый персонал</w:t>
            </w:r>
            <w:r w:rsidR="006E0E2B" w:rsidRPr="00126C29">
              <w:rPr>
                <w:sz w:val="24"/>
              </w:rPr>
              <w:t xml:space="preserve">(эксперты) </w:t>
            </w:r>
            <w:r w:rsidRPr="00126C29">
              <w:rPr>
                <w:sz w:val="24"/>
              </w:rPr>
              <w:t xml:space="preserve">должен иметь </w:t>
            </w:r>
            <w:r w:rsidRPr="00A944E4">
              <w:rPr>
                <w:color w:val="000000" w:themeColor="text1"/>
                <w:sz w:val="24"/>
              </w:rPr>
              <w:t>свидетельство о повышении квалификации по теме «</w:t>
            </w:r>
            <w:r w:rsidR="00717D5E" w:rsidRPr="00A944E4">
              <w:rPr>
                <w:color w:val="000000" w:themeColor="text1"/>
                <w:sz w:val="24"/>
              </w:rPr>
              <w:t>Общие требования промышленной безопасности</w:t>
            </w:r>
            <w:r w:rsidRPr="00126C29">
              <w:rPr>
                <w:sz w:val="24"/>
              </w:rPr>
              <w:t>»;</w:t>
            </w:r>
          </w:p>
          <w:p w14:paraId="6094FC91" w14:textId="77777777" w:rsidR="00E15F42" w:rsidRPr="00126C29" w:rsidRDefault="00E15F42" w:rsidP="00144C6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71" w:hanging="284"/>
              <w:rPr>
                <w:sz w:val="24"/>
              </w:rPr>
            </w:pPr>
            <w:r w:rsidRPr="00126C29">
              <w:rPr>
                <w:sz w:val="24"/>
              </w:rPr>
              <w:t>Эксперт в области промышленной безопасности обязан:</w:t>
            </w:r>
          </w:p>
          <w:p w14:paraId="4EAA344C" w14:textId="77777777" w:rsidR="00E15F42" w:rsidRPr="00126C29" w:rsidRDefault="00E15F42" w:rsidP="006E0E2B">
            <w:pPr>
              <w:pStyle w:val="a3"/>
              <w:spacing w:after="0" w:line="240" w:lineRule="auto"/>
              <w:ind w:left="0" w:firstLine="425"/>
              <w:rPr>
                <w:sz w:val="24"/>
              </w:rPr>
            </w:pPr>
            <w:r w:rsidRPr="00126C29">
              <w:rPr>
                <w:sz w:val="24"/>
              </w:rPr>
              <w:t>- определять соответствие объектов экспертизы промышленной безопасности требованиям промышленной безопасности путем проведения анализа материалов, предоставленных на экспертизу промышленной безопасности, и фактического состояния технических устройств, применяемых на опасных производственных объектах, зданий и сооружений на опасных производственных объектах, подготавливать заключение экспертизы промышленной безопасности и предоставлять его руководителю организации, проводящей экспертизу промышленной безопасности;</w:t>
            </w:r>
          </w:p>
          <w:p w14:paraId="72A5177B" w14:textId="77777777" w:rsidR="00E15F42" w:rsidRPr="00126C29" w:rsidRDefault="00E15F42" w:rsidP="006E0E2B">
            <w:pPr>
              <w:pStyle w:val="a3"/>
              <w:spacing w:after="0" w:line="240" w:lineRule="auto"/>
              <w:ind w:left="0" w:firstLine="425"/>
              <w:rPr>
                <w:sz w:val="24"/>
              </w:rPr>
            </w:pPr>
            <w:r w:rsidRPr="00126C29">
              <w:rPr>
                <w:sz w:val="24"/>
              </w:rPr>
              <w:lastRenderedPageBreak/>
              <w:t>- соблюдать установленные федеральными нормами и правилами в области промышленной безопасности порядок проведения экспертизы промышленной безопасности и требования к оформлению заключения экспертизы промышленной безопасности;</w:t>
            </w:r>
          </w:p>
          <w:p w14:paraId="4282BBA6" w14:textId="77777777" w:rsidR="00E15F42" w:rsidRPr="00126C29" w:rsidRDefault="00E15F42" w:rsidP="006E0E2B">
            <w:pPr>
              <w:pStyle w:val="a3"/>
              <w:spacing w:after="0" w:line="240" w:lineRule="auto"/>
              <w:ind w:left="0" w:firstLine="425"/>
              <w:rPr>
                <w:sz w:val="24"/>
              </w:rPr>
            </w:pPr>
            <w:r w:rsidRPr="00126C29">
              <w:rPr>
                <w:sz w:val="24"/>
              </w:rPr>
              <w:t>- обеспечивать объективность и обоснованность выводов, содержащихся в заключении экспертизы промышленной безопасности;</w:t>
            </w:r>
          </w:p>
          <w:p w14:paraId="2C65B3C9" w14:textId="77777777" w:rsidR="00EF11FF" w:rsidRPr="00EF11FF" w:rsidRDefault="00E15F42" w:rsidP="006E0E2B">
            <w:pPr>
              <w:pStyle w:val="a3"/>
              <w:spacing w:after="0" w:line="240" w:lineRule="auto"/>
              <w:ind w:left="0" w:firstLine="425"/>
              <w:rPr>
                <w:color w:val="FF0000"/>
              </w:rPr>
            </w:pPr>
            <w:r w:rsidRPr="00126C29">
              <w:rPr>
                <w:sz w:val="24"/>
              </w:rPr>
              <w:t>- обеспечивать сохранность материалов, предоставленных на экспертизу промышленной безопасности, и конфиденциальность информации, полученной в ходе проведения указанной экспертизы.</w:t>
            </w:r>
          </w:p>
        </w:tc>
      </w:tr>
      <w:tr w:rsidR="007A7F48" w:rsidRPr="00AD4108" w14:paraId="7FAB6385" w14:textId="77777777" w:rsidTr="00BD02B3">
        <w:trPr>
          <w:trHeight w:val="841"/>
        </w:trPr>
        <w:tc>
          <w:tcPr>
            <w:tcW w:w="710" w:type="dxa"/>
            <w:vAlign w:val="center"/>
          </w:tcPr>
          <w:p w14:paraId="56306866" w14:textId="77777777" w:rsidR="007A7F48" w:rsidRPr="001D2ABE" w:rsidRDefault="007A7F48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399" w:type="dxa"/>
            <w:tcBorders>
              <w:right w:val="single" w:sz="4" w:space="0" w:color="auto"/>
            </w:tcBorders>
            <w:vAlign w:val="center"/>
          </w:tcPr>
          <w:p w14:paraId="1A21EE1E" w14:textId="77777777" w:rsidR="007A7F48" w:rsidRPr="001D2ABE" w:rsidRDefault="007A7F48" w:rsidP="00C15EC1">
            <w:pPr>
              <w:spacing w:line="360" w:lineRule="auto"/>
              <w:jc w:val="center"/>
            </w:pPr>
            <w:r w:rsidRPr="001D2ABE">
              <w:t>Требования по передаче заказчику технических и иных документов по завершению и сдаче работ.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BF4E" w14:textId="77777777" w:rsidR="001D2ABE" w:rsidRPr="001D1699" w:rsidRDefault="00750B64" w:rsidP="001D2ABE">
            <w:pPr>
              <w:suppressAutoHyphens/>
              <w:ind w:firstLine="709"/>
              <w:jc w:val="both"/>
              <w:rPr>
                <w:rFonts w:eastAsia="Calibri"/>
                <w:bCs/>
                <w:lang w:eastAsia="ar-SA"/>
              </w:rPr>
            </w:pPr>
            <w:r w:rsidRPr="001D1699">
              <w:rPr>
                <w:rFonts w:eastAsia="Calibri"/>
                <w:bCs/>
                <w:lang w:eastAsia="ar-SA"/>
              </w:rPr>
              <w:t>Результатом проведения работ являются</w:t>
            </w:r>
            <w:r w:rsidR="001D2ABE" w:rsidRPr="001D1699">
              <w:rPr>
                <w:rFonts w:eastAsia="Calibri"/>
                <w:bCs/>
                <w:lang w:eastAsia="ar-SA"/>
              </w:rPr>
              <w:t>:</w:t>
            </w:r>
          </w:p>
          <w:p w14:paraId="248FD4FA" w14:textId="77777777" w:rsidR="001D2ABE" w:rsidRPr="001D1699" w:rsidRDefault="001D2ABE" w:rsidP="001D2ABE">
            <w:pPr>
              <w:suppressAutoHyphens/>
              <w:ind w:firstLine="709"/>
              <w:jc w:val="both"/>
              <w:rPr>
                <w:rFonts w:eastAsia="Calibri"/>
                <w:bCs/>
                <w:lang w:eastAsia="ar-SA"/>
              </w:rPr>
            </w:pPr>
            <w:r w:rsidRPr="001D1699">
              <w:rPr>
                <w:rFonts w:eastAsia="Calibri"/>
                <w:bCs/>
                <w:lang w:eastAsia="ar-SA"/>
              </w:rPr>
              <w:t>-</w:t>
            </w:r>
            <w:r w:rsidR="00750B64" w:rsidRPr="001D1699">
              <w:rPr>
                <w:rFonts w:eastAsia="Calibri"/>
                <w:bCs/>
                <w:lang w:eastAsia="ar-SA"/>
              </w:rPr>
              <w:t xml:space="preserve"> </w:t>
            </w:r>
            <w:r w:rsidRPr="001D1699">
              <w:rPr>
                <w:rFonts w:eastAsia="Calibri"/>
                <w:bCs/>
                <w:lang w:eastAsia="ar-SA"/>
              </w:rPr>
              <w:t xml:space="preserve">заключение экспертизы промышленной безопасности на каждый объект, указанный в Приложении №1 к Техническому заданию, оформленное в соответствии с </w:t>
            </w:r>
            <w:r w:rsidR="00E15F42" w:rsidRPr="001D1699">
              <w:rPr>
                <w:rFonts w:eastAsia="Calibri"/>
                <w:bCs/>
                <w:lang w:eastAsia="ar-SA"/>
              </w:rPr>
              <w:t>Федеральными нормами и правилами в области промышленной безопасности "Правила проведения экспертизы промышленной безопасности" (Приказ</w:t>
            </w:r>
            <w:r w:rsidR="00E15F42" w:rsidRPr="00F5557E">
              <w:rPr>
                <w:rFonts w:eastAsia="Calibri"/>
                <w:bCs/>
                <w:color w:val="FF0000"/>
                <w:lang w:eastAsia="ar-SA"/>
              </w:rPr>
              <w:t xml:space="preserve"> </w:t>
            </w:r>
            <w:r w:rsidR="00E15F42" w:rsidRPr="001D1699">
              <w:rPr>
                <w:rFonts w:eastAsia="Calibri"/>
                <w:bCs/>
                <w:lang w:eastAsia="ar-SA"/>
              </w:rPr>
              <w:t>Федеральной службы по экологическому, технологическому и атомному надзору от 20 октября 2020 года N 420);</w:t>
            </w:r>
            <w:r w:rsidRPr="001D1699">
              <w:rPr>
                <w:rFonts w:eastAsia="Calibri"/>
                <w:bCs/>
                <w:lang w:eastAsia="ar-SA"/>
              </w:rPr>
              <w:t xml:space="preserve"> с уведомлением о </w:t>
            </w:r>
            <w:r w:rsidR="00E15F42" w:rsidRPr="001D1699">
              <w:rPr>
                <w:rFonts w:eastAsia="Calibri"/>
                <w:bCs/>
                <w:lang w:eastAsia="ar-SA"/>
              </w:rPr>
              <w:t xml:space="preserve">внесении экспертизы в реестр заключений экспертизы промышленной безопасности </w:t>
            </w:r>
            <w:r w:rsidRPr="001D1699">
              <w:rPr>
                <w:rFonts w:eastAsia="Calibri"/>
                <w:bCs/>
                <w:lang w:eastAsia="ar-SA"/>
              </w:rPr>
              <w:t>в Центральном управлении Федеральной службы по экологическому, технологическому и атомному надзору (Ростехнадзоре)</w:t>
            </w:r>
            <w:r w:rsidR="00750B64" w:rsidRPr="001D1699">
              <w:rPr>
                <w:rFonts w:eastAsia="Calibri"/>
                <w:bCs/>
                <w:lang w:eastAsia="ar-SA"/>
              </w:rPr>
              <w:t xml:space="preserve">, </w:t>
            </w:r>
          </w:p>
          <w:p w14:paraId="3CEA32CB" w14:textId="77777777" w:rsidR="007A7F48" w:rsidRPr="00F5557E" w:rsidRDefault="00750B64" w:rsidP="001D2ABE">
            <w:pPr>
              <w:suppressAutoHyphens/>
              <w:ind w:firstLine="709"/>
              <w:jc w:val="both"/>
              <w:rPr>
                <w:color w:val="FF0000"/>
              </w:rPr>
            </w:pPr>
            <w:r w:rsidRPr="001D1699">
              <w:rPr>
                <w:rFonts w:eastAsia="Calibri"/>
                <w:bCs/>
                <w:lang w:eastAsia="ar-SA"/>
              </w:rPr>
              <w:t>- Акты о приемке выполненных Работ;</w:t>
            </w:r>
          </w:p>
        </w:tc>
      </w:tr>
      <w:tr w:rsidR="007A7F48" w:rsidRPr="00AD4108" w14:paraId="66119996" w14:textId="77777777" w:rsidTr="00C15EC1">
        <w:trPr>
          <w:trHeight w:val="715"/>
        </w:trPr>
        <w:tc>
          <w:tcPr>
            <w:tcW w:w="710" w:type="dxa"/>
            <w:vAlign w:val="center"/>
          </w:tcPr>
          <w:p w14:paraId="6D15D3FC" w14:textId="77777777" w:rsidR="007A7F48" w:rsidRPr="001D2ABE" w:rsidRDefault="007A7F48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399" w:type="dxa"/>
            <w:tcBorders>
              <w:right w:val="single" w:sz="4" w:space="0" w:color="auto"/>
            </w:tcBorders>
            <w:vAlign w:val="center"/>
          </w:tcPr>
          <w:p w14:paraId="79724F52" w14:textId="77777777" w:rsidR="007A7F48" w:rsidRPr="001D2ABE" w:rsidRDefault="007A7F48" w:rsidP="00C15EC1">
            <w:pPr>
              <w:spacing w:line="360" w:lineRule="auto"/>
              <w:jc w:val="center"/>
            </w:pPr>
            <w:r w:rsidRPr="001D2ABE">
              <w:t>Требования по монтажу поставленного оборудования, пусконаладочным и иным работам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08D5" w14:textId="3F9DECFC" w:rsidR="007A7F48" w:rsidRPr="00787CCD" w:rsidRDefault="00787CCD" w:rsidP="00CE49D5">
            <w:r w:rsidRPr="00787CCD">
              <w:t>Оборудование, применяемое для ЭПБ, должно быть исправно, иметь поверку (если это необходимо).</w:t>
            </w:r>
          </w:p>
        </w:tc>
      </w:tr>
      <w:tr w:rsidR="007A7F48" w:rsidRPr="00AD4108" w14:paraId="27F6745A" w14:textId="77777777" w:rsidTr="00C15EC1">
        <w:trPr>
          <w:trHeight w:val="715"/>
        </w:trPr>
        <w:tc>
          <w:tcPr>
            <w:tcW w:w="710" w:type="dxa"/>
            <w:vAlign w:val="center"/>
          </w:tcPr>
          <w:p w14:paraId="4C3DF0E6" w14:textId="77777777" w:rsidR="007A7F48" w:rsidRPr="001D2ABE" w:rsidRDefault="007A7F48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399" w:type="dxa"/>
            <w:tcBorders>
              <w:right w:val="single" w:sz="4" w:space="0" w:color="auto"/>
            </w:tcBorders>
            <w:vAlign w:val="center"/>
          </w:tcPr>
          <w:p w14:paraId="7F4F867C" w14:textId="77777777" w:rsidR="007A7F48" w:rsidRPr="001D2ABE" w:rsidRDefault="007A7F48" w:rsidP="00C15EC1">
            <w:pPr>
              <w:spacing w:line="360" w:lineRule="auto"/>
              <w:jc w:val="center"/>
              <w:rPr>
                <w:color w:val="0D0D0D" w:themeColor="text1" w:themeTint="F2"/>
              </w:rPr>
            </w:pPr>
            <w:r w:rsidRPr="001D2ABE">
              <w:t>Ориентировочная стоимость закупки/работ/услуг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9E08" w14:textId="77777777" w:rsidR="006E029A" w:rsidRPr="00EF11FF" w:rsidRDefault="00750B64" w:rsidP="006E0E2B">
            <w:r w:rsidRPr="00EF11FF">
              <w:t>Стоимость работ должна включать все расходы, связанные с оказанием услуг, необходимые для выполнения</w:t>
            </w:r>
            <w:r w:rsidR="006E0E2B" w:rsidRPr="00EF11FF">
              <w:t xml:space="preserve"> </w:t>
            </w:r>
            <w:r w:rsidRPr="00EF11FF">
              <w:t>Исполнителем всех обязательств.</w:t>
            </w:r>
          </w:p>
          <w:p w14:paraId="57016FC6" w14:textId="77777777" w:rsidR="006E0E2B" w:rsidRDefault="006E0E2B" w:rsidP="006E0E2B">
            <w:r w:rsidRPr="00EF11FF">
              <w:t>В цену договора входят работы и увеличение сроков проведения экспертизы (только по согласованию с заказчиком) по переоформлению заключения ЭПБ в случае необходимости доработки и устранения замечаний для получения положительных выводов о соответствии объекта экспертизы требованиям промышленной безопасности.</w:t>
            </w:r>
          </w:p>
          <w:p w14:paraId="7665518D" w14:textId="3705C165" w:rsidR="00E5174A" w:rsidRPr="00F5557E" w:rsidRDefault="00E5174A" w:rsidP="006E0E2B">
            <w:pPr>
              <w:rPr>
                <w:color w:val="FF0000"/>
              </w:rPr>
            </w:pPr>
            <w:r>
              <w:t>Перекачка дизельного топлива из обследуемых резервуаров в другой свободный резервуар</w:t>
            </w:r>
            <w:r w:rsidR="00522619">
              <w:t>.</w:t>
            </w:r>
          </w:p>
        </w:tc>
      </w:tr>
      <w:tr w:rsidR="007A7F48" w:rsidRPr="00AD4108" w14:paraId="30B3FC7B" w14:textId="77777777" w:rsidTr="00C15EC1">
        <w:trPr>
          <w:trHeight w:val="715"/>
        </w:trPr>
        <w:tc>
          <w:tcPr>
            <w:tcW w:w="710" w:type="dxa"/>
            <w:vAlign w:val="center"/>
          </w:tcPr>
          <w:p w14:paraId="34DA6A5A" w14:textId="77777777" w:rsidR="007A7F48" w:rsidRPr="001D2ABE" w:rsidRDefault="007A7F48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399" w:type="dxa"/>
            <w:tcBorders>
              <w:right w:val="single" w:sz="4" w:space="0" w:color="auto"/>
            </w:tcBorders>
            <w:vAlign w:val="center"/>
          </w:tcPr>
          <w:p w14:paraId="3A2EC760" w14:textId="77777777" w:rsidR="007A7F48" w:rsidRPr="001D2ABE" w:rsidRDefault="007A7F48" w:rsidP="00C15EC1">
            <w:pPr>
              <w:spacing w:line="360" w:lineRule="auto"/>
              <w:jc w:val="center"/>
              <w:rPr>
                <w:color w:val="0D0D0D" w:themeColor="text1" w:themeTint="F2"/>
              </w:rPr>
            </w:pPr>
            <w:r w:rsidRPr="001D2ABE">
              <w:t>Порядок оплаты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8F0F" w14:textId="6D3BEBB8" w:rsidR="007A7F48" w:rsidRPr="001D2ABE" w:rsidRDefault="00607ECA" w:rsidP="00CE49D5">
            <w:pPr>
              <w:rPr>
                <w:color w:val="808080" w:themeColor="background1" w:themeShade="80"/>
              </w:rPr>
            </w:pPr>
            <w:r w:rsidRPr="001D2ABE">
              <w:t xml:space="preserve">Заказчик производит оплату Договора, в течение </w:t>
            </w:r>
            <w:r w:rsidR="0054705F">
              <w:t>7</w:t>
            </w:r>
            <w:r w:rsidRPr="001D2ABE">
              <w:t xml:space="preserve"> (</w:t>
            </w:r>
            <w:r w:rsidR="0054705F">
              <w:t>семи</w:t>
            </w:r>
            <w:r w:rsidRPr="001D2ABE">
              <w:t xml:space="preserve">) </w:t>
            </w:r>
            <w:r w:rsidR="0054705F">
              <w:t>рабочих</w:t>
            </w:r>
            <w:r w:rsidRPr="001D2ABE">
              <w:t xml:space="preserve"> дней с момента подписания Заказчиком акта об оказании услуг, при условии, что услуги оказаны исполнителем надлежащим образом и в полном объеме и Исполнителем переданы надлежащим образом оформленные оригиналы счета на оплату оказанных услуг</w:t>
            </w:r>
          </w:p>
        </w:tc>
      </w:tr>
      <w:tr w:rsidR="007A7F48" w:rsidRPr="00AD4108" w14:paraId="7BF29A40" w14:textId="77777777" w:rsidTr="00C15EC1">
        <w:trPr>
          <w:trHeight w:val="715"/>
        </w:trPr>
        <w:tc>
          <w:tcPr>
            <w:tcW w:w="710" w:type="dxa"/>
            <w:vAlign w:val="center"/>
          </w:tcPr>
          <w:p w14:paraId="03E9BFD9" w14:textId="77777777" w:rsidR="007A7F48" w:rsidRPr="001D2ABE" w:rsidRDefault="007A7F48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399" w:type="dxa"/>
            <w:tcBorders>
              <w:right w:val="single" w:sz="4" w:space="0" w:color="auto"/>
            </w:tcBorders>
            <w:vAlign w:val="center"/>
          </w:tcPr>
          <w:p w14:paraId="39718E0C" w14:textId="77777777" w:rsidR="007A7F48" w:rsidRPr="001D2ABE" w:rsidRDefault="007A7F48" w:rsidP="00C15EC1">
            <w:pPr>
              <w:spacing w:line="360" w:lineRule="auto"/>
              <w:jc w:val="center"/>
              <w:rPr>
                <w:color w:val="0D0D0D" w:themeColor="text1" w:themeTint="F2"/>
              </w:rPr>
            </w:pPr>
            <w:r w:rsidRPr="001D2ABE">
              <w:rPr>
                <w:color w:val="0D0D0D" w:themeColor="text1" w:themeTint="F2"/>
              </w:rPr>
              <w:t>Специалист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2E43" w14:textId="77777777" w:rsidR="00924368" w:rsidRPr="001D2ABE" w:rsidRDefault="00924368" w:rsidP="00CE49D5">
            <w:pPr>
              <w:rPr>
                <w:color w:val="808080" w:themeColor="background1" w:themeShade="80"/>
              </w:rPr>
            </w:pPr>
            <w:r w:rsidRPr="001D2ABE">
              <w:t>Ведущий специалист по промышленной безопасности Шмелёва М.А.</w:t>
            </w:r>
          </w:p>
        </w:tc>
      </w:tr>
    </w:tbl>
    <w:p w14:paraId="25148841" w14:textId="77777777" w:rsidR="007A7F48" w:rsidRDefault="007A7F4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C5F85" w:rsidRPr="009110D3" w14:paraId="0B250CB4" w14:textId="77777777" w:rsidTr="00C15EC1">
        <w:tc>
          <w:tcPr>
            <w:tcW w:w="4957" w:type="dxa"/>
          </w:tcPr>
          <w:p w14:paraId="1FBBFAF5" w14:textId="77777777" w:rsidR="00924368" w:rsidRDefault="007C5F85" w:rsidP="00924368">
            <w:pPr>
              <w:spacing w:line="360" w:lineRule="auto"/>
              <w:rPr>
                <w:color w:val="000000" w:themeColor="text1"/>
              </w:rPr>
            </w:pPr>
            <w:r w:rsidRPr="009110D3">
              <w:rPr>
                <w:color w:val="000000" w:themeColor="text1"/>
              </w:rPr>
              <w:t xml:space="preserve">Исп. </w:t>
            </w:r>
            <w:r w:rsidR="00924368">
              <w:rPr>
                <w:color w:val="000000" w:themeColor="text1"/>
              </w:rPr>
              <w:t>Ведущий специалист по промышленной безопасности</w:t>
            </w:r>
          </w:p>
          <w:p w14:paraId="09975E93" w14:textId="77777777" w:rsidR="007C5F85" w:rsidRPr="009110D3" w:rsidRDefault="007C5F85" w:rsidP="00924368">
            <w:pPr>
              <w:spacing w:line="360" w:lineRule="auto"/>
              <w:rPr>
                <w:color w:val="000000" w:themeColor="text1"/>
              </w:rPr>
            </w:pPr>
            <w:r w:rsidRPr="009110D3">
              <w:rPr>
                <w:color w:val="000000" w:themeColor="text1"/>
              </w:rPr>
              <w:t>Тел.</w:t>
            </w:r>
            <w:r w:rsidRPr="009110D3">
              <w:rPr>
                <w:color w:val="808080" w:themeColor="background1" w:themeShade="80"/>
              </w:rPr>
              <w:t xml:space="preserve"> </w:t>
            </w:r>
            <w:r w:rsidR="00924368" w:rsidRPr="00924368">
              <w:t>8 (495) 401- 60-30</w:t>
            </w:r>
          </w:p>
        </w:tc>
        <w:tc>
          <w:tcPr>
            <w:tcW w:w="4388" w:type="dxa"/>
          </w:tcPr>
          <w:p w14:paraId="0F13F184" w14:textId="77777777" w:rsidR="007C5F85" w:rsidRPr="009110D3" w:rsidRDefault="00924368" w:rsidP="00C15EC1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>
              <w:t>Шмелёва М.А.</w:t>
            </w:r>
          </w:p>
        </w:tc>
      </w:tr>
    </w:tbl>
    <w:p w14:paraId="27650E43" w14:textId="77777777" w:rsidR="007A7F48" w:rsidRDefault="007A7F48">
      <w:r>
        <w:t xml:space="preserve">Согласовано (должность) </w:t>
      </w:r>
      <w:r>
        <w:tab/>
      </w:r>
      <w:r>
        <w:tab/>
        <w:t>________________/Ф.И.О./</w:t>
      </w:r>
    </w:p>
    <w:p w14:paraId="6AE0F502" w14:textId="77777777" w:rsidR="007A7F48" w:rsidRDefault="007A7F48">
      <w:r>
        <w:t>Утверждено Генеральный директор _______________ / Беткер А.К./</w:t>
      </w:r>
    </w:p>
    <w:sectPr w:rsidR="007A7F48" w:rsidSect="007A7F4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7110"/>
    <w:multiLevelType w:val="hybridMultilevel"/>
    <w:tmpl w:val="A5C6166E"/>
    <w:lvl w:ilvl="0" w:tplc="FF644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24653"/>
    <w:multiLevelType w:val="hybridMultilevel"/>
    <w:tmpl w:val="D2C6A152"/>
    <w:lvl w:ilvl="0" w:tplc="1C0A11E4">
      <w:start w:val="1"/>
      <w:numFmt w:val="decimal"/>
      <w:suff w:val="space"/>
      <w:lvlText w:val="5.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CF4CB5"/>
    <w:multiLevelType w:val="hybridMultilevel"/>
    <w:tmpl w:val="A9104746"/>
    <w:lvl w:ilvl="0" w:tplc="03FEA54A">
      <w:start w:val="1"/>
      <w:numFmt w:val="decimal"/>
      <w:suff w:val="space"/>
      <w:lvlText w:val="5.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276BA"/>
    <w:multiLevelType w:val="multilevel"/>
    <w:tmpl w:val="E730A89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2686B80"/>
    <w:multiLevelType w:val="hybridMultilevel"/>
    <w:tmpl w:val="EEE8E8FE"/>
    <w:lvl w:ilvl="0" w:tplc="0534F0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131FA"/>
    <w:multiLevelType w:val="hybridMultilevel"/>
    <w:tmpl w:val="F482A892"/>
    <w:lvl w:ilvl="0" w:tplc="8286EF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64310">
    <w:abstractNumId w:val="3"/>
  </w:num>
  <w:num w:numId="2" w16cid:durableId="1345519867">
    <w:abstractNumId w:val="0"/>
  </w:num>
  <w:num w:numId="3" w16cid:durableId="1353612057">
    <w:abstractNumId w:val="5"/>
  </w:num>
  <w:num w:numId="4" w16cid:durableId="1149320236">
    <w:abstractNumId w:val="4"/>
  </w:num>
  <w:num w:numId="5" w16cid:durableId="1538228181">
    <w:abstractNumId w:val="2"/>
  </w:num>
  <w:num w:numId="6" w16cid:durableId="830023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48"/>
    <w:rsid w:val="00053330"/>
    <w:rsid w:val="00100687"/>
    <w:rsid w:val="00126C29"/>
    <w:rsid w:val="00144C6E"/>
    <w:rsid w:val="00190820"/>
    <w:rsid w:val="00193FF8"/>
    <w:rsid w:val="001B1052"/>
    <w:rsid w:val="001D1699"/>
    <w:rsid w:val="001D2ABE"/>
    <w:rsid w:val="00262316"/>
    <w:rsid w:val="00323F79"/>
    <w:rsid w:val="00365A91"/>
    <w:rsid w:val="003F2C5B"/>
    <w:rsid w:val="0047305C"/>
    <w:rsid w:val="004A096D"/>
    <w:rsid w:val="004C444E"/>
    <w:rsid w:val="00510D56"/>
    <w:rsid w:val="00521612"/>
    <w:rsid w:val="00522619"/>
    <w:rsid w:val="00523A62"/>
    <w:rsid w:val="0054705F"/>
    <w:rsid w:val="00563933"/>
    <w:rsid w:val="00607ECA"/>
    <w:rsid w:val="00627A58"/>
    <w:rsid w:val="006A5EAD"/>
    <w:rsid w:val="006E029A"/>
    <w:rsid w:val="006E0E2B"/>
    <w:rsid w:val="0071093C"/>
    <w:rsid w:val="00717D5E"/>
    <w:rsid w:val="00750B64"/>
    <w:rsid w:val="00765767"/>
    <w:rsid w:val="00787CCD"/>
    <w:rsid w:val="007963E1"/>
    <w:rsid w:val="007A0CBA"/>
    <w:rsid w:val="007A7F48"/>
    <w:rsid w:val="007C5F85"/>
    <w:rsid w:val="00856B31"/>
    <w:rsid w:val="008F6E44"/>
    <w:rsid w:val="00924368"/>
    <w:rsid w:val="00984AD8"/>
    <w:rsid w:val="009973CB"/>
    <w:rsid w:val="009A227B"/>
    <w:rsid w:val="00A07C86"/>
    <w:rsid w:val="00A25772"/>
    <w:rsid w:val="00A32DCD"/>
    <w:rsid w:val="00A33E99"/>
    <w:rsid w:val="00A944E4"/>
    <w:rsid w:val="00B07666"/>
    <w:rsid w:val="00B8187D"/>
    <w:rsid w:val="00BD02B3"/>
    <w:rsid w:val="00C165D4"/>
    <w:rsid w:val="00C979B9"/>
    <w:rsid w:val="00CB302A"/>
    <w:rsid w:val="00CC35A1"/>
    <w:rsid w:val="00CD57A8"/>
    <w:rsid w:val="00CE49D5"/>
    <w:rsid w:val="00E15F42"/>
    <w:rsid w:val="00E5174A"/>
    <w:rsid w:val="00E56091"/>
    <w:rsid w:val="00EA207B"/>
    <w:rsid w:val="00ED0772"/>
    <w:rsid w:val="00EF11FF"/>
    <w:rsid w:val="00F5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669D"/>
  <w15:docId w15:val="{6AB5D4DB-E5A0-4617-BF99-E33E19EC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7F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57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7F48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uiPriority w:val="39"/>
    <w:rsid w:val="007A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D5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57A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6">
    <w:name w:val="Revision"/>
    <w:hidden/>
    <w:uiPriority w:val="99"/>
    <w:semiHidden/>
    <w:rsid w:val="00984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Лунин</dc:creator>
  <cp:keywords/>
  <dc:description/>
  <cp:lastModifiedBy>Тихонова Наталья Олеговна</cp:lastModifiedBy>
  <cp:revision>3</cp:revision>
  <dcterms:created xsi:type="dcterms:W3CDTF">2025-07-30T12:34:00Z</dcterms:created>
  <dcterms:modified xsi:type="dcterms:W3CDTF">2025-08-14T07:20:00Z</dcterms:modified>
</cp:coreProperties>
</file>