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1CB" w14:textId="17FEF7A2" w:rsidR="00280D4B" w:rsidRPr="00280D4B" w:rsidRDefault="00280D4B" w:rsidP="00280D4B">
      <w:pPr>
        <w:pStyle w:val="1"/>
        <w:keepNext w:val="0"/>
        <w:keepLines w:val="0"/>
        <w:tabs>
          <w:tab w:val="left" w:pos="567"/>
        </w:tabs>
        <w:spacing w:before="120" w:line="360" w:lineRule="auto"/>
        <w:jc w:val="right"/>
        <w:rPr>
          <w:rFonts w:ascii="Times New Roman" w:eastAsia="Times New Roman" w:hAnsi="Times New Roman" w:cs="Times New Roman"/>
          <w:b/>
          <w:color w:val="auto"/>
          <w:kern w:val="36"/>
          <w:sz w:val="20"/>
          <w:szCs w:val="20"/>
        </w:rPr>
      </w:pPr>
      <w:bookmarkStart w:id="0" w:name="_Toc101520384"/>
      <w:r w:rsidRPr="00280D4B">
        <w:rPr>
          <w:rFonts w:eastAsia="Times New Roman"/>
          <w:b/>
          <w:color w:val="auto"/>
          <w:sz w:val="20"/>
          <w:szCs w:val="20"/>
          <w:lang w:eastAsia="zh-CN"/>
        </w:rPr>
        <w:t>РАЗДЕЛ</w:t>
      </w:r>
      <w:r w:rsidRPr="00280D4B">
        <w:rPr>
          <w:b/>
          <w:color w:val="auto"/>
          <w:sz w:val="20"/>
          <w:szCs w:val="20"/>
        </w:rPr>
        <w:t xml:space="preserve"> </w:t>
      </w:r>
      <w:r w:rsidRPr="00280D4B">
        <w:rPr>
          <w:b/>
          <w:color w:val="auto"/>
          <w:sz w:val="20"/>
          <w:szCs w:val="20"/>
          <w:lang w:val="en-US"/>
        </w:rPr>
        <w:t>II</w:t>
      </w:r>
    </w:p>
    <w:p w14:paraId="2765BFE0" w14:textId="6A1C7BBD" w:rsidR="007A7F48" w:rsidRDefault="00402CDA" w:rsidP="000F7F3A">
      <w:pPr>
        <w:pStyle w:val="1"/>
        <w:keepNext w:val="0"/>
        <w:keepLines w:val="0"/>
        <w:tabs>
          <w:tab w:val="left" w:pos="567"/>
        </w:tabs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402CD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ТЕХНИЧЕСКОЕ ЗАДАНИЕ</w:t>
      </w:r>
      <w:bookmarkEnd w:id="0"/>
    </w:p>
    <w:p w14:paraId="783C9545" w14:textId="77777777" w:rsidR="0046542B" w:rsidRDefault="0046542B" w:rsidP="00041FBA">
      <w:pPr>
        <w:spacing w:line="360" w:lineRule="auto"/>
        <w:jc w:val="center"/>
        <w:rPr>
          <w:b/>
          <w:bCs/>
        </w:rPr>
      </w:pPr>
    </w:p>
    <w:p w14:paraId="4681362B" w14:textId="31DD923C" w:rsidR="00041FBA" w:rsidRPr="005E38BA" w:rsidRDefault="005E38BA" w:rsidP="00F5147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Поставка </w:t>
      </w:r>
      <w:r w:rsidR="00041FBA" w:rsidRPr="005E38BA">
        <w:rPr>
          <w:b/>
          <w:bCs/>
        </w:rPr>
        <w:t>дизельного топлива</w:t>
      </w:r>
      <w:r w:rsidR="007434ED" w:rsidRPr="005E38BA">
        <w:rPr>
          <w:b/>
          <w:bCs/>
        </w:rPr>
        <w:t xml:space="preserve"> </w:t>
      </w:r>
      <w:r>
        <w:rPr>
          <w:b/>
          <w:bCs/>
        </w:rPr>
        <w:t xml:space="preserve">для </w:t>
      </w:r>
      <w:r w:rsidR="00D93FF7">
        <w:rPr>
          <w:b/>
          <w:bCs/>
        </w:rPr>
        <w:t xml:space="preserve">пополнения </w:t>
      </w:r>
      <w:r>
        <w:rPr>
          <w:b/>
          <w:bCs/>
        </w:rPr>
        <w:t xml:space="preserve">запаса </w:t>
      </w:r>
      <w:r w:rsidR="00041FBA" w:rsidRPr="005E38BA">
        <w:rPr>
          <w:b/>
          <w:bCs/>
        </w:rPr>
        <w:t>отопительных котельных</w:t>
      </w:r>
    </w:p>
    <w:p w14:paraId="6607E6FC" w14:textId="77777777" w:rsidR="00041FBA" w:rsidRPr="005E38BA" w:rsidRDefault="00041FBA" w:rsidP="00F5147F">
      <w:pPr>
        <w:spacing w:line="276" w:lineRule="auto"/>
        <w:jc w:val="center"/>
        <w:rPr>
          <w:b/>
          <w:bCs/>
        </w:rPr>
      </w:pPr>
      <w:r w:rsidRPr="005E38BA">
        <w:rPr>
          <w:b/>
          <w:bCs/>
        </w:rPr>
        <w:t>ООО «Гранель Инжиниринг»</w:t>
      </w:r>
    </w:p>
    <w:p w14:paraId="5DC2CCE5" w14:textId="3A581A74" w:rsidR="00212421" w:rsidRPr="005E38BA" w:rsidRDefault="00041FBA" w:rsidP="00F5147F">
      <w:pPr>
        <w:spacing w:line="276" w:lineRule="auto"/>
        <w:jc w:val="center"/>
        <w:rPr>
          <w:b/>
          <w:bCs/>
          <w:color w:val="0D0D0D" w:themeColor="text1" w:themeTint="F2"/>
        </w:rPr>
      </w:pPr>
      <w:r w:rsidRPr="005E38BA">
        <w:rPr>
          <w:b/>
          <w:bCs/>
        </w:rPr>
        <w:t xml:space="preserve">на </w:t>
      </w:r>
      <w:r w:rsidR="00EC1924" w:rsidRPr="005E38BA">
        <w:rPr>
          <w:b/>
          <w:bCs/>
        </w:rPr>
        <w:t>территории Московской</w:t>
      </w:r>
      <w:r w:rsidRPr="005E38BA">
        <w:rPr>
          <w:b/>
          <w:bCs/>
        </w:rPr>
        <w:t xml:space="preserve"> области</w:t>
      </w:r>
      <w:r w:rsidR="00F2088A">
        <w:rPr>
          <w:b/>
          <w:bCs/>
        </w:rPr>
        <w:t>.</w:t>
      </w:r>
    </w:p>
    <w:p w14:paraId="200699B9" w14:textId="77777777" w:rsidR="00212421" w:rsidRDefault="00212421" w:rsidP="000F7F3A">
      <w:pPr>
        <w:spacing w:line="360" w:lineRule="auto"/>
        <w:jc w:val="center"/>
        <w:rPr>
          <w:color w:val="0D0D0D" w:themeColor="text1" w:themeTint="F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3307"/>
        <w:gridCol w:w="6230"/>
      </w:tblGrid>
      <w:tr w:rsidR="00F5147F" w:rsidRPr="00F5147F" w14:paraId="289C70BF" w14:textId="77777777" w:rsidTr="00DE4641">
        <w:tc>
          <w:tcPr>
            <w:tcW w:w="0" w:type="auto"/>
            <w:hideMark/>
          </w:tcPr>
          <w:p w14:paraId="2D13655F" w14:textId="77777777" w:rsidR="00F5147F" w:rsidRPr="00F5147F" w:rsidRDefault="00F5147F" w:rsidP="0077648C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F5147F">
              <w:rPr>
                <w:b/>
                <w:bCs/>
                <w:color w:val="0D0D0D" w:themeColor="text1" w:themeTint="F2"/>
              </w:rPr>
              <w:t>№</w:t>
            </w:r>
          </w:p>
        </w:tc>
        <w:tc>
          <w:tcPr>
            <w:tcW w:w="3307" w:type="dxa"/>
            <w:hideMark/>
          </w:tcPr>
          <w:p w14:paraId="5C24CB52" w14:textId="77777777" w:rsidR="00F5147F" w:rsidRPr="00F5147F" w:rsidRDefault="00F5147F" w:rsidP="0077648C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F5147F">
              <w:rPr>
                <w:b/>
                <w:bCs/>
                <w:color w:val="0D0D0D" w:themeColor="text1" w:themeTint="F2"/>
              </w:rPr>
              <w:t>Наименование пункта</w:t>
            </w:r>
          </w:p>
        </w:tc>
        <w:tc>
          <w:tcPr>
            <w:tcW w:w="6230" w:type="dxa"/>
            <w:hideMark/>
          </w:tcPr>
          <w:p w14:paraId="0A98F284" w14:textId="77777777" w:rsidR="00F5147F" w:rsidRPr="00F5147F" w:rsidRDefault="00F5147F" w:rsidP="0077648C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F5147F">
              <w:rPr>
                <w:b/>
                <w:bCs/>
                <w:color w:val="0D0D0D" w:themeColor="text1" w:themeTint="F2"/>
              </w:rPr>
              <w:t>Информация</w:t>
            </w:r>
          </w:p>
        </w:tc>
      </w:tr>
      <w:tr w:rsidR="00F5147F" w:rsidRPr="00F5147F" w14:paraId="52716838" w14:textId="77777777" w:rsidTr="00DE4641">
        <w:tc>
          <w:tcPr>
            <w:tcW w:w="0" w:type="auto"/>
            <w:hideMark/>
          </w:tcPr>
          <w:p w14:paraId="149E0B1C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1.</w:t>
            </w:r>
          </w:p>
        </w:tc>
        <w:tc>
          <w:tcPr>
            <w:tcW w:w="3307" w:type="dxa"/>
            <w:hideMark/>
          </w:tcPr>
          <w:p w14:paraId="0E1CDBBC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Наименование объекта закупки</w:t>
            </w:r>
          </w:p>
        </w:tc>
        <w:tc>
          <w:tcPr>
            <w:tcW w:w="6230" w:type="dxa"/>
            <w:hideMark/>
          </w:tcPr>
          <w:p w14:paraId="0426755F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Поставка дизельного топлива для пополнения запаса отопительных котельных ООО «Гранель Инжиниринг» на территории Московской области</w:t>
            </w:r>
          </w:p>
        </w:tc>
      </w:tr>
      <w:tr w:rsidR="00F5147F" w:rsidRPr="00F5147F" w14:paraId="6204EA13" w14:textId="77777777" w:rsidTr="00DE4641">
        <w:tc>
          <w:tcPr>
            <w:tcW w:w="0" w:type="auto"/>
            <w:hideMark/>
          </w:tcPr>
          <w:p w14:paraId="63B81AB6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2.</w:t>
            </w:r>
          </w:p>
        </w:tc>
        <w:tc>
          <w:tcPr>
            <w:tcW w:w="3307" w:type="dxa"/>
            <w:hideMark/>
          </w:tcPr>
          <w:p w14:paraId="28E5A750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Цель закупки</w:t>
            </w:r>
          </w:p>
        </w:tc>
        <w:tc>
          <w:tcPr>
            <w:tcW w:w="6230" w:type="dxa"/>
            <w:hideMark/>
          </w:tcPr>
          <w:p w14:paraId="0D5070D2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Для восполнения запаса топлива для отопительных котельных ООО «Гранель Инжиниринг» на территории Московской области.</w:t>
            </w:r>
          </w:p>
        </w:tc>
      </w:tr>
      <w:tr w:rsidR="00F5147F" w:rsidRPr="00F5147F" w14:paraId="47384544" w14:textId="77777777" w:rsidTr="00DE4641">
        <w:tc>
          <w:tcPr>
            <w:tcW w:w="0" w:type="auto"/>
            <w:hideMark/>
          </w:tcPr>
          <w:p w14:paraId="7194C72C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3.</w:t>
            </w:r>
          </w:p>
        </w:tc>
        <w:tc>
          <w:tcPr>
            <w:tcW w:w="3307" w:type="dxa"/>
            <w:hideMark/>
          </w:tcPr>
          <w:p w14:paraId="73A9CEE1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Место поставки</w:t>
            </w:r>
          </w:p>
        </w:tc>
        <w:tc>
          <w:tcPr>
            <w:tcW w:w="6230" w:type="dxa"/>
            <w:hideMark/>
          </w:tcPr>
          <w:p w14:paraId="13757A5C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1. Котельная ЖК «Алексеевская роща»: МО, </w:t>
            </w:r>
            <w:proofErr w:type="spellStart"/>
            <w:r w:rsidRPr="00F5147F">
              <w:rPr>
                <w:color w:val="0D0D0D" w:themeColor="text1" w:themeTint="F2"/>
              </w:rPr>
              <w:t>г.о</w:t>
            </w:r>
            <w:proofErr w:type="spellEnd"/>
            <w:r w:rsidRPr="00F5147F">
              <w:rPr>
                <w:color w:val="0D0D0D" w:themeColor="text1" w:themeTint="F2"/>
              </w:rPr>
              <w:t>. Балашиха, ул. Дмитриева, владение 23</w:t>
            </w:r>
          </w:p>
          <w:p w14:paraId="0F8F5909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2. Котельная ЖК «Лесной городок»: МО, </w:t>
            </w:r>
            <w:proofErr w:type="spellStart"/>
            <w:r w:rsidRPr="00F5147F">
              <w:rPr>
                <w:color w:val="0D0D0D" w:themeColor="text1" w:themeTint="F2"/>
              </w:rPr>
              <w:t>г.о</w:t>
            </w:r>
            <w:proofErr w:type="spellEnd"/>
            <w:r w:rsidRPr="00F5147F">
              <w:rPr>
                <w:color w:val="0D0D0D" w:themeColor="text1" w:themeTint="F2"/>
              </w:rPr>
              <w:t>. Балашиха, Балашихинское шоссе, у д. 12, помещение 2</w:t>
            </w:r>
          </w:p>
          <w:p w14:paraId="64A9C57F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3. Котельная ЖК «Государев дом»: МО, Ленинский р-н, сельское поселение </w:t>
            </w:r>
            <w:proofErr w:type="spellStart"/>
            <w:r w:rsidRPr="00F5147F">
              <w:rPr>
                <w:color w:val="0D0D0D" w:themeColor="text1" w:themeTint="F2"/>
              </w:rPr>
              <w:t>Булатниковское</w:t>
            </w:r>
            <w:proofErr w:type="spellEnd"/>
            <w:r w:rsidRPr="00F5147F">
              <w:rPr>
                <w:color w:val="0D0D0D" w:themeColor="text1" w:themeTint="F2"/>
              </w:rPr>
              <w:t xml:space="preserve">, д. Лопатино, ул. </w:t>
            </w:r>
            <w:proofErr w:type="spellStart"/>
            <w:r w:rsidRPr="00F5147F">
              <w:rPr>
                <w:color w:val="0D0D0D" w:themeColor="text1" w:themeTint="F2"/>
              </w:rPr>
              <w:t>Сухановская</w:t>
            </w:r>
            <w:proofErr w:type="spellEnd"/>
            <w:r w:rsidRPr="00F5147F">
              <w:rPr>
                <w:color w:val="0D0D0D" w:themeColor="text1" w:themeTint="F2"/>
              </w:rPr>
              <w:t>, д. 4, строение 1</w:t>
            </w:r>
          </w:p>
          <w:p w14:paraId="0CDE034F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4. Котельная ЖК «Малина»: МО, </w:t>
            </w:r>
            <w:proofErr w:type="spellStart"/>
            <w:r w:rsidRPr="00F5147F">
              <w:rPr>
                <w:color w:val="0D0D0D" w:themeColor="text1" w:themeTint="F2"/>
              </w:rPr>
              <w:t>г.о</w:t>
            </w:r>
            <w:proofErr w:type="spellEnd"/>
            <w:r w:rsidRPr="00F5147F">
              <w:rPr>
                <w:color w:val="0D0D0D" w:themeColor="text1" w:themeTint="F2"/>
              </w:rPr>
              <w:t xml:space="preserve">. Красногорск, </w:t>
            </w:r>
            <w:proofErr w:type="spellStart"/>
            <w:r w:rsidRPr="00F5147F">
              <w:rPr>
                <w:color w:val="0D0D0D" w:themeColor="text1" w:themeTint="F2"/>
              </w:rPr>
              <w:t>р.п</w:t>
            </w:r>
            <w:proofErr w:type="spellEnd"/>
            <w:r w:rsidRPr="00F5147F">
              <w:rPr>
                <w:color w:val="0D0D0D" w:themeColor="text1" w:themeTint="F2"/>
              </w:rPr>
              <w:t>. Нахабино, ул. Покровская, д. 1, стр. 2</w:t>
            </w:r>
          </w:p>
          <w:p w14:paraId="098B2BCA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5. Котельная ЖК «Императорские Мытищи»: МО, </w:t>
            </w:r>
            <w:proofErr w:type="spellStart"/>
            <w:r w:rsidRPr="00F5147F">
              <w:rPr>
                <w:color w:val="0D0D0D" w:themeColor="text1" w:themeTint="F2"/>
              </w:rPr>
              <w:t>г.о</w:t>
            </w:r>
            <w:proofErr w:type="spellEnd"/>
            <w:r w:rsidRPr="00F5147F">
              <w:rPr>
                <w:color w:val="0D0D0D" w:themeColor="text1" w:themeTint="F2"/>
              </w:rPr>
              <w:t>. Мытищи, г. Мытищи, бульвар Тенистый, строение № 15А</w:t>
            </w:r>
          </w:p>
          <w:p w14:paraId="4A035776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6. Котельная ЖК «Валентиновка парк»: МО, г. Королёв, ул. Горького, д. 79, строение 1</w:t>
            </w:r>
          </w:p>
          <w:p w14:paraId="54727D28" w14:textId="2F32C6DA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7. Котельная ЖК «Высокие Жаворонки»: МО, Одинцовский </w:t>
            </w:r>
            <w:proofErr w:type="spellStart"/>
            <w:r w:rsidRPr="00F5147F">
              <w:rPr>
                <w:color w:val="0D0D0D" w:themeColor="text1" w:themeTint="F2"/>
              </w:rPr>
              <w:t>г.о</w:t>
            </w:r>
            <w:proofErr w:type="spellEnd"/>
            <w:r w:rsidRPr="00F5147F">
              <w:rPr>
                <w:color w:val="0D0D0D" w:themeColor="text1" w:themeTint="F2"/>
              </w:rPr>
              <w:t xml:space="preserve">., п. Большие </w:t>
            </w:r>
            <w:proofErr w:type="spellStart"/>
            <w:r w:rsidRPr="00F5147F">
              <w:rPr>
                <w:color w:val="0D0D0D" w:themeColor="text1" w:themeTint="F2"/>
              </w:rPr>
              <w:t>Вязёмы</w:t>
            </w:r>
            <w:proofErr w:type="spellEnd"/>
            <w:r w:rsidRPr="00F5147F">
              <w:rPr>
                <w:color w:val="0D0D0D" w:themeColor="text1" w:themeTint="F2"/>
              </w:rPr>
              <w:t xml:space="preserve">, д. Малые </w:t>
            </w:r>
            <w:proofErr w:type="spellStart"/>
            <w:r w:rsidRPr="00F5147F">
              <w:rPr>
                <w:color w:val="0D0D0D" w:themeColor="text1" w:themeTint="F2"/>
              </w:rPr>
              <w:t>Вязёмы</w:t>
            </w:r>
            <w:proofErr w:type="spellEnd"/>
            <w:r w:rsidRPr="00F5147F">
              <w:rPr>
                <w:color w:val="0D0D0D" w:themeColor="text1" w:themeTint="F2"/>
              </w:rPr>
              <w:t xml:space="preserve">, </w:t>
            </w:r>
            <w:proofErr w:type="spellStart"/>
            <w:r w:rsidRPr="00F5147F">
              <w:rPr>
                <w:color w:val="0D0D0D" w:themeColor="text1" w:themeTint="F2"/>
              </w:rPr>
              <w:t>мкр</w:t>
            </w:r>
            <w:proofErr w:type="spellEnd"/>
            <w:r w:rsidRPr="00F5147F">
              <w:rPr>
                <w:color w:val="0D0D0D" w:themeColor="text1" w:themeTint="F2"/>
              </w:rPr>
              <w:t>. «Высокие Жаворонки», д. 53, стр. 1</w:t>
            </w:r>
          </w:p>
        </w:tc>
      </w:tr>
      <w:tr w:rsidR="00F5147F" w:rsidRPr="00F5147F" w14:paraId="039AA573" w14:textId="77777777" w:rsidTr="00DE4641">
        <w:tc>
          <w:tcPr>
            <w:tcW w:w="0" w:type="auto"/>
            <w:hideMark/>
          </w:tcPr>
          <w:p w14:paraId="54C62475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4.</w:t>
            </w:r>
          </w:p>
        </w:tc>
        <w:tc>
          <w:tcPr>
            <w:tcW w:w="3307" w:type="dxa"/>
            <w:hideMark/>
          </w:tcPr>
          <w:p w14:paraId="507185C7" w14:textId="3408933F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Срок </w:t>
            </w:r>
            <w:r w:rsidR="00FF3BD7">
              <w:rPr>
                <w:color w:val="0D0D0D" w:themeColor="text1" w:themeTint="F2"/>
              </w:rPr>
              <w:t xml:space="preserve">и объёмы </w:t>
            </w:r>
            <w:r w:rsidRPr="00F5147F">
              <w:rPr>
                <w:color w:val="0D0D0D" w:themeColor="text1" w:themeTint="F2"/>
              </w:rPr>
              <w:t>поставки</w:t>
            </w:r>
          </w:p>
        </w:tc>
        <w:tc>
          <w:tcPr>
            <w:tcW w:w="6230" w:type="dxa"/>
            <w:hideMark/>
          </w:tcPr>
          <w:p w14:paraId="2E260500" w14:textId="7ED91ABE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Поставка осуществляется по графику (Приложение № 1)</w:t>
            </w:r>
            <w:r w:rsidR="00B23FC0">
              <w:rPr>
                <w:color w:val="0D0D0D" w:themeColor="text1" w:themeTint="F2"/>
              </w:rPr>
              <w:t>,</w:t>
            </w:r>
            <w:r w:rsidR="00DE4641">
              <w:rPr>
                <w:color w:val="0D0D0D" w:themeColor="text1" w:themeTint="F2"/>
              </w:rPr>
              <w:t xml:space="preserve"> </w:t>
            </w:r>
            <w:r w:rsidR="00B23FC0">
              <w:rPr>
                <w:color w:val="0D0D0D" w:themeColor="text1" w:themeTint="F2"/>
              </w:rPr>
              <w:t>но не более 30 календарных дней с момента подписания договора</w:t>
            </w:r>
            <w:r w:rsidRPr="00F5147F">
              <w:rPr>
                <w:color w:val="0D0D0D" w:themeColor="text1" w:themeTint="F2"/>
              </w:rPr>
              <w:t xml:space="preserve"> с предварительным согласованием даты поставки с ответственным лицом (начальником участка) каждого объекта по телефону. Работы выполняются в будние дни с 09:00 до 18:00</w:t>
            </w:r>
            <w:r w:rsidR="00FF3BD7">
              <w:rPr>
                <w:color w:val="0D0D0D" w:themeColor="text1" w:themeTint="F2"/>
              </w:rPr>
              <w:t xml:space="preserve"> не менее чем за 3 рабочих дня</w:t>
            </w:r>
            <w:r w:rsidRPr="00F5147F">
              <w:rPr>
                <w:color w:val="0D0D0D" w:themeColor="text1" w:themeTint="F2"/>
              </w:rPr>
              <w:t>.</w:t>
            </w:r>
          </w:p>
        </w:tc>
      </w:tr>
      <w:tr w:rsidR="00F5147F" w:rsidRPr="00F5147F" w14:paraId="5D79B6A8" w14:textId="77777777" w:rsidTr="00DE4641">
        <w:tc>
          <w:tcPr>
            <w:tcW w:w="0" w:type="auto"/>
            <w:hideMark/>
          </w:tcPr>
          <w:p w14:paraId="5EC9D516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5.</w:t>
            </w:r>
          </w:p>
        </w:tc>
        <w:tc>
          <w:tcPr>
            <w:tcW w:w="3307" w:type="dxa"/>
            <w:hideMark/>
          </w:tcPr>
          <w:p w14:paraId="0000A28F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Порядок поставки</w:t>
            </w:r>
          </w:p>
        </w:tc>
        <w:tc>
          <w:tcPr>
            <w:tcW w:w="6230" w:type="dxa"/>
            <w:hideMark/>
          </w:tcPr>
          <w:p w14:paraId="3368FB34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Поставка товара осуществляется специализированным автотранспортом (автоцистерной) объёмом не более 10 м³. Автоцистерны большего объёма не допускаются ввиду ограничений проезда на территорию котельных. Объекты расположены преимущественно в жилой зоне, что ограничивает манёвренность крупногабаритного транспорта, а также площадь территории котельных. Поставка дизельного топлива до места назначения и его слив в резервуар Покупателя осуществляются за счёт </w:t>
            </w:r>
            <w:r w:rsidRPr="00F5147F">
              <w:rPr>
                <w:color w:val="0D0D0D" w:themeColor="text1" w:themeTint="F2"/>
              </w:rPr>
              <w:lastRenderedPageBreak/>
              <w:t>Поставщика.</w:t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b/>
                <w:bCs/>
                <w:color w:val="0D0D0D" w:themeColor="text1" w:themeTint="F2"/>
              </w:rPr>
              <w:t>Примечание:</w:t>
            </w:r>
            <w:r w:rsidRPr="00F5147F">
              <w:rPr>
                <w:color w:val="0D0D0D" w:themeColor="text1" w:themeTint="F2"/>
              </w:rPr>
              <w:t xml:space="preserve"> Поставка партии объёмом более 10 м³ осуществляется несколькими рейсами с оформлением отдельных товарных накладных на каждый рейс.</w:t>
            </w:r>
          </w:p>
        </w:tc>
      </w:tr>
      <w:tr w:rsidR="00F5147F" w:rsidRPr="00F5147F" w14:paraId="24EDA182" w14:textId="77777777" w:rsidTr="00DE4641">
        <w:tc>
          <w:tcPr>
            <w:tcW w:w="0" w:type="auto"/>
            <w:hideMark/>
          </w:tcPr>
          <w:p w14:paraId="21613E93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3307" w:type="dxa"/>
            <w:hideMark/>
          </w:tcPr>
          <w:p w14:paraId="2AAA4454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Описание предмета закупки, с указанием кода ОКПД2</w:t>
            </w:r>
          </w:p>
        </w:tc>
        <w:tc>
          <w:tcPr>
            <w:tcW w:w="6230" w:type="dxa"/>
            <w:hideMark/>
          </w:tcPr>
          <w:p w14:paraId="610C0376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19.20.21.300 — Топливо дизельное</w:t>
            </w:r>
          </w:p>
        </w:tc>
      </w:tr>
      <w:tr w:rsidR="00F5147F" w:rsidRPr="00F5147F" w14:paraId="49C9B553" w14:textId="77777777" w:rsidTr="00DE4641">
        <w:tc>
          <w:tcPr>
            <w:tcW w:w="0" w:type="auto"/>
            <w:hideMark/>
          </w:tcPr>
          <w:p w14:paraId="4B59B152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7.</w:t>
            </w:r>
          </w:p>
        </w:tc>
        <w:tc>
          <w:tcPr>
            <w:tcW w:w="3307" w:type="dxa"/>
            <w:hideMark/>
          </w:tcPr>
          <w:p w14:paraId="4AF4805D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Состав закупки и количество</w:t>
            </w:r>
          </w:p>
        </w:tc>
        <w:tc>
          <w:tcPr>
            <w:tcW w:w="6230" w:type="dxa"/>
            <w:hideMark/>
          </w:tcPr>
          <w:p w14:paraId="20ED4701" w14:textId="06ECB1B8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Соответствие качества поставляемого товара:</w:t>
            </w:r>
            <w:r w:rsidRPr="00F5147F">
              <w:rPr>
                <w:color w:val="0D0D0D" w:themeColor="text1" w:themeTint="F2"/>
              </w:rPr>
              <w:br/>
              <w:t>— ГОСТ 32511-2013 «Топливо дизельное ЕВРО. Технические условия» (с Поправкой, с Изменением № 1);</w:t>
            </w:r>
            <w:r w:rsidRPr="00F5147F">
              <w:rPr>
                <w:color w:val="0D0D0D" w:themeColor="text1" w:themeTint="F2"/>
              </w:rPr>
              <w:br/>
              <w:t>—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color w:val="0D0D0D" w:themeColor="text1" w:themeTint="F2"/>
              </w:rPr>
              <w:br/>
              <w:t>Экологический класс: не ниже К5</w:t>
            </w:r>
            <w:r w:rsidRPr="00F5147F">
              <w:rPr>
                <w:color w:val="0D0D0D" w:themeColor="text1" w:themeTint="F2"/>
              </w:rPr>
              <w:br/>
              <w:t xml:space="preserve">Сезонность: </w:t>
            </w:r>
            <w:r w:rsidR="00FF3BD7">
              <w:rPr>
                <w:color w:val="0D0D0D" w:themeColor="text1" w:themeTint="F2"/>
              </w:rPr>
              <w:t>межсезон</w:t>
            </w:r>
            <w:r w:rsidR="00C914B6">
              <w:rPr>
                <w:color w:val="0D0D0D" w:themeColor="text1" w:themeTint="F2"/>
              </w:rPr>
              <w:t>н</w:t>
            </w:r>
            <w:r w:rsidR="00FF3BD7">
              <w:rPr>
                <w:color w:val="0D0D0D" w:themeColor="text1" w:themeTint="F2"/>
              </w:rPr>
              <w:t>ое</w:t>
            </w:r>
            <w:r w:rsidRPr="00F5147F">
              <w:rPr>
                <w:color w:val="0D0D0D" w:themeColor="text1" w:themeTint="F2"/>
              </w:rPr>
              <w:t xml:space="preserve"> (для эксплуатации при температуре до –20°С)</w:t>
            </w:r>
            <w:r w:rsidRPr="00F5147F">
              <w:rPr>
                <w:color w:val="0D0D0D" w:themeColor="text1" w:themeTint="F2"/>
              </w:rPr>
              <w:br/>
              <w:t>Сорт: не ниже F</w:t>
            </w:r>
            <w:r w:rsidRPr="00F5147F">
              <w:rPr>
                <w:color w:val="0D0D0D" w:themeColor="text1" w:themeTint="F2"/>
              </w:rPr>
              <w:br/>
            </w:r>
            <w:proofErr w:type="spellStart"/>
            <w:r w:rsidRPr="00F5147F">
              <w:rPr>
                <w:color w:val="0D0D0D" w:themeColor="text1" w:themeTint="F2"/>
              </w:rPr>
              <w:t>Цетановое</w:t>
            </w:r>
            <w:proofErr w:type="spellEnd"/>
            <w:r w:rsidRPr="00F5147F">
              <w:rPr>
                <w:color w:val="0D0D0D" w:themeColor="text1" w:themeTint="F2"/>
              </w:rPr>
              <w:t xml:space="preserve"> число: не менее 51,0</w:t>
            </w:r>
            <w:r w:rsidRPr="00F5147F">
              <w:rPr>
                <w:color w:val="0D0D0D" w:themeColor="text1" w:themeTint="F2"/>
              </w:rPr>
              <w:br/>
            </w:r>
            <w:proofErr w:type="spellStart"/>
            <w:r w:rsidRPr="00F5147F">
              <w:rPr>
                <w:color w:val="0D0D0D" w:themeColor="text1" w:themeTint="F2"/>
              </w:rPr>
              <w:t>Цетановый</w:t>
            </w:r>
            <w:proofErr w:type="spellEnd"/>
            <w:r w:rsidRPr="00F5147F">
              <w:rPr>
                <w:color w:val="0D0D0D" w:themeColor="text1" w:themeTint="F2"/>
              </w:rPr>
              <w:t xml:space="preserve"> индекс: не менее 46,0</w:t>
            </w:r>
            <w:r w:rsidRPr="00F5147F">
              <w:rPr>
                <w:color w:val="0D0D0D" w:themeColor="text1" w:themeTint="F2"/>
              </w:rPr>
              <w:br/>
              <w:t>Плотность при 15°С: 820–845 кг/м³</w:t>
            </w:r>
            <w:r w:rsidRPr="00F5147F">
              <w:rPr>
                <w:color w:val="0D0D0D" w:themeColor="text1" w:themeTint="F2"/>
              </w:rPr>
              <w:br/>
              <w:t>Массовая доля серы (К5): не более 10 мг/кг</w:t>
            </w:r>
            <w:r w:rsidRPr="00F5147F">
              <w:rPr>
                <w:color w:val="0D0D0D" w:themeColor="text1" w:themeTint="F2"/>
              </w:rPr>
              <w:br/>
              <w:t>Температура вспышки в закрытом тигле: не ниже 55°С</w:t>
            </w:r>
            <w:r w:rsidRPr="00F5147F">
              <w:rPr>
                <w:color w:val="0D0D0D" w:themeColor="text1" w:themeTint="F2"/>
              </w:rPr>
              <w:br/>
              <w:t>Коксуемость 10%-го остатка разгонки: не более 0,3 % масс.</w:t>
            </w:r>
            <w:r w:rsidRPr="00F5147F">
              <w:rPr>
                <w:color w:val="0D0D0D" w:themeColor="text1" w:themeTint="F2"/>
              </w:rPr>
              <w:br/>
              <w:t>Зольность: не более 0,01 % масс.</w:t>
            </w:r>
            <w:r w:rsidRPr="00F5147F">
              <w:rPr>
                <w:color w:val="0D0D0D" w:themeColor="text1" w:themeTint="F2"/>
              </w:rPr>
              <w:br/>
              <w:t>Массовая доля воды: не более 200 мг/кг</w:t>
            </w:r>
            <w:r w:rsidRPr="00F5147F">
              <w:rPr>
                <w:color w:val="0D0D0D" w:themeColor="text1" w:themeTint="F2"/>
              </w:rPr>
              <w:br/>
              <w:t>Общее загрязнение: не более 24 мг/кг</w:t>
            </w:r>
            <w:r w:rsidRPr="00F5147F">
              <w:rPr>
                <w:color w:val="0D0D0D" w:themeColor="text1" w:themeTint="F2"/>
              </w:rPr>
              <w:br/>
              <w:t xml:space="preserve">Предельная температура </w:t>
            </w:r>
            <w:proofErr w:type="spellStart"/>
            <w:r w:rsidRPr="00F5147F">
              <w:rPr>
                <w:color w:val="0D0D0D" w:themeColor="text1" w:themeTint="F2"/>
              </w:rPr>
              <w:t>фильтруемости</w:t>
            </w:r>
            <w:proofErr w:type="spellEnd"/>
            <w:r w:rsidRPr="00F5147F">
              <w:rPr>
                <w:color w:val="0D0D0D" w:themeColor="text1" w:themeTint="F2"/>
              </w:rPr>
              <w:t>: не выше –20°С</w:t>
            </w:r>
          </w:p>
        </w:tc>
      </w:tr>
      <w:tr w:rsidR="00F5147F" w:rsidRPr="00F5147F" w14:paraId="5FDF7867" w14:textId="77777777" w:rsidTr="00DE4641">
        <w:tc>
          <w:tcPr>
            <w:tcW w:w="0" w:type="auto"/>
            <w:hideMark/>
          </w:tcPr>
          <w:p w14:paraId="5A3E0153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8.</w:t>
            </w:r>
          </w:p>
        </w:tc>
        <w:tc>
          <w:tcPr>
            <w:tcW w:w="3307" w:type="dxa"/>
            <w:hideMark/>
          </w:tcPr>
          <w:p w14:paraId="17C5B4A2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Входной контроль</w:t>
            </w:r>
          </w:p>
        </w:tc>
        <w:tc>
          <w:tcPr>
            <w:tcW w:w="6230" w:type="dxa"/>
            <w:hideMark/>
          </w:tcPr>
          <w:p w14:paraId="78D5383B" w14:textId="77777777" w:rsid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Входной контроль (приёмка) товара осуществляется в соответствии с Приказом Минэнерго России от 19.06.2003 № 231 (составление акта входного контроля, отбор проб, сдача на анализ). В случае выявления несоответствия показателей качества нормативным требованиям Поставщику выставляется претензия и штраф в размере 50 % стоимости поставленной партии топлива.</w:t>
            </w:r>
          </w:p>
          <w:p w14:paraId="16AF5869" w14:textId="5B7699A0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br/>
              <w:t>Транспортирование товара осуществляется Поставщиком в соответствии с Приказом Минтранса России от 05.09.2016 № 262 «Об утверждении правил перевозки опасных грузов автомобильным транспортом». Маркировка грузов должна соответствовать требованиям ДОПОГ</w:t>
            </w:r>
            <w:r w:rsidR="0077648C" w:rsidRPr="0077648C">
              <w:rPr>
                <w:color w:val="0D0D0D" w:themeColor="text1" w:themeTint="F2"/>
              </w:rPr>
              <w:t xml:space="preserve"> (дорожная перевозка опасных грузов)</w:t>
            </w:r>
            <w:r w:rsidRPr="00F5147F">
              <w:rPr>
                <w:color w:val="0D0D0D" w:themeColor="text1" w:themeTint="F2"/>
              </w:rPr>
              <w:t>, быть чёткой и износоустойчивой.</w:t>
            </w:r>
          </w:p>
        </w:tc>
      </w:tr>
      <w:tr w:rsidR="00F5147F" w:rsidRPr="00F5147F" w14:paraId="40855329" w14:textId="77777777" w:rsidTr="00DE4641">
        <w:tc>
          <w:tcPr>
            <w:tcW w:w="0" w:type="auto"/>
            <w:hideMark/>
          </w:tcPr>
          <w:p w14:paraId="1B1AF378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9.</w:t>
            </w:r>
          </w:p>
        </w:tc>
        <w:tc>
          <w:tcPr>
            <w:tcW w:w="3307" w:type="dxa"/>
            <w:hideMark/>
          </w:tcPr>
          <w:p w14:paraId="73FAF338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Гарантийный срок на поставляемый товар</w:t>
            </w:r>
          </w:p>
        </w:tc>
        <w:tc>
          <w:tcPr>
            <w:tcW w:w="6230" w:type="dxa"/>
            <w:hideMark/>
          </w:tcPr>
          <w:p w14:paraId="7D51A71F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 xml:space="preserve">Гарантийный срок на дизельное топливо должен составлять не менее 6 месяцев со дня изготовления. </w:t>
            </w:r>
            <w:r w:rsidRPr="00F5147F">
              <w:rPr>
                <w:color w:val="0D0D0D" w:themeColor="text1" w:themeTint="F2"/>
              </w:rPr>
              <w:lastRenderedPageBreak/>
              <w:t>Гарантийные обязательства действуют с момента подписания сторонами документов о приёмке товара.</w:t>
            </w:r>
          </w:p>
        </w:tc>
      </w:tr>
      <w:tr w:rsidR="00F5147F" w:rsidRPr="00F5147F" w14:paraId="54D57A56" w14:textId="77777777" w:rsidTr="00DE4641">
        <w:tc>
          <w:tcPr>
            <w:tcW w:w="0" w:type="auto"/>
            <w:hideMark/>
          </w:tcPr>
          <w:p w14:paraId="55D43252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lastRenderedPageBreak/>
              <w:t>10.</w:t>
            </w:r>
          </w:p>
        </w:tc>
        <w:tc>
          <w:tcPr>
            <w:tcW w:w="3307" w:type="dxa"/>
            <w:hideMark/>
          </w:tcPr>
          <w:p w14:paraId="489B593E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Требования к качественным характеристикам</w:t>
            </w:r>
          </w:p>
        </w:tc>
        <w:tc>
          <w:tcPr>
            <w:tcW w:w="6230" w:type="dxa"/>
            <w:hideMark/>
          </w:tcPr>
          <w:p w14:paraId="0ABB771E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Качество дизельного топлива подтверждается паспортом качества, предоставляемым Поставщиком при каждой поставке.</w:t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color w:val="0D0D0D" w:themeColor="text1" w:themeTint="F2"/>
              </w:rPr>
              <w:br/>
              <w:t>Поставщик возмещает Покупателю все расходы по восстановлению водогрейных котлов в случае поставки некачественного топлива, повлекшего нарушение работоспособности оборудования, подтверждённое независимой экспертизой.</w:t>
            </w:r>
          </w:p>
        </w:tc>
      </w:tr>
      <w:tr w:rsidR="00F5147F" w:rsidRPr="00F5147F" w14:paraId="1845C4E9" w14:textId="77777777" w:rsidTr="00DE4641">
        <w:tc>
          <w:tcPr>
            <w:tcW w:w="0" w:type="auto"/>
            <w:hideMark/>
          </w:tcPr>
          <w:p w14:paraId="1CC3172D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11.</w:t>
            </w:r>
          </w:p>
        </w:tc>
        <w:tc>
          <w:tcPr>
            <w:tcW w:w="3307" w:type="dxa"/>
            <w:hideMark/>
          </w:tcPr>
          <w:p w14:paraId="035CDC56" w14:textId="71F4EF6F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Требования по передаче Покупателю технических и иных документов</w:t>
            </w:r>
            <w:r w:rsidR="00EB3B51">
              <w:rPr>
                <w:color w:val="0D0D0D" w:themeColor="text1" w:themeTint="F2"/>
              </w:rPr>
              <w:t>, порядок оплаты</w:t>
            </w:r>
          </w:p>
        </w:tc>
        <w:tc>
          <w:tcPr>
            <w:tcW w:w="6230" w:type="dxa"/>
            <w:hideMark/>
          </w:tcPr>
          <w:p w14:paraId="30BA04F9" w14:textId="77777777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Вместе с товаром Поставщик обязан передать Покупателю оригиналы следующих документов:</w:t>
            </w:r>
          </w:p>
          <w:p w14:paraId="16AF2F4F" w14:textId="77777777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— счёт-фактура;</w:t>
            </w:r>
          </w:p>
          <w:p w14:paraId="78D3B9D4" w14:textId="3D87FD33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—</w:t>
            </w:r>
            <w:r w:rsidR="0077648C">
              <w:rPr>
                <w:color w:val="0D0D0D" w:themeColor="text1" w:themeTint="F2"/>
              </w:rPr>
              <w:t xml:space="preserve"> </w:t>
            </w:r>
            <w:r w:rsidRPr="00F5147F">
              <w:rPr>
                <w:color w:val="0D0D0D" w:themeColor="text1" w:themeTint="F2"/>
              </w:rPr>
              <w:t xml:space="preserve"> товарная накладная (или УПД);</w:t>
            </w:r>
          </w:p>
          <w:p w14:paraId="34812B2D" w14:textId="77777777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—товарно-транспортная накладная (или транспортная накладная по Приложению № 4 к Правилам перевозки грузов автомобильным транспортом, утверждённым</w:t>
            </w:r>
            <w:r w:rsidR="0077648C">
              <w:rPr>
                <w:color w:val="0D0D0D" w:themeColor="text1" w:themeTint="F2"/>
              </w:rPr>
              <w:t xml:space="preserve"> </w:t>
            </w:r>
            <w:r w:rsidRPr="00F5147F">
              <w:rPr>
                <w:color w:val="0D0D0D" w:themeColor="text1" w:themeTint="F2"/>
              </w:rPr>
              <w:t>Постановлением Правительства РФ от 30.11.2021 № 2116);</w:t>
            </w:r>
          </w:p>
          <w:p w14:paraId="57F6CDD7" w14:textId="3E9D52E0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— счёт на оплату;</w:t>
            </w:r>
          </w:p>
          <w:p w14:paraId="4FB486B3" w14:textId="77777777" w:rsidR="0077648C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— паспорт качества.</w:t>
            </w:r>
          </w:p>
          <w:p w14:paraId="1D150603" w14:textId="1B407421" w:rsidR="00EB3B51" w:rsidRPr="00EB3B51" w:rsidRDefault="00EB3B51" w:rsidP="00EB3B51">
            <w:pPr>
              <w:spacing w:line="276" w:lineRule="auto"/>
              <w:jc w:val="both"/>
              <w:rPr>
                <w:bCs/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>Оплата производится не позднее 7 рабочих дней с момента подписания бухгалтерских документов</w:t>
            </w:r>
            <w:r>
              <w:rPr>
                <w:bCs/>
                <w:color w:val="0D0D0D" w:themeColor="text1" w:themeTint="F2"/>
              </w:rPr>
              <w:t>.</w:t>
            </w:r>
          </w:p>
          <w:p w14:paraId="0EFA6C19" w14:textId="65DFA472" w:rsidR="00502E95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br/>
              <w:t>Все документы передаются одновременно с товаром.</w:t>
            </w:r>
            <w:r w:rsidR="00502E95">
              <w:rPr>
                <w:color w:val="0D0D0D" w:themeColor="text1" w:themeTint="F2"/>
              </w:rPr>
              <w:t xml:space="preserve"> </w:t>
            </w:r>
            <w:r w:rsidRPr="00F5147F">
              <w:rPr>
                <w:color w:val="0D0D0D" w:themeColor="text1" w:themeTint="F2"/>
              </w:rPr>
              <w:t>Поставка без указанных документов считается</w:t>
            </w:r>
            <w:r w:rsidR="00502E95">
              <w:rPr>
                <w:color w:val="0D0D0D" w:themeColor="text1" w:themeTint="F2"/>
              </w:rPr>
              <w:t xml:space="preserve"> </w:t>
            </w:r>
            <w:r w:rsidRPr="00F5147F">
              <w:rPr>
                <w:color w:val="0D0D0D" w:themeColor="text1" w:themeTint="F2"/>
              </w:rPr>
              <w:t>некомплектной. Покупатель вправе не оплачивать товар до предоставления полного пакета документов.</w:t>
            </w:r>
          </w:p>
          <w:p w14:paraId="1C7D918E" w14:textId="4AAA9CB0" w:rsidR="00EB3B51" w:rsidRPr="00F5147F" w:rsidRDefault="00F5147F" w:rsidP="00EB3B51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br/>
              <w:t>Паспорт качества оформляется на каждую партию и должен содержать:</w:t>
            </w:r>
            <w:r w:rsidRPr="00F5147F">
              <w:rPr>
                <w:color w:val="0D0D0D" w:themeColor="text1" w:themeTint="F2"/>
              </w:rPr>
              <w:br/>
              <w:t>— наименование и товарный знак изготовителя;</w:t>
            </w:r>
            <w:r w:rsidRPr="00F5147F">
              <w:rPr>
                <w:color w:val="0D0D0D" w:themeColor="text1" w:themeTint="F2"/>
              </w:rPr>
              <w:br/>
              <w:t>— дату изготовления и отгрузки;</w:t>
            </w:r>
            <w:r w:rsidRPr="00F5147F">
              <w:rPr>
                <w:color w:val="0D0D0D" w:themeColor="text1" w:themeTint="F2"/>
              </w:rPr>
              <w:br/>
              <w:t>— номер и массу партии;</w:t>
            </w:r>
            <w:r w:rsidRPr="00F5147F">
              <w:rPr>
                <w:color w:val="0D0D0D" w:themeColor="text1" w:themeTint="F2"/>
              </w:rPr>
              <w:br/>
              <w:t>— полное наименование товара;</w:t>
            </w:r>
            <w:r w:rsidRPr="00F5147F">
              <w:rPr>
                <w:color w:val="0D0D0D" w:themeColor="text1" w:themeTint="F2"/>
              </w:rPr>
              <w:br/>
              <w:t>— физико-технические характеристики в соответствии с настоящим ТЗ;</w:t>
            </w:r>
            <w:r w:rsidRPr="00F5147F">
              <w:rPr>
                <w:color w:val="0D0D0D" w:themeColor="text1" w:themeTint="F2"/>
              </w:rPr>
              <w:br/>
              <w:t>— результаты анализов при отгрузке;</w:t>
            </w:r>
            <w:r w:rsidRPr="00F5147F">
              <w:rPr>
                <w:color w:val="0D0D0D" w:themeColor="text1" w:themeTint="F2"/>
              </w:rPr>
              <w:br/>
              <w:t>— обозначение применяемого стандарта.</w:t>
            </w:r>
          </w:p>
        </w:tc>
      </w:tr>
      <w:tr w:rsidR="00F5147F" w:rsidRPr="00F5147F" w14:paraId="79B4D8D2" w14:textId="77777777" w:rsidTr="00DE4641">
        <w:tc>
          <w:tcPr>
            <w:tcW w:w="0" w:type="auto"/>
            <w:hideMark/>
          </w:tcPr>
          <w:p w14:paraId="479FEDB2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12.</w:t>
            </w:r>
          </w:p>
        </w:tc>
        <w:tc>
          <w:tcPr>
            <w:tcW w:w="3307" w:type="dxa"/>
            <w:hideMark/>
          </w:tcPr>
          <w:p w14:paraId="5D6E9157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Требования к транспортированию</w:t>
            </w:r>
          </w:p>
        </w:tc>
        <w:tc>
          <w:tcPr>
            <w:tcW w:w="6230" w:type="dxa"/>
            <w:hideMark/>
          </w:tcPr>
          <w:p w14:paraId="1EB9431F" w14:textId="77777777" w:rsidR="00502E95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Дизельное топливо поставляется специализированным автотранспортом (автоцистерна/бензовоз) до места назначения с последующим принудительным сливом силами и оборудованием Поставщика (шланги, насосы) в резервуар Покупателя.</w:t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color w:val="0D0D0D" w:themeColor="text1" w:themeTint="F2"/>
              </w:rPr>
              <w:br/>
              <w:t xml:space="preserve">Для разгрузки предусмотрена специальная площадка, рассчитанная на размещение одной автоцистерны. Слив </w:t>
            </w:r>
            <w:r w:rsidRPr="00F5147F">
              <w:rPr>
                <w:color w:val="0D0D0D" w:themeColor="text1" w:themeTint="F2"/>
              </w:rPr>
              <w:lastRenderedPageBreak/>
              <w:t>топлива осуществляется через присоединение гибкого рукава автоцистерны к сливной муфте с последующим заполнением расходного бака по трубопроводам (канальная подземная прокладка) до необходимого уровня (визуальный контроль, ручной режим).</w:t>
            </w:r>
          </w:p>
          <w:p w14:paraId="055C2511" w14:textId="77777777" w:rsidR="00502E95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br/>
              <w:t>Право собственности и риски случайной гибели/повреждения товара переходят к Покупателю с момента подписания товарной накладной (УПД).</w:t>
            </w:r>
          </w:p>
          <w:p w14:paraId="75CAA1FA" w14:textId="44813E4C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br/>
              <w:t>Транспортное средство и водитель должны соответствовать требованиям ДОПОГ</w:t>
            </w:r>
            <w:r w:rsidR="00957B63" w:rsidRPr="00957B63">
              <w:rPr>
                <w:color w:val="0D0D0D" w:themeColor="text1" w:themeTint="F2"/>
              </w:rPr>
              <w:t xml:space="preserve"> (дорожная перевозка опасных грузов)</w:t>
            </w:r>
            <w:r w:rsidRPr="00F5147F">
              <w:rPr>
                <w:color w:val="0D0D0D" w:themeColor="text1" w:themeTint="F2"/>
              </w:rPr>
              <w:t>, включая наличие знаков безопасности, жёлтого проблескового маячка, огнетушителей и иного обязательного оборудования.</w:t>
            </w:r>
          </w:p>
        </w:tc>
      </w:tr>
      <w:tr w:rsidR="00F5147F" w:rsidRPr="00F5147F" w14:paraId="6732F88A" w14:textId="77777777" w:rsidTr="00DE4641">
        <w:tc>
          <w:tcPr>
            <w:tcW w:w="0" w:type="auto"/>
            <w:hideMark/>
          </w:tcPr>
          <w:p w14:paraId="29EEEACC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3307" w:type="dxa"/>
            <w:hideMark/>
          </w:tcPr>
          <w:p w14:paraId="4DB26D59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Требования к маркировке, упаковке</w:t>
            </w:r>
          </w:p>
        </w:tc>
        <w:tc>
          <w:tcPr>
            <w:tcW w:w="6230" w:type="dxa"/>
            <w:hideMark/>
          </w:tcPr>
          <w:p w14:paraId="5119D5FC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В соответствии с ГОСТ 1510-2022 «Нефть и нефтепродукты. Маркировка, упаковка, транспортирование и хранение».</w:t>
            </w:r>
            <w:r w:rsidRPr="00F5147F">
              <w:rPr>
                <w:color w:val="0D0D0D" w:themeColor="text1" w:themeTint="F2"/>
              </w:rPr>
              <w:br/>
            </w:r>
            <w:r w:rsidRPr="00F5147F">
              <w:rPr>
                <w:color w:val="0D0D0D" w:themeColor="text1" w:themeTint="F2"/>
              </w:rPr>
              <w:br/>
              <w:t>Автоцистерна должна быть оборудована исправными, поверенными и опломбированными счётчиками на сливе топлива. Емкость транспортного средства должна иметь действующее свидетельство о калибровке.</w:t>
            </w:r>
          </w:p>
        </w:tc>
      </w:tr>
      <w:tr w:rsidR="00F5147F" w:rsidRPr="00F5147F" w14:paraId="262E33BE" w14:textId="77777777" w:rsidTr="00DE4641">
        <w:tc>
          <w:tcPr>
            <w:tcW w:w="0" w:type="auto"/>
            <w:hideMark/>
          </w:tcPr>
          <w:p w14:paraId="2975B7BA" w14:textId="77777777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14.</w:t>
            </w:r>
          </w:p>
        </w:tc>
        <w:tc>
          <w:tcPr>
            <w:tcW w:w="3307" w:type="dxa"/>
            <w:hideMark/>
          </w:tcPr>
          <w:p w14:paraId="24161C22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Экологические требования</w:t>
            </w:r>
          </w:p>
        </w:tc>
        <w:tc>
          <w:tcPr>
            <w:tcW w:w="6230" w:type="dxa"/>
            <w:hideMark/>
          </w:tcPr>
          <w:p w14:paraId="7F421BB7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Слив и транспортировка дизельного топлива должны обеспечивать экологическую безопасность в соответствии с Федеральным законом от 10.01.2002 № 7-ФЗ «Об охране окружающей среды» и ГОСТ 32511-2013. Не допускается разлив или утечка топлива при транспортировке и сливе (загрязнение окружающей среды).</w:t>
            </w:r>
          </w:p>
        </w:tc>
      </w:tr>
      <w:tr w:rsidR="00EB3B51" w:rsidRPr="00F5147F" w14:paraId="0E09A5F0" w14:textId="77777777" w:rsidTr="00DE4641">
        <w:tc>
          <w:tcPr>
            <w:tcW w:w="0" w:type="auto"/>
          </w:tcPr>
          <w:p w14:paraId="07831E90" w14:textId="6D0861C5" w:rsidR="00EB3B51" w:rsidRPr="00F5147F" w:rsidRDefault="00EB3B51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15.</w:t>
            </w:r>
          </w:p>
        </w:tc>
        <w:tc>
          <w:tcPr>
            <w:tcW w:w="3307" w:type="dxa"/>
          </w:tcPr>
          <w:p w14:paraId="4C3837C1" w14:textId="3DFBD31F" w:rsidR="00EB3B51" w:rsidRPr="00B62B1B" w:rsidRDefault="00EB3B51" w:rsidP="00EB3B51">
            <w:pPr>
              <w:spacing w:line="276" w:lineRule="auto"/>
              <w:rPr>
                <w:color w:val="0D0D0D" w:themeColor="text1" w:themeTint="F2"/>
              </w:rPr>
            </w:pPr>
            <w:r w:rsidRPr="00B62B1B">
              <w:rPr>
                <w:color w:val="0D0D0D" w:themeColor="text1" w:themeTint="F2"/>
              </w:rPr>
              <w:t>Размер обеспечения исполнения договора, порядок и срок его предоставления и иные требования к такому обеспечению</w:t>
            </w:r>
          </w:p>
        </w:tc>
        <w:tc>
          <w:tcPr>
            <w:tcW w:w="6230" w:type="dxa"/>
          </w:tcPr>
          <w:p w14:paraId="6460D2B6" w14:textId="4BC57AE6" w:rsidR="00EB3B51" w:rsidRPr="00EB3B51" w:rsidRDefault="00EB3B51" w:rsidP="00EB3B51">
            <w:pPr>
              <w:spacing w:line="276" w:lineRule="auto"/>
              <w:jc w:val="both"/>
              <w:rPr>
                <w:bCs/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 xml:space="preserve">Размер обеспечения исполнения договора: </w:t>
            </w:r>
            <w:r>
              <w:rPr>
                <w:bCs/>
                <w:color w:val="0D0D0D" w:themeColor="text1" w:themeTint="F2"/>
              </w:rPr>
              <w:t>1</w:t>
            </w:r>
            <w:r w:rsidRPr="00EB3B51">
              <w:rPr>
                <w:bCs/>
                <w:color w:val="0D0D0D" w:themeColor="text1" w:themeTint="F2"/>
              </w:rPr>
              <w:t>0 % от начальной максимальной цены договора.</w:t>
            </w:r>
          </w:p>
          <w:p w14:paraId="7180751E" w14:textId="77777777" w:rsidR="00EB3B51" w:rsidRPr="00EB3B51" w:rsidRDefault="00EB3B51" w:rsidP="00EB3B51">
            <w:pPr>
              <w:spacing w:line="276" w:lineRule="auto"/>
              <w:jc w:val="both"/>
              <w:rPr>
                <w:bCs/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>Обеспечение исполнения договора может быть представлено в виде независимой гарантии или путем внесения денежных средств на счет Заказчика.</w:t>
            </w:r>
          </w:p>
          <w:p w14:paraId="6819FA67" w14:textId="77777777" w:rsidR="00EB3B51" w:rsidRPr="00EB3B51" w:rsidRDefault="00EB3B51" w:rsidP="00EB3B51">
            <w:pPr>
              <w:spacing w:line="276" w:lineRule="auto"/>
              <w:jc w:val="both"/>
              <w:rPr>
                <w:bCs/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>Реквизиты счета для внесения денежных средств в качестве обеспечения исполнения договора: Получатель: ООО «Гранель Инжиниринг» Московский банк ПАО «Сбербанк России» г. Москва р/с № 40702810738000068971 к/с: № 30101810400000000225 БИК: 044525225</w:t>
            </w:r>
          </w:p>
          <w:p w14:paraId="47A84105" w14:textId="77777777" w:rsidR="00EB3B51" w:rsidRPr="00EB3B51" w:rsidRDefault="00EB3B51" w:rsidP="00EB3B51">
            <w:pPr>
              <w:spacing w:line="276" w:lineRule="auto"/>
              <w:jc w:val="both"/>
              <w:rPr>
                <w:bCs/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 xml:space="preserve">Назначение платежа: Обеспечение исполнения договора по результатам закупки № ЕИС. </w:t>
            </w:r>
            <w:bookmarkStart w:id="1" w:name="_Hlk212101434"/>
          </w:p>
          <w:p w14:paraId="1CD34378" w14:textId="77777777" w:rsidR="00EB3B51" w:rsidRPr="00EB3B51" w:rsidRDefault="00EB3B51" w:rsidP="00EB3B51">
            <w:pPr>
              <w:spacing w:line="276" w:lineRule="auto"/>
              <w:jc w:val="both"/>
              <w:rPr>
                <w:b/>
                <w:bCs/>
                <w:color w:val="0D0D0D" w:themeColor="text1" w:themeTint="F2"/>
              </w:rPr>
            </w:pPr>
            <w:r w:rsidRPr="00EB3B51">
              <w:rPr>
                <w:b/>
                <w:bCs/>
                <w:color w:val="0D0D0D" w:themeColor="text1" w:themeTint="F2"/>
              </w:rPr>
              <w:t>Обеспечение должно быть предоставлено участником закупки до заключения договора.</w:t>
            </w:r>
            <w:bookmarkEnd w:id="1"/>
          </w:p>
          <w:p w14:paraId="23BFBEDB" w14:textId="5DA5A891" w:rsidR="00EB3B51" w:rsidRPr="00F5147F" w:rsidRDefault="00EB3B51" w:rsidP="00EB3B51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EB3B51">
              <w:rPr>
                <w:bCs/>
                <w:color w:val="0D0D0D" w:themeColor="text1" w:themeTint="F2"/>
              </w:rPr>
              <w:t xml:space="preserve">Срок обеспечения исполнения договора должен составлять срок исполнения обязательств по договору </w:t>
            </w:r>
            <w:r w:rsidRPr="00EB3B51">
              <w:rPr>
                <w:bCs/>
                <w:color w:val="0D0D0D" w:themeColor="text1" w:themeTint="F2"/>
              </w:rPr>
              <w:lastRenderedPageBreak/>
              <w:t>поставщиком (исполнителем, подрядчиком) плюс 60 (шестьдесят) календарных дней.</w:t>
            </w:r>
          </w:p>
        </w:tc>
      </w:tr>
      <w:tr w:rsidR="00F5147F" w:rsidRPr="00F5147F" w14:paraId="602994A8" w14:textId="77777777" w:rsidTr="00DE4641">
        <w:tc>
          <w:tcPr>
            <w:tcW w:w="0" w:type="auto"/>
            <w:hideMark/>
          </w:tcPr>
          <w:p w14:paraId="5583C807" w14:textId="0A0C41FF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lastRenderedPageBreak/>
              <w:t>1</w:t>
            </w:r>
            <w:r w:rsidR="00EB3B51">
              <w:rPr>
                <w:color w:val="0D0D0D" w:themeColor="text1" w:themeTint="F2"/>
              </w:rPr>
              <w:t>6</w:t>
            </w:r>
          </w:p>
        </w:tc>
        <w:tc>
          <w:tcPr>
            <w:tcW w:w="3307" w:type="dxa"/>
            <w:hideMark/>
          </w:tcPr>
          <w:p w14:paraId="3B9DA3BD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Координация поставок</w:t>
            </w:r>
          </w:p>
        </w:tc>
        <w:tc>
          <w:tcPr>
            <w:tcW w:w="6230" w:type="dxa"/>
            <w:hideMark/>
          </w:tcPr>
          <w:p w14:paraId="698A2F00" w14:textId="77777777" w:rsidR="00502E95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Главный энергетик Шутов Д.В.</w:t>
            </w:r>
          </w:p>
          <w:p w14:paraId="4F6798EF" w14:textId="740B1DFB" w:rsidR="00502E95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Тел.: +7 (495) 401-60-30 доб. 7576</w:t>
            </w:r>
          </w:p>
          <w:p w14:paraId="299F526B" w14:textId="0BBC3C72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  <w:lang w:val="en-US"/>
              </w:rPr>
            </w:pPr>
            <w:r w:rsidRPr="00F5147F">
              <w:rPr>
                <w:color w:val="0D0D0D" w:themeColor="text1" w:themeTint="F2"/>
                <w:lang w:val="en-US"/>
              </w:rPr>
              <w:t>E-mail: shutov.dv@gging.ru</w:t>
            </w:r>
          </w:p>
        </w:tc>
      </w:tr>
      <w:tr w:rsidR="00F5147F" w:rsidRPr="00F5147F" w14:paraId="18E97BD7" w14:textId="77777777" w:rsidTr="00DE4641">
        <w:tc>
          <w:tcPr>
            <w:tcW w:w="0" w:type="auto"/>
            <w:hideMark/>
          </w:tcPr>
          <w:p w14:paraId="3638DD4E" w14:textId="134C9A26" w:rsidR="00F5147F" w:rsidRPr="00F5147F" w:rsidRDefault="00F5147F" w:rsidP="0077648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1</w:t>
            </w:r>
            <w:r w:rsidR="00EB3B51">
              <w:rPr>
                <w:color w:val="0D0D0D" w:themeColor="text1" w:themeTint="F2"/>
              </w:rPr>
              <w:t>7</w:t>
            </w:r>
            <w:r w:rsidRPr="00F5147F">
              <w:rPr>
                <w:color w:val="0D0D0D" w:themeColor="text1" w:themeTint="F2"/>
              </w:rPr>
              <w:t>.</w:t>
            </w:r>
          </w:p>
        </w:tc>
        <w:tc>
          <w:tcPr>
            <w:tcW w:w="3307" w:type="dxa"/>
            <w:hideMark/>
          </w:tcPr>
          <w:p w14:paraId="3E8EBEDF" w14:textId="77777777" w:rsidR="00F5147F" w:rsidRPr="00F5147F" w:rsidRDefault="00F5147F" w:rsidP="0077648C">
            <w:pPr>
              <w:spacing w:line="276" w:lineRule="auto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Дополнение</w:t>
            </w:r>
          </w:p>
        </w:tc>
        <w:tc>
          <w:tcPr>
            <w:tcW w:w="6230" w:type="dxa"/>
            <w:hideMark/>
          </w:tcPr>
          <w:p w14:paraId="053D3A12" w14:textId="77777777" w:rsidR="00F5147F" w:rsidRPr="00F5147F" w:rsidRDefault="00F5147F" w:rsidP="0077648C">
            <w:pPr>
              <w:spacing w:line="276" w:lineRule="auto"/>
              <w:jc w:val="both"/>
              <w:rPr>
                <w:color w:val="0D0D0D" w:themeColor="text1" w:themeTint="F2"/>
              </w:rPr>
            </w:pPr>
            <w:r w:rsidRPr="00F5147F">
              <w:rPr>
                <w:color w:val="0D0D0D" w:themeColor="text1" w:themeTint="F2"/>
              </w:rPr>
              <w:t>В состав договора включено приложение для работы в системе электронного документооборота (ЭДО), применяемое при технической возможности сторон принимать и обрабатывать электронные документы.</w:t>
            </w:r>
          </w:p>
        </w:tc>
      </w:tr>
    </w:tbl>
    <w:p w14:paraId="4A00FC08" w14:textId="77777777" w:rsidR="00F5147F" w:rsidRDefault="00F5147F" w:rsidP="000F7F3A">
      <w:pPr>
        <w:spacing w:line="360" w:lineRule="auto"/>
        <w:jc w:val="center"/>
        <w:rPr>
          <w:color w:val="0D0D0D" w:themeColor="text1" w:themeTint="F2"/>
        </w:rPr>
      </w:pPr>
    </w:p>
    <w:p w14:paraId="5CF7B367" w14:textId="77777777" w:rsidR="00F5147F" w:rsidRDefault="00F5147F" w:rsidP="000F7F3A">
      <w:pPr>
        <w:spacing w:line="360" w:lineRule="auto"/>
        <w:jc w:val="center"/>
        <w:rPr>
          <w:color w:val="0D0D0D" w:themeColor="text1" w:themeTint="F2"/>
        </w:rPr>
      </w:pPr>
    </w:p>
    <w:p w14:paraId="152E5F1D" w14:textId="77777777" w:rsidR="00F5147F" w:rsidRPr="002E34B1" w:rsidRDefault="00F5147F" w:rsidP="000F7F3A">
      <w:pPr>
        <w:spacing w:line="360" w:lineRule="auto"/>
        <w:jc w:val="center"/>
        <w:rPr>
          <w:color w:val="0D0D0D" w:themeColor="text1" w:themeTint="F2"/>
        </w:rPr>
      </w:pPr>
    </w:p>
    <w:p w14:paraId="55F621D0" w14:textId="4D634474" w:rsidR="007A7F48" w:rsidRPr="00BF1B68" w:rsidRDefault="007A7F4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C5F85" w:rsidRPr="00664A92" w14:paraId="68851858" w14:textId="77777777" w:rsidTr="00C15EC1">
        <w:tc>
          <w:tcPr>
            <w:tcW w:w="4957" w:type="dxa"/>
          </w:tcPr>
          <w:p w14:paraId="23A23E59" w14:textId="662AA542" w:rsidR="00FD4FD1" w:rsidRPr="006D3FA0" w:rsidRDefault="00FD4FD1" w:rsidP="00FD4FD1">
            <w:pPr>
              <w:jc w:val="both"/>
            </w:pPr>
            <w:r w:rsidRPr="006D3FA0">
              <w:t>Исп</w:t>
            </w:r>
            <w:r>
              <w:t>олнитель</w:t>
            </w:r>
            <w:r w:rsidRPr="006D3FA0">
              <w:t xml:space="preserve"> Главный энергетик Шутов Д.В.</w:t>
            </w:r>
          </w:p>
          <w:p w14:paraId="223E9880" w14:textId="77777777" w:rsidR="00FD4FD1" w:rsidRDefault="00FD4FD1" w:rsidP="00FD4FD1">
            <w:pPr>
              <w:jc w:val="both"/>
            </w:pPr>
            <w:r w:rsidRPr="006D3FA0">
              <w:t>Телефон 8 (495)401-60-30 доб. 7576</w:t>
            </w:r>
          </w:p>
          <w:p w14:paraId="7B5ABDA1" w14:textId="776BFAB8" w:rsidR="00FD4FD1" w:rsidRPr="00F5147F" w:rsidRDefault="00FD4FD1" w:rsidP="00FD4FD1">
            <w:pPr>
              <w:jc w:val="both"/>
            </w:pPr>
            <w:r>
              <w:rPr>
                <w:lang w:val="en-US"/>
              </w:rPr>
              <w:t>Email</w:t>
            </w:r>
            <w:r w:rsidRPr="00F5147F">
              <w:t xml:space="preserve"> </w:t>
            </w:r>
            <w:proofErr w:type="spellStart"/>
            <w:r w:rsidRPr="00FD4FD1">
              <w:rPr>
                <w:lang w:val="en-US"/>
              </w:rPr>
              <w:t>shutov</w:t>
            </w:r>
            <w:proofErr w:type="spellEnd"/>
            <w:r w:rsidRPr="00F5147F">
              <w:t>.</w:t>
            </w:r>
            <w:r w:rsidRPr="00FD4FD1">
              <w:rPr>
                <w:lang w:val="en-US"/>
              </w:rPr>
              <w:t>dv</w:t>
            </w:r>
            <w:r w:rsidRPr="00F5147F">
              <w:t>@</w:t>
            </w:r>
            <w:proofErr w:type="spellStart"/>
            <w:r w:rsidRPr="00FD4FD1">
              <w:rPr>
                <w:lang w:val="en-US"/>
              </w:rPr>
              <w:t>gging</w:t>
            </w:r>
            <w:proofErr w:type="spellEnd"/>
            <w:r w:rsidRPr="00F5147F">
              <w:t>.</w:t>
            </w:r>
            <w:proofErr w:type="spellStart"/>
            <w:r w:rsidRPr="00FD4FD1">
              <w:rPr>
                <w:lang w:val="en-US"/>
              </w:rPr>
              <w:t>ru</w:t>
            </w:r>
            <w:proofErr w:type="spellEnd"/>
          </w:p>
          <w:p w14:paraId="7A522305" w14:textId="77777777" w:rsidR="00FD4FD1" w:rsidRPr="00F5147F" w:rsidRDefault="00FD4FD1" w:rsidP="00FD4FD1">
            <w:pPr>
              <w:jc w:val="both"/>
            </w:pPr>
          </w:p>
          <w:p w14:paraId="76A6458D" w14:textId="3EFA4E7F" w:rsidR="007C5F85" w:rsidRPr="00F5147F" w:rsidRDefault="007C5F85" w:rsidP="00C15EC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388" w:type="dxa"/>
          </w:tcPr>
          <w:p w14:paraId="63C71BDF" w14:textId="11DFD83A" w:rsidR="007C5F85" w:rsidRPr="00F5147F" w:rsidRDefault="007C5F85" w:rsidP="00C15EC1">
            <w:pPr>
              <w:spacing w:line="360" w:lineRule="auto"/>
              <w:jc w:val="right"/>
              <w:rPr>
                <w:color w:val="808080" w:themeColor="background1" w:themeShade="80"/>
              </w:rPr>
            </w:pPr>
          </w:p>
        </w:tc>
      </w:tr>
    </w:tbl>
    <w:p w14:paraId="4D590BC3" w14:textId="77777777" w:rsidR="00847C3A" w:rsidRPr="00F5147F" w:rsidRDefault="00847C3A"/>
    <w:p w14:paraId="1FABCA72" w14:textId="77777777" w:rsidR="00847C3A" w:rsidRPr="00BF1B68" w:rsidRDefault="007A7F48">
      <w:r w:rsidRPr="00BF1B68">
        <w:rPr>
          <w:u w:val="single"/>
        </w:rPr>
        <w:t>Утверждено</w:t>
      </w:r>
      <w:r w:rsidR="00847C3A" w:rsidRPr="00BF1B68">
        <w:t>:</w:t>
      </w:r>
    </w:p>
    <w:p w14:paraId="50F976BA" w14:textId="77777777" w:rsidR="0046542B" w:rsidRDefault="007A7F48" w:rsidP="00DE5F62">
      <w:r w:rsidRPr="00BF1B68">
        <w:t>Генеральный директор</w:t>
      </w:r>
    </w:p>
    <w:p w14:paraId="6BB63F32" w14:textId="4AE1CE83" w:rsidR="00670032" w:rsidRDefault="0046542B" w:rsidP="00DE5F62">
      <w:r>
        <w:t>ООО «Гранель Инжиниринг»</w:t>
      </w:r>
      <w:r w:rsidR="007A7F48" w:rsidRPr="00BF1B68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A7F48" w:rsidRPr="00BF1B68">
        <w:t>_______________/Беткер А.К./</w:t>
      </w:r>
    </w:p>
    <w:p w14:paraId="656E292C" w14:textId="77777777" w:rsidR="00F5147F" w:rsidRDefault="00F5147F" w:rsidP="00DE5F62"/>
    <w:p w14:paraId="680411ED" w14:textId="77777777" w:rsidR="00F5147F" w:rsidRDefault="00F5147F" w:rsidP="00DE5F62"/>
    <w:p w14:paraId="0909146B" w14:textId="77777777" w:rsidR="00F5147F" w:rsidRDefault="00F5147F" w:rsidP="00DE5F62"/>
    <w:p w14:paraId="6EFE3785" w14:textId="77777777" w:rsidR="00F5147F" w:rsidRDefault="00F5147F" w:rsidP="00DE5F62"/>
    <w:p w14:paraId="35ED2D15" w14:textId="77777777" w:rsidR="00F5147F" w:rsidRPr="00BF1B68" w:rsidRDefault="00F5147F" w:rsidP="00F5147F">
      <w:pPr>
        <w:jc w:val="both"/>
      </w:pPr>
    </w:p>
    <w:sectPr w:rsidR="00F5147F" w:rsidRPr="00BF1B68" w:rsidSect="007A7F4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E9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A430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A5E5C"/>
    <w:multiLevelType w:val="hybridMultilevel"/>
    <w:tmpl w:val="6028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37D9"/>
    <w:multiLevelType w:val="hybridMultilevel"/>
    <w:tmpl w:val="6DF4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6AC7"/>
    <w:multiLevelType w:val="hybridMultilevel"/>
    <w:tmpl w:val="62745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90A56"/>
    <w:multiLevelType w:val="hybridMultilevel"/>
    <w:tmpl w:val="662A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7F1C"/>
    <w:multiLevelType w:val="hybridMultilevel"/>
    <w:tmpl w:val="6BBEBB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03760"/>
    <w:multiLevelType w:val="hybridMultilevel"/>
    <w:tmpl w:val="C700C25E"/>
    <w:lvl w:ilvl="0" w:tplc="394CA0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B67E7"/>
    <w:multiLevelType w:val="multilevel"/>
    <w:tmpl w:val="5DCCC95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1C1597"/>
    <w:multiLevelType w:val="hybridMultilevel"/>
    <w:tmpl w:val="7E481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1648"/>
    <w:multiLevelType w:val="hybridMultilevel"/>
    <w:tmpl w:val="FDA8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377DF"/>
    <w:multiLevelType w:val="hybridMultilevel"/>
    <w:tmpl w:val="EF6C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AA1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A276B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B3173"/>
    <w:multiLevelType w:val="hybridMultilevel"/>
    <w:tmpl w:val="EEEA2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F1E82"/>
    <w:multiLevelType w:val="hybridMultilevel"/>
    <w:tmpl w:val="102A739A"/>
    <w:lvl w:ilvl="0" w:tplc="2FF65B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458B3"/>
    <w:multiLevelType w:val="hybridMultilevel"/>
    <w:tmpl w:val="F80CA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A5C20"/>
    <w:multiLevelType w:val="hybridMultilevel"/>
    <w:tmpl w:val="EEEA2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D1C7B"/>
    <w:multiLevelType w:val="hybridMultilevel"/>
    <w:tmpl w:val="9BB8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057212">
    <w:abstractNumId w:val="13"/>
  </w:num>
  <w:num w:numId="2" w16cid:durableId="2132825510">
    <w:abstractNumId w:val="16"/>
  </w:num>
  <w:num w:numId="3" w16cid:durableId="1249731590">
    <w:abstractNumId w:val="15"/>
  </w:num>
  <w:num w:numId="4" w16cid:durableId="520901277">
    <w:abstractNumId w:val="7"/>
  </w:num>
  <w:num w:numId="5" w16cid:durableId="1928269710">
    <w:abstractNumId w:val="9"/>
  </w:num>
  <w:num w:numId="6" w16cid:durableId="1304237891">
    <w:abstractNumId w:val="17"/>
  </w:num>
  <w:num w:numId="7" w16cid:durableId="335352835">
    <w:abstractNumId w:val="14"/>
  </w:num>
  <w:num w:numId="8" w16cid:durableId="1993899864">
    <w:abstractNumId w:val="8"/>
  </w:num>
  <w:num w:numId="9" w16cid:durableId="1316490630">
    <w:abstractNumId w:val="0"/>
  </w:num>
  <w:num w:numId="10" w16cid:durableId="239950514">
    <w:abstractNumId w:val="12"/>
  </w:num>
  <w:num w:numId="11" w16cid:durableId="480392364">
    <w:abstractNumId w:val="5"/>
  </w:num>
  <w:num w:numId="12" w16cid:durableId="1481850314">
    <w:abstractNumId w:val="11"/>
  </w:num>
  <w:num w:numId="13" w16cid:durableId="1455951969">
    <w:abstractNumId w:val="1"/>
  </w:num>
  <w:num w:numId="14" w16cid:durableId="315037892">
    <w:abstractNumId w:val="4"/>
  </w:num>
  <w:num w:numId="15" w16cid:durableId="502208389">
    <w:abstractNumId w:val="18"/>
  </w:num>
  <w:num w:numId="16" w16cid:durableId="251399263">
    <w:abstractNumId w:val="10"/>
  </w:num>
  <w:num w:numId="17" w16cid:durableId="197204834">
    <w:abstractNumId w:val="6"/>
  </w:num>
  <w:num w:numId="18" w16cid:durableId="1670983211">
    <w:abstractNumId w:val="2"/>
  </w:num>
  <w:num w:numId="19" w16cid:durableId="46809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8"/>
    <w:rsid w:val="00000ABE"/>
    <w:rsid w:val="00031961"/>
    <w:rsid w:val="000337EC"/>
    <w:rsid w:val="00041FBA"/>
    <w:rsid w:val="00042287"/>
    <w:rsid w:val="00044244"/>
    <w:rsid w:val="0006446A"/>
    <w:rsid w:val="00075B57"/>
    <w:rsid w:val="000775DF"/>
    <w:rsid w:val="000C4FD6"/>
    <w:rsid w:val="000D085E"/>
    <w:rsid w:val="000D2179"/>
    <w:rsid w:val="000D7393"/>
    <w:rsid w:val="000F40AD"/>
    <w:rsid w:val="000F7F3A"/>
    <w:rsid w:val="0014578B"/>
    <w:rsid w:val="001611E2"/>
    <w:rsid w:val="0016795D"/>
    <w:rsid w:val="00172B0D"/>
    <w:rsid w:val="0019525D"/>
    <w:rsid w:val="001961B0"/>
    <w:rsid w:val="001B0E85"/>
    <w:rsid w:val="001D2C71"/>
    <w:rsid w:val="001D36DB"/>
    <w:rsid w:val="001E6CF0"/>
    <w:rsid w:val="00212421"/>
    <w:rsid w:val="002158ED"/>
    <w:rsid w:val="00242499"/>
    <w:rsid w:val="00280D4B"/>
    <w:rsid w:val="00283A9E"/>
    <w:rsid w:val="002974C1"/>
    <w:rsid w:val="00327E34"/>
    <w:rsid w:val="00337752"/>
    <w:rsid w:val="00354C6A"/>
    <w:rsid w:val="003819D6"/>
    <w:rsid w:val="00384C7C"/>
    <w:rsid w:val="003A1490"/>
    <w:rsid w:val="003A5D02"/>
    <w:rsid w:val="003C3303"/>
    <w:rsid w:val="003D40E7"/>
    <w:rsid w:val="003E63D5"/>
    <w:rsid w:val="00402CDA"/>
    <w:rsid w:val="0041716E"/>
    <w:rsid w:val="004242B5"/>
    <w:rsid w:val="00431D9A"/>
    <w:rsid w:val="004463C7"/>
    <w:rsid w:val="0046542B"/>
    <w:rsid w:val="00497C37"/>
    <w:rsid w:val="004B62E5"/>
    <w:rsid w:val="004D4A77"/>
    <w:rsid w:val="004E6F98"/>
    <w:rsid w:val="00502E95"/>
    <w:rsid w:val="0050782B"/>
    <w:rsid w:val="00512422"/>
    <w:rsid w:val="00513804"/>
    <w:rsid w:val="00513EFB"/>
    <w:rsid w:val="00516455"/>
    <w:rsid w:val="005316EB"/>
    <w:rsid w:val="00536DC1"/>
    <w:rsid w:val="00542B63"/>
    <w:rsid w:val="00542C2C"/>
    <w:rsid w:val="005B5197"/>
    <w:rsid w:val="005D07DC"/>
    <w:rsid w:val="005E38BA"/>
    <w:rsid w:val="005F5408"/>
    <w:rsid w:val="0060314D"/>
    <w:rsid w:val="00626C92"/>
    <w:rsid w:val="00626FCD"/>
    <w:rsid w:val="00664A92"/>
    <w:rsid w:val="00670032"/>
    <w:rsid w:val="006B1448"/>
    <w:rsid w:val="006B53D5"/>
    <w:rsid w:val="006C3FA9"/>
    <w:rsid w:val="006F7BA3"/>
    <w:rsid w:val="00713EE4"/>
    <w:rsid w:val="00715784"/>
    <w:rsid w:val="00726844"/>
    <w:rsid w:val="007434ED"/>
    <w:rsid w:val="0077648C"/>
    <w:rsid w:val="007A34E9"/>
    <w:rsid w:val="007A7F48"/>
    <w:rsid w:val="007C30EE"/>
    <w:rsid w:val="007C4701"/>
    <w:rsid w:val="007C5DB5"/>
    <w:rsid w:val="007C5F85"/>
    <w:rsid w:val="007D0DBB"/>
    <w:rsid w:val="007D2B3B"/>
    <w:rsid w:val="007F19B2"/>
    <w:rsid w:val="008462A5"/>
    <w:rsid w:val="00847C3A"/>
    <w:rsid w:val="00866824"/>
    <w:rsid w:val="008831B2"/>
    <w:rsid w:val="008B5B40"/>
    <w:rsid w:val="008D7393"/>
    <w:rsid w:val="008E0B2C"/>
    <w:rsid w:val="00906241"/>
    <w:rsid w:val="009215A2"/>
    <w:rsid w:val="00952C52"/>
    <w:rsid w:val="0095505F"/>
    <w:rsid w:val="00957B63"/>
    <w:rsid w:val="009A6CC1"/>
    <w:rsid w:val="009C0169"/>
    <w:rsid w:val="009C1E34"/>
    <w:rsid w:val="009C57FF"/>
    <w:rsid w:val="009E54A1"/>
    <w:rsid w:val="00A26CFB"/>
    <w:rsid w:val="00A74F75"/>
    <w:rsid w:val="00A87D91"/>
    <w:rsid w:val="00A9127B"/>
    <w:rsid w:val="00AD75B6"/>
    <w:rsid w:val="00B10456"/>
    <w:rsid w:val="00B23FC0"/>
    <w:rsid w:val="00B44BCE"/>
    <w:rsid w:val="00B513C4"/>
    <w:rsid w:val="00B53525"/>
    <w:rsid w:val="00B62B1B"/>
    <w:rsid w:val="00B96726"/>
    <w:rsid w:val="00BE725D"/>
    <w:rsid w:val="00BF1B68"/>
    <w:rsid w:val="00C10020"/>
    <w:rsid w:val="00C319EC"/>
    <w:rsid w:val="00C33192"/>
    <w:rsid w:val="00C5767D"/>
    <w:rsid w:val="00C765F6"/>
    <w:rsid w:val="00C85B40"/>
    <w:rsid w:val="00C914B6"/>
    <w:rsid w:val="00CA0947"/>
    <w:rsid w:val="00CC6F8E"/>
    <w:rsid w:val="00CE1405"/>
    <w:rsid w:val="00D25C99"/>
    <w:rsid w:val="00D34E53"/>
    <w:rsid w:val="00D83082"/>
    <w:rsid w:val="00D84EB5"/>
    <w:rsid w:val="00D93FF7"/>
    <w:rsid w:val="00DB3B63"/>
    <w:rsid w:val="00DD6E08"/>
    <w:rsid w:val="00DE4641"/>
    <w:rsid w:val="00DE5F62"/>
    <w:rsid w:val="00E03473"/>
    <w:rsid w:val="00E16489"/>
    <w:rsid w:val="00E3399B"/>
    <w:rsid w:val="00E33A6B"/>
    <w:rsid w:val="00E41887"/>
    <w:rsid w:val="00E67BE1"/>
    <w:rsid w:val="00E868D3"/>
    <w:rsid w:val="00E90FBE"/>
    <w:rsid w:val="00EA46C6"/>
    <w:rsid w:val="00EB3B51"/>
    <w:rsid w:val="00EB6AAB"/>
    <w:rsid w:val="00EC1924"/>
    <w:rsid w:val="00EC719E"/>
    <w:rsid w:val="00ED3D00"/>
    <w:rsid w:val="00F2088A"/>
    <w:rsid w:val="00F40411"/>
    <w:rsid w:val="00F50D36"/>
    <w:rsid w:val="00F5147F"/>
    <w:rsid w:val="00F93B77"/>
    <w:rsid w:val="00FD4FD1"/>
    <w:rsid w:val="00FF0A6A"/>
    <w:rsid w:val="00FF3BD7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A3D"/>
  <w15:chartTrackingRefBased/>
  <w15:docId w15:val="{C0EBF535-EC6F-47A4-82BB-60E36E73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uiPriority w:val="9"/>
    <w:qFormat/>
    <w:rsid w:val="007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uiPriority w:val="9"/>
    <w:rsid w:val="007A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7F4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7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7B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BA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F0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D4F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Revision"/>
    <w:hidden/>
    <w:uiPriority w:val="99"/>
    <w:semiHidden/>
    <w:rsid w:val="00C9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7</cp:revision>
  <cp:lastPrinted>2023-01-25T09:42:00Z</cp:lastPrinted>
  <dcterms:created xsi:type="dcterms:W3CDTF">2026-02-24T13:58:00Z</dcterms:created>
  <dcterms:modified xsi:type="dcterms:W3CDTF">2026-03-23T07:29:00Z</dcterms:modified>
</cp:coreProperties>
</file>