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5D6B38E4">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6FEFFA3B" w14:textId="35227ED8" w:rsidR="00A03D28" w:rsidRPr="00FD4D75" w:rsidRDefault="00C02B20" w:rsidP="00A03D28">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793D2A">
        <w:rPr>
          <w:rFonts w:ascii="Bookman Old Style" w:eastAsiaTheme="minorHAnsi" w:hAnsi="Bookman Old Style" w:cstheme="minorBidi"/>
          <w:b w:val="0"/>
          <w:color w:val="000000"/>
          <w:kern w:val="0"/>
          <w:sz w:val="22"/>
          <w:szCs w:val="22"/>
          <w:shd w:val="clear" w:color="auto" w:fill="FFFFFF"/>
          <w:lang w:eastAsia="en-US" w:bidi="ar-SA"/>
        </w:rPr>
        <w:t>25</w:t>
      </w:r>
      <w:r w:rsidR="00B51C4A">
        <w:rPr>
          <w:rFonts w:ascii="Bookman Old Style" w:eastAsiaTheme="minorHAnsi" w:hAnsi="Bookman Old Style" w:cstheme="minorBidi"/>
          <w:b w:val="0"/>
          <w:color w:val="000000"/>
          <w:kern w:val="0"/>
          <w:sz w:val="22"/>
          <w:szCs w:val="22"/>
          <w:shd w:val="clear" w:color="auto" w:fill="FFFFFF"/>
          <w:lang w:eastAsia="en-US" w:bidi="ar-SA"/>
        </w:rPr>
        <w:t>98</w:t>
      </w:r>
      <w:r w:rsidR="00250DFA">
        <w:rPr>
          <w:rFonts w:ascii="Bookman Old Style" w:eastAsiaTheme="minorHAnsi" w:hAnsi="Bookman Old Style" w:cstheme="minorBidi"/>
          <w:b w:val="0"/>
          <w:color w:val="000000"/>
          <w:kern w:val="0"/>
          <w:sz w:val="22"/>
          <w:szCs w:val="22"/>
          <w:shd w:val="clear" w:color="auto" w:fill="FFFFFF"/>
          <w:lang w:eastAsia="en-US" w:bidi="ar-SA"/>
        </w:rPr>
        <w:t>9</w:t>
      </w:r>
      <w:r w:rsidR="00793D2A">
        <w:rPr>
          <w:rFonts w:ascii="Bookman Old Style" w:eastAsiaTheme="minorHAnsi" w:hAnsi="Bookman Old Style" w:cstheme="minorBidi"/>
          <w:b w:val="0"/>
          <w:color w:val="000000"/>
          <w:kern w:val="0"/>
          <w:sz w:val="22"/>
          <w:szCs w:val="22"/>
          <w:shd w:val="clear" w:color="auto" w:fill="FFFFFF"/>
          <w:lang w:eastAsia="en-US" w:bidi="ar-SA"/>
        </w:rPr>
        <w:t>/</w:t>
      </w:r>
      <w:r w:rsidR="001F6AF6" w:rsidRPr="001F6AF6">
        <w:t xml:space="preserve"> </w:t>
      </w:r>
      <w:r w:rsidR="00250DFA">
        <w:rPr>
          <w:rFonts w:ascii="Bookman Old Style" w:eastAsiaTheme="minorHAnsi" w:hAnsi="Bookman Old Style" w:cstheme="minorBidi"/>
          <w:b w:val="0"/>
          <w:color w:val="000000"/>
          <w:kern w:val="0"/>
          <w:sz w:val="22"/>
          <w:szCs w:val="22"/>
          <w:shd w:val="clear" w:color="auto" w:fill="FFFFFF"/>
          <w:lang w:eastAsia="en-US" w:bidi="ar-SA"/>
        </w:rPr>
        <w:t>Замена напольного покрытия</w:t>
      </w:r>
    </w:p>
    <w:p w14:paraId="7C9480D1" w14:textId="645FA2D1"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09A36BCC"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00250DFA" w:rsidRPr="00250DFA">
        <w:rPr>
          <w:rFonts w:ascii="Bookman Old Style" w:eastAsiaTheme="minorHAnsi" w:hAnsi="Bookman Old Style" w:cstheme="minorBidi"/>
          <w:b w:val="0"/>
          <w:color w:val="000000"/>
          <w:kern w:val="0"/>
          <w:sz w:val="22"/>
          <w:szCs w:val="22"/>
          <w:shd w:val="clear" w:color="auto" w:fill="FFFFFF"/>
          <w:lang w:eastAsia="en-US" w:bidi="ar-SA"/>
        </w:rPr>
        <w:t xml:space="preserve"> Республика Крым, М.О. Город-Курорт Ялта, с. Оползневое, ул. Генерала Острякова, </w:t>
      </w:r>
      <w:proofErr w:type="spellStart"/>
      <w:r w:rsidR="00250DFA" w:rsidRPr="00250DFA">
        <w:rPr>
          <w:rFonts w:ascii="Bookman Old Style" w:eastAsiaTheme="minorHAnsi" w:hAnsi="Bookman Old Style" w:cstheme="minorBidi"/>
          <w:b w:val="0"/>
          <w:color w:val="000000"/>
          <w:kern w:val="0"/>
          <w:sz w:val="22"/>
          <w:szCs w:val="22"/>
          <w:shd w:val="clear" w:color="auto" w:fill="FFFFFF"/>
          <w:lang w:eastAsia="en-US" w:bidi="ar-SA"/>
        </w:rPr>
        <w:t>зд</w:t>
      </w:r>
      <w:proofErr w:type="spellEnd"/>
      <w:r w:rsidR="00250DFA" w:rsidRPr="00250DFA">
        <w:rPr>
          <w:rFonts w:ascii="Bookman Old Style" w:eastAsiaTheme="minorHAnsi" w:hAnsi="Bookman Old Style" w:cstheme="minorBidi"/>
          <w:b w:val="0"/>
          <w:color w:val="000000"/>
          <w:kern w:val="0"/>
          <w:sz w:val="22"/>
          <w:szCs w:val="22"/>
          <w:shd w:val="clear" w:color="auto" w:fill="FFFFFF"/>
          <w:lang w:eastAsia="en-US" w:bidi="ar-SA"/>
        </w:rPr>
        <w:t>. 9, к.1</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 xml:space="preserve">после завершения подачи заявок, Заказчик публикует протокол рассмотрения заявок и назначает временной промежуток переторжки. На </w:t>
      </w:r>
      <w:r>
        <w:rPr>
          <w:rFonts w:ascii="Bookman Old Style" w:eastAsiaTheme="minorHAnsi" w:hAnsi="Bookman Old Style" w:cstheme="minorBidi"/>
          <w:color w:val="000000"/>
          <w:kern w:val="0"/>
          <w:sz w:val="22"/>
          <w:szCs w:val="22"/>
          <w:shd w:val="clear" w:color="auto" w:fill="FFFFFF"/>
          <w:lang w:eastAsia="en-US" w:bidi="ar-SA"/>
        </w:rPr>
        <w:lastRenderedPageBreak/>
        <w:t>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B189" w14:textId="77777777" w:rsidR="00135A5B" w:rsidRDefault="00135A5B" w:rsidP="002B405B">
      <w:pPr>
        <w:spacing w:after="0" w:line="240" w:lineRule="auto"/>
      </w:pPr>
      <w:r>
        <w:separator/>
      </w:r>
    </w:p>
  </w:endnote>
  <w:endnote w:type="continuationSeparator" w:id="0">
    <w:p w14:paraId="54FD6F96" w14:textId="77777777" w:rsidR="00135A5B" w:rsidRDefault="00135A5B"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F6EC" w14:textId="77777777" w:rsidR="00135A5B" w:rsidRDefault="00135A5B" w:rsidP="002B405B">
      <w:pPr>
        <w:spacing w:after="0" w:line="240" w:lineRule="auto"/>
      </w:pPr>
      <w:r>
        <w:separator/>
      </w:r>
    </w:p>
  </w:footnote>
  <w:footnote w:type="continuationSeparator" w:id="0">
    <w:p w14:paraId="1F4ED49B" w14:textId="77777777" w:rsidR="00135A5B" w:rsidRDefault="00135A5B"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3E93"/>
    <w:rsid w:val="00011165"/>
    <w:rsid w:val="00086343"/>
    <w:rsid w:val="000C2680"/>
    <w:rsid w:val="000D0BD7"/>
    <w:rsid w:val="000D3017"/>
    <w:rsid w:val="00135A5B"/>
    <w:rsid w:val="001C0128"/>
    <w:rsid w:val="001F6AF6"/>
    <w:rsid w:val="00250DFA"/>
    <w:rsid w:val="00257D56"/>
    <w:rsid w:val="002A5230"/>
    <w:rsid w:val="002A7DB8"/>
    <w:rsid w:val="002B405B"/>
    <w:rsid w:val="003403EE"/>
    <w:rsid w:val="0038161D"/>
    <w:rsid w:val="00392D88"/>
    <w:rsid w:val="003A3964"/>
    <w:rsid w:val="004149C2"/>
    <w:rsid w:val="00436463"/>
    <w:rsid w:val="0044345E"/>
    <w:rsid w:val="00481EDC"/>
    <w:rsid w:val="00482B47"/>
    <w:rsid w:val="00484CA6"/>
    <w:rsid w:val="00512534"/>
    <w:rsid w:val="00561B8C"/>
    <w:rsid w:val="00570FD5"/>
    <w:rsid w:val="005901A3"/>
    <w:rsid w:val="005E6BA9"/>
    <w:rsid w:val="0064441F"/>
    <w:rsid w:val="0064658E"/>
    <w:rsid w:val="00665305"/>
    <w:rsid w:val="00725C3E"/>
    <w:rsid w:val="007278AB"/>
    <w:rsid w:val="0073455D"/>
    <w:rsid w:val="00793D2A"/>
    <w:rsid w:val="007D0261"/>
    <w:rsid w:val="00806D1E"/>
    <w:rsid w:val="00897D19"/>
    <w:rsid w:val="008F24A1"/>
    <w:rsid w:val="0096680E"/>
    <w:rsid w:val="009D66A3"/>
    <w:rsid w:val="009E76CE"/>
    <w:rsid w:val="00A03D28"/>
    <w:rsid w:val="00A440AF"/>
    <w:rsid w:val="00A625D0"/>
    <w:rsid w:val="00AB4C6E"/>
    <w:rsid w:val="00AC234F"/>
    <w:rsid w:val="00AE2A2F"/>
    <w:rsid w:val="00B51C4A"/>
    <w:rsid w:val="00B52F69"/>
    <w:rsid w:val="00BE1F66"/>
    <w:rsid w:val="00C02B20"/>
    <w:rsid w:val="00C124D9"/>
    <w:rsid w:val="00CC6340"/>
    <w:rsid w:val="00D30602"/>
    <w:rsid w:val="00D33A48"/>
    <w:rsid w:val="00D57778"/>
    <w:rsid w:val="00DC5BF8"/>
    <w:rsid w:val="00E82589"/>
    <w:rsid w:val="00F04CC2"/>
    <w:rsid w:val="00FD258C"/>
    <w:rsid w:val="00FD4D75"/>
    <w:rsid w:val="00FD5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509</Words>
  <Characters>2905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36</cp:revision>
  <dcterms:created xsi:type="dcterms:W3CDTF">2024-06-13T05:54:00Z</dcterms:created>
  <dcterms:modified xsi:type="dcterms:W3CDTF">2026-05-20T07:48:00Z</dcterms:modified>
</cp:coreProperties>
</file>