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767D76B3" w14:textId="77777777" w:rsidR="0008676D" w:rsidRPr="009836F6" w:rsidRDefault="0008676D" w:rsidP="0008676D">
      <w:pPr>
        <w:pStyle w:val="Body-NoIndent"/>
        <w:pBdr>
          <w:bottom w:val="single" w:sz="12" w:space="1" w:color="auto"/>
        </w:pBdr>
        <w:spacing w:after="0" w:line="240" w:lineRule="auto"/>
        <w:jc w:val="center"/>
        <w:rPr>
          <w:rFonts w:ascii="Times New Roman" w:eastAsia="Times New Roman" w:hAnsi="Times New Roman" w:cs="Times New Roman"/>
          <w:b/>
          <w:bCs/>
          <w:sz w:val="20"/>
          <w:szCs w:val="20"/>
          <w:lang w:val="ru-RU"/>
        </w:rPr>
      </w:pPr>
      <w:r>
        <w:rPr>
          <w:rFonts w:ascii="Times New Roman" w:eastAsia="Times New Roman" w:hAnsi="Times New Roman" w:cs="Times New Roman"/>
          <w:b/>
          <w:bCs/>
          <w:sz w:val="20"/>
          <w:szCs w:val="20"/>
          <w:lang w:val="ru-RU"/>
        </w:rPr>
        <w:t>В</w:t>
      </w:r>
      <w:r w:rsidRPr="00867D6B">
        <w:rPr>
          <w:rFonts w:ascii="Times New Roman" w:eastAsia="Times New Roman" w:hAnsi="Times New Roman" w:cs="Times New Roman"/>
          <w:b/>
          <w:bCs/>
          <w:sz w:val="20"/>
          <w:szCs w:val="20"/>
          <w:lang w:val="ru-RU"/>
        </w:rPr>
        <w:t xml:space="preserve">ыполнение </w:t>
      </w:r>
      <w:r w:rsidRPr="009836F6">
        <w:rPr>
          <w:rFonts w:ascii="Times New Roman" w:eastAsia="Times New Roman" w:hAnsi="Times New Roman" w:cs="Times New Roman"/>
          <w:b/>
          <w:bCs/>
          <w:sz w:val="20"/>
          <w:szCs w:val="20"/>
          <w:lang w:val="ru-RU"/>
        </w:rPr>
        <w:t>ремонтно-восстановительных работ по замене линолеума в кабинетах</w:t>
      </w:r>
    </w:p>
    <w:p w14:paraId="2F44B265" w14:textId="463F9AC1" w:rsidR="00F7754E" w:rsidRPr="007C49FA" w:rsidRDefault="0008676D" w:rsidP="0008676D">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r w:rsidRPr="009836F6">
        <w:rPr>
          <w:rFonts w:ascii="Times New Roman" w:eastAsia="Times New Roman" w:hAnsi="Times New Roman" w:cs="Times New Roman"/>
          <w:b/>
          <w:bCs/>
          <w:sz w:val="20"/>
          <w:szCs w:val="20"/>
          <w:lang w:val="ru-RU"/>
        </w:rPr>
        <w:t>медицинского центра</w:t>
      </w: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9B0DCA" w:rsidRDefault="00F7754E" w:rsidP="00F7754E">
      <w:pPr>
        <w:pStyle w:val="Body-NoIndent"/>
        <w:spacing w:after="0" w:line="240" w:lineRule="auto"/>
        <w:jc w:val="center"/>
        <w:rPr>
          <w:rFonts w:ascii="Times New Roman" w:hAnsi="Times New Roman" w:cs="Times New Roman"/>
          <w:color w:val="auto"/>
          <w:sz w:val="20"/>
          <w:szCs w:val="20"/>
          <w:lang w:val="ru-RU"/>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532AF888" w14:textId="74F4144F" w:rsidR="00881915" w:rsidRPr="0008676D"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 xml:space="preserve">Организатор </w:t>
            </w:r>
            <w:r w:rsidR="0008676D">
              <w:rPr>
                <w:b w:val="0"/>
                <w:bCs w:val="0"/>
                <w:sz w:val="20"/>
                <w:szCs w:val="20"/>
              </w:rPr>
              <w:t xml:space="preserve">и Заказчик </w:t>
            </w:r>
            <w:r w:rsidRPr="007C49FA">
              <w:rPr>
                <w:b w:val="0"/>
                <w:bCs w:val="0"/>
                <w:sz w:val="20"/>
                <w:szCs w:val="20"/>
              </w:rPr>
              <w:t>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w:t>
            </w:r>
            <w:r w:rsidR="0008676D">
              <w:rPr>
                <w:b w:val="0"/>
                <w:bCs w:val="0"/>
                <w:sz w:val="20"/>
                <w:szCs w:val="20"/>
              </w:rPr>
              <w:t>3</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65D18463" w:rsidR="00CB6654" w:rsidRPr="00B0702C" w:rsidRDefault="0008676D"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8676D">
              <w:rPr>
                <w:sz w:val="20"/>
                <w:szCs w:val="20"/>
              </w:rPr>
              <w:t>Выполнение ремонтно-восстановительных работ по замене линолеума в кабинетах медицинского центра</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08676D">
        <w:trPr>
          <w:trHeight w:val="415"/>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6CD8685E" w:rsidR="000D2DB6" w:rsidRPr="00BA06F4" w:rsidRDefault="0008676D"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08676D">
              <w:rPr>
                <w:b/>
                <w:color w:val="auto"/>
                <w:sz w:val="20"/>
                <w:szCs w:val="20"/>
              </w:rPr>
              <w:t>604</w:t>
            </w:r>
            <w:r>
              <w:rPr>
                <w:b/>
                <w:color w:val="auto"/>
                <w:sz w:val="20"/>
                <w:szCs w:val="20"/>
              </w:rPr>
              <w:t xml:space="preserve"> </w:t>
            </w:r>
            <w:r w:rsidRPr="0008676D">
              <w:rPr>
                <w:b/>
                <w:color w:val="auto"/>
                <w:sz w:val="20"/>
                <w:szCs w:val="20"/>
              </w:rPr>
              <w:t xml:space="preserve">229,77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41B8A718" w:rsidR="0002224C" w:rsidRPr="00BA06F4" w:rsidRDefault="0008676D"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rPr>
              <w:t>26.05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Pr>
                <w:color w:val="auto"/>
                <w:sz w:val="20"/>
                <w:szCs w:val="20"/>
              </w:rPr>
              <w:t>1</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722619E1" w:rsidR="0002224C" w:rsidRPr="00BA06F4" w:rsidRDefault="0008676D"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05.06</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7440A5">
              <w:rPr>
                <w:color w:val="auto"/>
                <w:sz w:val="20"/>
                <w:szCs w:val="20"/>
              </w:rPr>
              <w:t>1</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61872446" w:rsidR="0002224C" w:rsidRPr="00BA06F4" w:rsidRDefault="0008676D"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05.06</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sidR="007440A5">
              <w:rPr>
                <w:color w:val="auto"/>
                <w:sz w:val="20"/>
                <w:szCs w:val="20"/>
              </w:rPr>
              <w:t>2</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5619DAE3" w:rsidR="00A371D2" w:rsidRPr="00BA06F4" w:rsidRDefault="0008676D"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10.07</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 xml:space="preserve">298688, Республика Крым, М.О. Город-Курорт Ялта, с. Оползневое, ул. Генерала Острякова, </w:t>
            </w:r>
            <w:proofErr w:type="spellStart"/>
            <w:r w:rsidRPr="00881915">
              <w:rPr>
                <w:sz w:val="20"/>
                <w:szCs w:val="20"/>
              </w:rPr>
              <w:t>зд</w:t>
            </w:r>
            <w:proofErr w:type="spellEnd"/>
            <w:r w:rsidRPr="00881915">
              <w:rPr>
                <w:sz w:val="20"/>
                <w:szCs w:val="20"/>
              </w:rPr>
              <w:t>.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40E771AF"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08676D">
              <w:rPr>
                <w:color w:val="auto"/>
                <w:sz w:val="20"/>
                <w:szCs w:val="20"/>
              </w:rPr>
              <w:t>26.05</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7C17EC">
              <w:rPr>
                <w:color w:val="auto"/>
                <w:sz w:val="20"/>
                <w:szCs w:val="20"/>
              </w:rPr>
              <w:t>2</w:t>
            </w:r>
            <w:r w:rsidR="00226E52" w:rsidRPr="00C41256">
              <w:rPr>
                <w:color w:val="auto"/>
                <w:sz w:val="20"/>
                <w:szCs w:val="20"/>
              </w:rPr>
              <w:t>:</w:t>
            </w:r>
            <w:r w:rsidR="0008676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658CF724"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08676D">
              <w:rPr>
                <w:color w:val="auto"/>
                <w:sz w:val="20"/>
                <w:szCs w:val="20"/>
              </w:rPr>
              <w:t>04.06</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033994BB" w14:textId="1213F0EC" w:rsidR="00DC602E" w:rsidRDefault="0008676D" w:rsidP="0008676D">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olor w:val="auto"/>
                <w:sz w:val="20"/>
                <w:szCs w:val="20"/>
              </w:rPr>
              <w:t>Павел Романов</w:t>
            </w:r>
            <w:r w:rsidR="00775015">
              <w:rPr>
                <w:color w:val="auto"/>
                <w:sz w:val="20"/>
                <w:szCs w:val="20"/>
              </w:rPr>
              <w:t xml:space="preserve"> </w:t>
            </w:r>
            <w:hyperlink r:id="rId9" w:history="1">
              <w:r w:rsidRPr="00484E57">
                <w:rPr>
                  <w:rStyle w:val="ac"/>
                  <w:sz w:val="20"/>
                  <w:szCs w:val="20"/>
                </w:rPr>
                <w:t>Pavel.Romanov@mriyaresort.com</w:t>
              </w:r>
            </w:hyperlink>
          </w:p>
          <w:p w14:paraId="5F3F4615" w14:textId="7C7D453C" w:rsidR="0008676D" w:rsidRDefault="0008676D" w:rsidP="0008676D">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524DB6">
              <w:rPr>
                <w:color w:val="auto"/>
                <w:sz w:val="20"/>
                <w:szCs w:val="20"/>
              </w:rPr>
              <w:t>+</w:t>
            </w:r>
            <w:r w:rsidRPr="00967899">
              <w:rPr>
                <w:color w:val="auto"/>
                <w:sz w:val="20"/>
                <w:szCs w:val="20"/>
              </w:rPr>
              <w:t>7</w:t>
            </w:r>
            <w:r>
              <w:rPr>
                <w:color w:val="auto"/>
                <w:sz w:val="20"/>
                <w:szCs w:val="20"/>
              </w:rPr>
              <w:t xml:space="preserve"> (</w:t>
            </w:r>
            <w:r w:rsidRPr="004D1457">
              <w:rPr>
                <w:color w:val="auto"/>
                <w:sz w:val="20"/>
                <w:szCs w:val="20"/>
              </w:rPr>
              <w:t>9</w:t>
            </w:r>
            <w:r>
              <w:rPr>
                <w:color w:val="auto"/>
                <w:sz w:val="20"/>
                <w:szCs w:val="20"/>
              </w:rPr>
              <w:t xml:space="preserve">11) </w:t>
            </w:r>
            <w:r w:rsidRPr="00BB2B0C">
              <w:rPr>
                <w:color w:val="auto"/>
                <w:sz w:val="20"/>
                <w:szCs w:val="20"/>
              </w:rPr>
              <w:t>171</w:t>
            </w:r>
            <w:r>
              <w:rPr>
                <w:color w:val="auto"/>
                <w:sz w:val="20"/>
                <w:szCs w:val="20"/>
              </w:rPr>
              <w:t xml:space="preserve"> </w:t>
            </w:r>
            <w:r w:rsidRPr="00BB2B0C">
              <w:rPr>
                <w:color w:val="auto"/>
                <w:sz w:val="20"/>
                <w:szCs w:val="20"/>
              </w:rPr>
              <w:t>89</w:t>
            </w:r>
            <w:r>
              <w:rPr>
                <w:color w:val="auto"/>
                <w:sz w:val="20"/>
                <w:szCs w:val="20"/>
              </w:rPr>
              <w:t xml:space="preserve"> </w:t>
            </w:r>
            <w:r w:rsidRPr="00BB2B0C">
              <w:rPr>
                <w:color w:val="auto"/>
                <w:sz w:val="20"/>
                <w:szCs w:val="20"/>
              </w:rPr>
              <w:t>12</w:t>
            </w:r>
          </w:p>
          <w:p w14:paraId="13F190B4" w14:textId="77777777" w:rsidR="0008676D" w:rsidRDefault="0008676D"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73850A38" w14:textId="5E42F053" w:rsidR="0008676D" w:rsidRDefault="0008676D"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Бутакова Мария</w:t>
            </w:r>
            <w:r w:rsidRPr="007E05BB">
              <w:rPr>
                <w:color w:val="auto"/>
                <w:sz w:val="20"/>
                <w:szCs w:val="20"/>
              </w:rPr>
              <w:t xml:space="preserve">,  </w:t>
            </w:r>
            <w:hyperlink r:id="rId10" w:history="1">
              <w:r w:rsidRPr="00484E57">
                <w:rPr>
                  <w:rStyle w:val="ac"/>
                  <w:sz w:val="20"/>
                  <w:szCs w:val="20"/>
                </w:rPr>
                <w:t>Mariya.Butakova@mriyaresort.com</w:t>
              </w:r>
            </w:hyperlink>
            <w:r>
              <w:rPr>
                <w:color w:val="auto"/>
                <w:sz w:val="20"/>
                <w:szCs w:val="20"/>
              </w:rPr>
              <w:t xml:space="preserve"> </w:t>
            </w:r>
            <w:r w:rsidRPr="007E05BB">
              <w:rPr>
                <w:color w:val="auto"/>
                <w:sz w:val="20"/>
                <w:szCs w:val="20"/>
              </w:rPr>
              <w:t xml:space="preserve">  </w:t>
            </w:r>
          </w:p>
          <w:p w14:paraId="0183443A" w14:textId="51E6071B" w:rsidR="0008676D" w:rsidRDefault="0008676D"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7E05BB">
              <w:rPr>
                <w:color w:val="auto"/>
                <w:sz w:val="20"/>
                <w:szCs w:val="20"/>
              </w:rPr>
              <w:t xml:space="preserve">+7 (978) </w:t>
            </w:r>
            <w:r>
              <w:rPr>
                <w:color w:val="auto"/>
                <w:sz w:val="20"/>
                <w:szCs w:val="20"/>
              </w:rPr>
              <w:t>670 97 40</w:t>
            </w:r>
          </w:p>
          <w:p w14:paraId="4FCD76C8" w14:textId="77777777" w:rsidR="0008676D" w:rsidRDefault="0008676D"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lastRenderedPageBreak/>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2A57D83A"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w:t>
            </w:r>
            <w:r w:rsidR="00C543B7">
              <w:rPr>
                <w:color w:val="auto"/>
                <w:sz w:val="20"/>
                <w:szCs w:val="20"/>
              </w:rPr>
              <w:t>5</w:t>
            </w:r>
            <w:r w:rsidRPr="007C49FA">
              <w:rPr>
                <w:color w:val="auto"/>
                <w:sz w:val="20"/>
                <w:szCs w:val="20"/>
              </w:rPr>
              <w:t xml:space="preserve">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1"/>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C543B7">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61FFD62F" w14:textId="6E1706AF" w:rsidR="00C543B7" w:rsidRPr="002D6B37" w:rsidRDefault="00C543B7" w:rsidP="00C543B7">
      <w:pPr>
        <w:pStyle w:val="text"/>
        <w:numPr>
          <w:ilvl w:val="0"/>
          <w:numId w:val="13"/>
        </w:numPr>
        <w:ind w:left="425" w:hanging="425"/>
        <w:jc w:val="both"/>
        <w:rPr>
          <w:rFonts w:eastAsiaTheme="minorHAnsi" w:cs="Times New Roman"/>
          <w:color w:val="000000"/>
          <w:kern w:val="0"/>
          <w:sz w:val="20"/>
          <w:szCs w:val="20"/>
          <w:shd w:val="clear" w:color="auto" w:fill="FFFFFF"/>
          <w:lang w:eastAsia="en-US" w:bidi="ar-SA"/>
        </w:rPr>
      </w:pPr>
      <w:r w:rsidRPr="002D6B37">
        <w:rPr>
          <w:rFonts w:eastAsiaTheme="minorHAnsi" w:cs="Times New Roman"/>
          <w:color w:val="000000"/>
          <w:kern w:val="0"/>
          <w:sz w:val="20"/>
          <w:szCs w:val="20"/>
          <w:shd w:val="clear" w:color="auto" w:fill="FFFFFF"/>
          <w:lang w:eastAsia="en-US" w:bidi="ar-SA"/>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165DD174" w14:textId="01E66CF0" w:rsidR="00C543B7" w:rsidRPr="00C543B7" w:rsidRDefault="00590D5D" w:rsidP="00C543B7">
      <w:pPr>
        <w:pStyle w:val="a5"/>
        <w:numPr>
          <w:ilvl w:val="0"/>
          <w:numId w:val="13"/>
        </w:numPr>
        <w:spacing w:after="240" w:line="216" w:lineRule="auto"/>
        <w:jc w:val="center"/>
        <w:rPr>
          <w:b/>
          <w:sz w:val="20"/>
          <w:szCs w:val="20"/>
        </w:rPr>
      </w:pPr>
      <w:r w:rsidRPr="00C543B7">
        <w:rPr>
          <w:sz w:val="16"/>
          <w:szCs w:val="20"/>
        </w:rPr>
        <w:br w:type="page"/>
      </w:r>
      <w:r w:rsidR="00C543B7" w:rsidRPr="00C543B7">
        <w:rPr>
          <w:rFonts w:ascii="Times New Roman" w:hAnsi="Times New Roman" w:cs="Times New Roman"/>
          <w:color w:val="000000"/>
          <w:sz w:val="20"/>
          <w:szCs w:val="20"/>
          <w:shd w:val="clear" w:color="auto" w:fill="FFFFFF"/>
        </w:rPr>
        <w:lastRenderedPageBreak/>
        <w:t>II. ДОПОЛНИТЕЛЬНЫЕ ТРЕБОВАНИЯ</w:t>
      </w:r>
    </w:p>
    <w:tbl>
      <w:tblPr>
        <w:tblStyle w:val="ad"/>
        <w:tblW w:w="10485" w:type="dxa"/>
        <w:tblLook w:val="04A0" w:firstRow="1" w:lastRow="0" w:firstColumn="1" w:lastColumn="0" w:noHBand="0" w:noVBand="1"/>
      </w:tblPr>
      <w:tblGrid>
        <w:gridCol w:w="4502"/>
        <w:gridCol w:w="5983"/>
      </w:tblGrid>
      <w:tr w:rsidR="00C543B7" w14:paraId="36F371D5" w14:textId="77777777" w:rsidTr="006C0696">
        <w:tc>
          <w:tcPr>
            <w:tcW w:w="4502" w:type="dxa"/>
          </w:tcPr>
          <w:p w14:paraId="2838F9C7" w14:textId="77777777" w:rsidR="00C543B7" w:rsidRPr="00FB29B1" w:rsidRDefault="00C543B7" w:rsidP="006C0696">
            <w:pPr>
              <w:spacing w:after="200" w:line="276" w:lineRule="auto"/>
              <w:rPr>
                <w:sz w:val="22"/>
                <w:szCs w:val="22"/>
              </w:rPr>
            </w:pPr>
            <w:r w:rsidRPr="00FB29B1">
              <w:rPr>
                <w:sz w:val="22"/>
                <w:szCs w:val="22"/>
              </w:rPr>
              <w:t>Наименование требования:</w:t>
            </w:r>
          </w:p>
        </w:tc>
        <w:tc>
          <w:tcPr>
            <w:tcW w:w="5983" w:type="dxa"/>
          </w:tcPr>
          <w:p w14:paraId="2CD30855" w14:textId="77777777" w:rsidR="00C543B7" w:rsidRPr="00FB29B1" w:rsidRDefault="00C543B7" w:rsidP="006C0696">
            <w:pPr>
              <w:spacing w:after="200" w:line="276" w:lineRule="auto"/>
              <w:rPr>
                <w:sz w:val="22"/>
                <w:szCs w:val="22"/>
              </w:rPr>
            </w:pPr>
            <w:r w:rsidRPr="00FB29B1">
              <w:rPr>
                <w:sz w:val="22"/>
                <w:szCs w:val="22"/>
              </w:rPr>
              <w:t>Чем подтверждается:</w:t>
            </w:r>
          </w:p>
        </w:tc>
      </w:tr>
      <w:tr w:rsidR="00C543B7" w14:paraId="53C5757C" w14:textId="77777777" w:rsidTr="006C0696">
        <w:trPr>
          <w:trHeight w:val="3109"/>
        </w:trPr>
        <w:tc>
          <w:tcPr>
            <w:tcW w:w="4502" w:type="dxa"/>
          </w:tcPr>
          <w:p w14:paraId="3462C0C3" w14:textId="77777777" w:rsidR="00C543B7" w:rsidRPr="00FB29B1" w:rsidRDefault="00C543B7" w:rsidP="006C0696">
            <w:pPr>
              <w:spacing w:after="200" w:line="276" w:lineRule="auto"/>
              <w:rPr>
                <w:sz w:val="22"/>
                <w:szCs w:val="22"/>
              </w:rPr>
            </w:pPr>
            <w:r w:rsidRPr="00D236BF">
              <w:rPr>
                <w:sz w:val="22"/>
                <w:szCs w:val="22"/>
              </w:rPr>
              <w:t>Наличие реализованных проектов, аналогичных предмету отбора и видам работ,</w:t>
            </w:r>
            <w:r>
              <w:rPr>
                <w:sz w:val="22"/>
                <w:szCs w:val="22"/>
              </w:rPr>
              <w:t xml:space="preserve"> в том числе по объёму работ,</w:t>
            </w:r>
            <w:r w:rsidRPr="00D236BF">
              <w:rPr>
                <w:sz w:val="22"/>
                <w:szCs w:val="22"/>
              </w:rPr>
              <w:t xml:space="preserve"> указанными в техническом задании. Аналогичными работами являются проекты, состав которых должен соответствовать требования пункта </w:t>
            </w:r>
            <w:r>
              <w:rPr>
                <w:sz w:val="22"/>
                <w:szCs w:val="22"/>
              </w:rPr>
              <w:t>6</w:t>
            </w:r>
            <w:r w:rsidRPr="00D236BF">
              <w:rPr>
                <w:sz w:val="22"/>
                <w:szCs w:val="22"/>
              </w:rPr>
              <w:t xml:space="preserve"> настоящего </w:t>
            </w:r>
            <w:r>
              <w:rPr>
                <w:sz w:val="22"/>
                <w:szCs w:val="22"/>
              </w:rPr>
              <w:t>Т</w:t>
            </w:r>
            <w:r w:rsidRPr="00D236BF">
              <w:rPr>
                <w:sz w:val="22"/>
                <w:szCs w:val="22"/>
              </w:rPr>
              <w:t xml:space="preserve">ехнического задания. </w:t>
            </w:r>
          </w:p>
        </w:tc>
        <w:tc>
          <w:tcPr>
            <w:tcW w:w="5983" w:type="dxa"/>
          </w:tcPr>
          <w:p w14:paraId="4B89BE26" w14:textId="77777777" w:rsidR="00C543B7" w:rsidRPr="00DA38E4" w:rsidRDefault="00C543B7" w:rsidP="006C0696">
            <w:pPr>
              <w:jc w:val="both"/>
              <w:rPr>
                <w:sz w:val="22"/>
                <w:szCs w:val="22"/>
              </w:rPr>
            </w:pPr>
            <w:r w:rsidRPr="00DA38E4">
              <w:rPr>
                <w:sz w:val="22"/>
                <w:szCs w:val="22"/>
              </w:rPr>
              <w:t>Копии заключенных договоров с актами выполненных работ, а также с указанием адреса и наименованием объекта.</w:t>
            </w:r>
          </w:p>
          <w:p w14:paraId="7E509251" w14:textId="77777777" w:rsidR="00C543B7" w:rsidRPr="00DA38E4" w:rsidRDefault="00C543B7" w:rsidP="006C0696">
            <w:pPr>
              <w:jc w:val="both"/>
              <w:rPr>
                <w:sz w:val="22"/>
                <w:szCs w:val="22"/>
              </w:rPr>
            </w:pPr>
            <w:r w:rsidRPr="00DA38E4">
              <w:rPr>
                <w:sz w:val="22"/>
                <w:szCs w:val="22"/>
              </w:rPr>
              <w:t xml:space="preserve">Конфиденциальная информация в документах может быть скрыта. </w:t>
            </w:r>
          </w:p>
          <w:p w14:paraId="740A1772" w14:textId="77777777" w:rsidR="00C543B7" w:rsidRPr="00DA38E4" w:rsidRDefault="00C543B7" w:rsidP="006C0696">
            <w:pPr>
              <w:jc w:val="both"/>
              <w:rPr>
                <w:sz w:val="22"/>
                <w:szCs w:val="22"/>
              </w:rPr>
            </w:pPr>
            <w:r w:rsidRPr="00DA38E4">
              <w:rPr>
                <w:sz w:val="22"/>
                <w:szCs w:val="22"/>
              </w:rPr>
              <w:t>В случае невозможности предоставления имеющихся договоров/актов (информация, относящаяся к коммерческой тайне) в качестве подтверждения опыта, Участник может предоставить</w:t>
            </w:r>
            <w:r>
              <w:rPr>
                <w:sz w:val="22"/>
                <w:szCs w:val="22"/>
              </w:rPr>
              <w:t xml:space="preserve"> п</w:t>
            </w:r>
            <w:r w:rsidRPr="00DA38E4">
              <w:rPr>
                <w:sz w:val="22"/>
                <w:szCs w:val="22"/>
              </w:rPr>
              <w:t xml:space="preserve">одтверждающие/рекомендательные письма от Заказчиков, для которых оказывались услуги, с обязательным указанием в них следующей информации: </w:t>
            </w:r>
          </w:p>
          <w:p w14:paraId="42327184" w14:textId="77777777" w:rsidR="00C543B7" w:rsidRPr="00DA38E4" w:rsidRDefault="00C543B7" w:rsidP="006C0696">
            <w:pPr>
              <w:jc w:val="both"/>
              <w:rPr>
                <w:sz w:val="22"/>
                <w:szCs w:val="22"/>
              </w:rPr>
            </w:pPr>
            <w:r w:rsidRPr="00DA38E4">
              <w:rPr>
                <w:sz w:val="22"/>
                <w:szCs w:val="22"/>
              </w:rPr>
              <w:t>- наименование Исполнителя, который оказывал услуги;</w:t>
            </w:r>
          </w:p>
          <w:p w14:paraId="2439AD98" w14:textId="77777777" w:rsidR="00C543B7" w:rsidRPr="00FB29B1" w:rsidRDefault="00C543B7" w:rsidP="006C0696">
            <w:pPr>
              <w:spacing w:after="200" w:line="276" w:lineRule="auto"/>
              <w:rPr>
                <w:sz w:val="22"/>
                <w:szCs w:val="22"/>
              </w:rPr>
            </w:pPr>
            <w:r w:rsidRPr="00DA38E4">
              <w:rPr>
                <w:sz w:val="22"/>
                <w:szCs w:val="22"/>
              </w:rPr>
              <w:t>- подтверждение факта исполнения обязательств по договору.</w:t>
            </w:r>
          </w:p>
        </w:tc>
      </w:tr>
      <w:tr w:rsidR="00C543B7" w14:paraId="45923986" w14:textId="77777777" w:rsidTr="006C0696">
        <w:tc>
          <w:tcPr>
            <w:tcW w:w="4502" w:type="dxa"/>
          </w:tcPr>
          <w:p w14:paraId="59390B02" w14:textId="77777777" w:rsidR="00C543B7" w:rsidRPr="00D236BF" w:rsidRDefault="00C543B7" w:rsidP="006C0696">
            <w:pPr>
              <w:spacing w:after="200" w:line="276" w:lineRule="auto"/>
              <w:rPr>
                <w:sz w:val="22"/>
                <w:szCs w:val="22"/>
              </w:rPr>
            </w:pPr>
            <w:r w:rsidRPr="00665160">
              <w:rPr>
                <w:sz w:val="22"/>
                <w:szCs w:val="22"/>
              </w:rPr>
              <w:t>Наличие членства саморегулируемой организации в сфере капитального ремонта и строительства</w:t>
            </w:r>
          </w:p>
        </w:tc>
        <w:tc>
          <w:tcPr>
            <w:tcW w:w="5983" w:type="dxa"/>
          </w:tcPr>
          <w:p w14:paraId="7C683A51" w14:textId="77777777" w:rsidR="00C543B7" w:rsidRPr="00DA38E4" w:rsidRDefault="00C543B7" w:rsidP="006C0696">
            <w:pPr>
              <w:jc w:val="both"/>
              <w:rPr>
                <w:sz w:val="22"/>
                <w:szCs w:val="22"/>
              </w:rPr>
            </w:pPr>
            <w:r w:rsidRPr="00665160">
              <w:rPr>
                <w:sz w:val="22"/>
                <w:szCs w:val="22"/>
              </w:rPr>
              <w:t>Свидетельство или выписка из реестра членов СРО</w:t>
            </w:r>
          </w:p>
        </w:tc>
      </w:tr>
    </w:tbl>
    <w:p w14:paraId="4ABD6417" w14:textId="15B5AC83" w:rsidR="00590D5D" w:rsidRPr="008029F2" w:rsidRDefault="00590D5D" w:rsidP="008029F2">
      <w:pPr>
        <w:spacing w:after="360" w:line="216" w:lineRule="auto"/>
        <w:jc w:val="both"/>
        <w:rPr>
          <w:sz w:val="16"/>
          <w:szCs w:val="20"/>
        </w:rPr>
      </w:pP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lastRenderedPageBreak/>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2"/>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3C0F55EE"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Электронные Торги России</w:t>
      </w:r>
      <w:r w:rsidR="00AC6E4D" w:rsidRPr="00AC6E4D">
        <w:rPr>
          <w:rFonts w:ascii="Times New Roman" w:hAnsi="Times New Roman"/>
          <w:sz w:val="20"/>
          <w:szCs w:val="20"/>
        </w:rPr>
        <w:t xml:space="preserve"> </w:t>
      </w:r>
    </w:p>
    <w:p w14:paraId="01C28054" w14:textId="77777777"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3"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4"/>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672085C6" w14:textId="01049710" w:rsidR="000928D0" w:rsidRPr="000928D0" w:rsidRDefault="00C543B7" w:rsidP="000928D0">
      <w:pPr>
        <w:rPr>
          <w:rFonts w:eastAsiaTheme="minorHAnsi"/>
          <w:sz w:val="20"/>
          <w:szCs w:val="20"/>
          <w:lang w:eastAsia="en-US"/>
        </w:rPr>
      </w:pPr>
      <w:r w:rsidRPr="00C543B7">
        <w:rPr>
          <w:rFonts w:eastAsiaTheme="minorHAnsi"/>
          <w:sz w:val="20"/>
          <w:szCs w:val="20"/>
          <w:lang w:eastAsia="en-US"/>
        </w:rPr>
        <w:t>Выполнение ремонтно-восстановительных работ по замене линолеума в кабинетах медицинского центра</w:t>
      </w:r>
      <w:r w:rsidR="000928D0">
        <w:rPr>
          <w:rFonts w:eastAsiaTheme="minorHAnsi"/>
          <w:sz w:val="20"/>
          <w:szCs w:val="20"/>
          <w:lang w:eastAsia="en-US"/>
        </w:rPr>
        <w:t>, техническое задание прилагается отдельным файлом</w:t>
      </w:r>
    </w:p>
    <w:p w14:paraId="3139DE8E"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Pr="00C543B7" w:rsidRDefault="00C41256" w:rsidP="0059310F">
            <w:pPr>
              <w:jc w:val="center"/>
              <w:rPr>
                <w:sz w:val="22"/>
                <w:szCs w:val="22"/>
              </w:rPr>
            </w:pPr>
            <w:r w:rsidRPr="00C543B7">
              <w:rPr>
                <w:sz w:val="22"/>
                <w:szCs w:val="22"/>
              </w:rP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Pr="00C543B7" w:rsidRDefault="0059310F" w:rsidP="0059310F">
            <w:pPr>
              <w:jc w:val="center"/>
              <w:rPr>
                <w:sz w:val="22"/>
                <w:szCs w:val="22"/>
              </w:rPr>
            </w:pPr>
            <w:r w:rsidRPr="00C543B7">
              <w:rPr>
                <w:sz w:val="22"/>
                <w:szCs w:val="22"/>
              </w:rP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2823FE7B" w:rsidR="0059310F" w:rsidRPr="00C543B7" w:rsidRDefault="0059310F" w:rsidP="0059310F">
            <w:pPr>
              <w:jc w:val="center"/>
              <w:rPr>
                <w:sz w:val="22"/>
                <w:szCs w:val="22"/>
              </w:rPr>
            </w:pPr>
            <w:r w:rsidRPr="00C543B7">
              <w:rPr>
                <w:sz w:val="22"/>
                <w:szCs w:val="22"/>
              </w:rPr>
              <w:t>Кол-во</w:t>
            </w:r>
            <w:r w:rsidR="00C543B7">
              <w:rPr>
                <w:sz w:val="22"/>
                <w:szCs w:val="22"/>
              </w:rPr>
              <w:t>,</w:t>
            </w:r>
            <w:r w:rsidRPr="00C543B7">
              <w:rPr>
                <w:sz w:val="22"/>
                <w:szCs w:val="22"/>
              </w:rPr>
              <w:t xml:space="preserve"> </w:t>
            </w:r>
            <w:proofErr w:type="spellStart"/>
            <w:r w:rsidRPr="00C543B7">
              <w:rPr>
                <w:sz w:val="22"/>
                <w:szCs w:val="22"/>
              </w:rPr>
              <w:t>усл</w:t>
            </w:r>
            <w:proofErr w:type="spellEnd"/>
            <w:r w:rsidRPr="00C543B7">
              <w:rPr>
                <w:sz w:val="22"/>
                <w:szCs w:val="22"/>
              </w:rPr>
              <w:t>.</w:t>
            </w:r>
            <w:r w:rsidR="007C17EC" w:rsidRPr="00C543B7">
              <w:rPr>
                <w:sz w:val="22"/>
                <w:szCs w:val="22"/>
              </w:rPr>
              <w:t xml:space="preserve"> </w:t>
            </w:r>
            <w:r w:rsidRPr="00C543B7">
              <w:rPr>
                <w:sz w:val="22"/>
                <w:szCs w:val="22"/>
              </w:rP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Pr="00C543B7" w:rsidRDefault="0059310F" w:rsidP="0059310F">
            <w:pPr>
              <w:jc w:val="center"/>
              <w:rPr>
                <w:sz w:val="22"/>
                <w:szCs w:val="22"/>
              </w:rPr>
            </w:pPr>
            <w:r w:rsidRPr="00C543B7">
              <w:rPr>
                <w:sz w:val="22"/>
                <w:szCs w:val="22"/>
              </w:rP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C543B7" w:rsidRDefault="0059310F" w:rsidP="0059310F">
            <w:pPr>
              <w:jc w:val="center"/>
              <w:rPr>
                <w:sz w:val="22"/>
                <w:szCs w:val="22"/>
              </w:rPr>
            </w:pPr>
            <w:r w:rsidRPr="00C543B7">
              <w:rPr>
                <w:sz w:val="22"/>
                <w:szCs w:val="22"/>
              </w:rP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6272084E" w:rsidR="0059310F" w:rsidRPr="00C543B7" w:rsidRDefault="00C543B7" w:rsidP="0059310F">
            <w:pPr>
              <w:jc w:val="center"/>
              <w:rPr>
                <w:sz w:val="22"/>
                <w:szCs w:val="22"/>
                <w:lang w:eastAsia="en-US"/>
              </w:rPr>
            </w:pPr>
            <w:r w:rsidRPr="00C543B7">
              <w:rPr>
                <w:sz w:val="22"/>
                <w:szCs w:val="22"/>
              </w:rPr>
              <w:t>Выполнение ремонтно-восстановительных работ по замене линолеума в кабинетах медицинского центра</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Pr="00C543B7" w:rsidRDefault="0059310F" w:rsidP="0059310F">
            <w:pPr>
              <w:jc w:val="center"/>
              <w:rPr>
                <w:sz w:val="22"/>
                <w:szCs w:val="22"/>
              </w:rPr>
            </w:pPr>
            <w:r w:rsidRPr="00C543B7">
              <w:rPr>
                <w:sz w:val="22"/>
                <w:szCs w:val="22"/>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1FE36D84" w:rsidR="0059310F" w:rsidRPr="00C543B7" w:rsidRDefault="00C543B7" w:rsidP="0059310F">
            <w:pPr>
              <w:jc w:val="center"/>
              <w:rPr>
                <w:sz w:val="22"/>
                <w:szCs w:val="22"/>
              </w:rPr>
            </w:pPr>
            <w:r w:rsidRPr="00BB2B0C">
              <w:rPr>
                <w:color w:val="000000"/>
                <w:sz w:val="20"/>
                <w:szCs w:val="20"/>
              </w:rPr>
              <w:t>604</w:t>
            </w:r>
            <w:r>
              <w:rPr>
                <w:color w:val="000000"/>
                <w:sz w:val="20"/>
                <w:szCs w:val="20"/>
              </w:rPr>
              <w:t xml:space="preserve"> </w:t>
            </w:r>
            <w:r w:rsidRPr="00BB2B0C">
              <w:rPr>
                <w:color w:val="000000"/>
                <w:sz w:val="20"/>
                <w:szCs w:val="20"/>
              </w:rPr>
              <w:t>229,77</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Pr="00C543B7" w:rsidRDefault="00BB53A2" w:rsidP="0059310F">
            <w:pPr>
              <w:jc w:val="center"/>
              <w:rPr>
                <w:sz w:val="22"/>
                <w:szCs w:val="22"/>
              </w:rPr>
            </w:pPr>
            <w:r w:rsidRPr="00C543B7">
              <w:rPr>
                <w:sz w:val="22"/>
                <w:szCs w:val="22"/>
              </w:rPr>
              <w:t>ИТОГО начальная максимальная стоимость состав</w:t>
            </w:r>
            <w:r w:rsidR="001B4E10" w:rsidRPr="00C543B7">
              <w:rPr>
                <w:sz w:val="22"/>
                <w:szCs w:val="22"/>
              </w:rPr>
              <w:t>ляет</w:t>
            </w:r>
            <w:r w:rsidRPr="00C543B7">
              <w:rPr>
                <w:sz w:val="22"/>
                <w:szCs w:val="22"/>
              </w:rP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39313834" w:rsidR="00BB53A2" w:rsidRPr="00C543B7" w:rsidRDefault="00C543B7" w:rsidP="0059310F">
            <w:pPr>
              <w:jc w:val="center"/>
              <w:rPr>
                <w:sz w:val="22"/>
                <w:szCs w:val="22"/>
              </w:rPr>
            </w:pPr>
            <w:r w:rsidRPr="00BB2B0C">
              <w:rPr>
                <w:color w:val="000000"/>
                <w:sz w:val="20"/>
                <w:szCs w:val="20"/>
              </w:rPr>
              <w:t>604</w:t>
            </w:r>
            <w:r>
              <w:rPr>
                <w:color w:val="000000"/>
                <w:sz w:val="20"/>
                <w:szCs w:val="20"/>
              </w:rPr>
              <w:t xml:space="preserve"> </w:t>
            </w:r>
            <w:r w:rsidRPr="00BB2B0C">
              <w:rPr>
                <w:color w:val="000000"/>
                <w:sz w:val="20"/>
                <w:szCs w:val="20"/>
              </w:rPr>
              <w:t>229,77</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bookmarkStart w:id="3" w:name="_Hlk143606835"/>
    <w:p w14:paraId="06D831E7" w14:textId="77777777" w:rsidR="00C543B7" w:rsidRPr="00904C6C" w:rsidRDefault="00C543B7" w:rsidP="00C543B7">
      <w:pPr>
        <w:jc w:val="center"/>
      </w:pPr>
      <w:r>
        <w:object w:dxaOrig="1520" w:dyaOrig="985" w14:anchorId="07EC1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2pt" o:ole="">
            <v:imagedata r:id="rId15" o:title=""/>
          </v:shape>
          <o:OLEObject Type="Embed" ProgID="Acrobat.Document.DC" ShapeID="_x0000_i1026" DrawAspect="Icon" ObjectID="_1841293490" r:id="rId16"/>
        </w:object>
      </w:r>
    </w:p>
    <w:bookmarkEnd w:id="3"/>
    <w:p w14:paraId="2EFF248A" w14:textId="77777777" w:rsidR="00C543B7" w:rsidRDefault="00C543B7" w:rsidP="00C543B7">
      <w:pPr>
        <w:pStyle w:val="af6"/>
        <w:spacing w:line="216" w:lineRule="auto"/>
        <w:jc w:val="center"/>
        <w:rPr>
          <w:rFonts w:ascii="Times New Roman" w:hAnsi="Times New Roman"/>
          <w:sz w:val="20"/>
          <w:szCs w:val="20"/>
        </w:rPr>
      </w:pPr>
      <w:r>
        <w:rPr>
          <w:rFonts w:ascii="Times New Roman" w:hAnsi="Times New Roman"/>
          <w:sz w:val="20"/>
          <w:szCs w:val="20"/>
        </w:rPr>
        <w:t>Ведомость объемов работ:</w:t>
      </w:r>
    </w:p>
    <w:p w14:paraId="0D298FC3" w14:textId="77777777" w:rsidR="00C543B7" w:rsidRDefault="00C543B7" w:rsidP="00C543B7">
      <w:pPr>
        <w:pStyle w:val="af6"/>
        <w:spacing w:line="216" w:lineRule="auto"/>
        <w:jc w:val="center"/>
        <w:rPr>
          <w:rFonts w:ascii="Times New Roman" w:hAnsi="Times New Roman"/>
          <w:sz w:val="20"/>
          <w:szCs w:val="20"/>
        </w:rPr>
      </w:pPr>
      <w:r>
        <w:rPr>
          <w:rFonts w:ascii="Times New Roman" w:hAnsi="Times New Roman"/>
          <w:sz w:val="20"/>
          <w:szCs w:val="20"/>
        </w:rPr>
        <w:object w:dxaOrig="1520" w:dyaOrig="985" w14:anchorId="07A07E4D">
          <v:shape id="_x0000_i1027" type="#_x0000_t75" style="width:76.2pt;height:49.2pt" o:ole="">
            <v:imagedata r:id="rId17" o:title=""/>
          </v:shape>
          <o:OLEObject Type="Embed" ProgID="Excel.Sheet.12" ShapeID="_x0000_i1027" DrawAspect="Icon" ObjectID="_1841293491" r:id="rId18"/>
        </w:object>
      </w:r>
    </w:p>
    <w:p w14:paraId="0E7CE636" w14:textId="77777777" w:rsidR="00C543B7" w:rsidRDefault="00C543B7" w:rsidP="00C543B7">
      <w:pPr>
        <w:pStyle w:val="af6"/>
        <w:spacing w:line="216" w:lineRule="auto"/>
        <w:jc w:val="center"/>
        <w:rPr>
          <w:rFonts w:ascii="Times New Roman" w:hAnsi="Times New Roman"/>
          <w:sz w:val="20"/>
          <w:szCs w:val="20"/>
        </w:rPr>
      </w:pPr>
    </w:p>
    <w:p w14:paraId="68986C33" w14:textId="77777777" w:rsidR="00C543B7" w:rsidRDefault="00C543B7" w:rsidP="00C543B7">
      <w:pPr>
        <w:pStyle w:val="af6"/>
        <w:spacing w:line="216" w:lineRule="auto"/>
        <w:jc w:val="center"/>
        <w:rPr>
          <w:rFonts w:ascii="Times New Roman" w:hAnsi="Times New Roman"/>
          <w:sz w:val="20"/>
          <w:szCs w:val="20"/>
        </w:rPr>
      </w:pPr>
      <w:r>
        <w:rPr>
          <w:rFonts w:ascii="Times New Roman" w:hAnsi="Times New Roman"/>
          <w:sz w:val="20"/>
          <w:szCs w:val="20"/>
        </w:rPr>
        <w:t>Локальный сметный расчет:</w:t>
      </w:r>
    </w:p>
    <w:p w14:paraId="3A7BBE6A" w14:textId="77777777" w:rsidR="00C543B7" w:rsidRDefault="00C543B7" w:rsidP="00C543B7">
      <w:pPr>
        <w:pStyle w:val="af6"/>
        <w:spacing w:line="216" w:lineRule="auto"/>
        <w:jc w:val="center"/>
        <w:rPr>
          <w:rFonts w:ascii="Times New Roman" w:hAnsi="Times New Roman"/>
          <w:sz w:val="20"/>
          <w:szCs w:val="20"/>
        </w:rPr>
      </w:pPr>
      <w:r>
        <w:rPr>
          <w:rFonts w:ascii="Times New Roman" w:hAnsi="Times New Roman"/>
          <w:sz w:val="20"/>
          <w:szCs w:val="20"/>
        </w:rPr>
        <w:object w:dxaOrig="1520" w:dyaOrig="985" w14:anchorId="3319FBA8">
          <v:shape id="_x0000_i1028" type="#_x0000_t75" style="width:76.2pt;height:49.2pt" o:ole="">
            <v:imagedata r:id="rId19" o:title=""/>
          </v:shape>
          <o:OLEObject Type="Embed" ProgID="Excel.Sheet.12" ShapeID="_x0000_i1028" DrawAspect="Icon" ObjectID="_1841293492" r:id="rId20"/>
        </w:object>
      </w:r>
    </w:p>
    <w:p w14:paraId="3E80E046" w14:textId="5F3B09ED" w:rsidR="00C1794A" w:rsidRPr="00BB53A2" w:rsidRDefault="00C1794A" w:rsidP="00C543B7">
      <w:pPr>
        <w:pStyle w:val="af6"/>
        <w:spacing w:line="216" w:lineRule="auto"/>
        <w:ind w:left="-284" w:firstLine="284"/>
        <w:jc w:val="center"/>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58AD7C4"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не позднее 10 (десяти) рабочих дней с момента получения от Подрядчика счета на оплату</w:t>
      </w:r>
      <w:r w:rsidRPr="00C3605B">
        <w:rPr>
          <w:bCs/>
          <w:sz w:val="20"/>
          <w:szCs w:val="20"/>
        </w:rPr>
        <w:t xml:space="preserve">; </w:t>
      </w:r>
    </w:p>
    <w:p w14:paraId="1BBDFD2C" w14:textId="521BEC9D"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 xml:space="preserve">0%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01781AB" w14:textId="77777777" w:rsidR="00C3605B" w:rsidRPr="000B5586" w:rsidRDefault="00C3605B" w:rsidP="002A7370">
      <w:pPr>
        <w:jc w:val="both"/>
        <w:rPr>
          <w:b/>
          <w:sz w:val="20"/>
          <w:szCs w:val="20"/>
        </w:rPr>
      </w:pPr>
    </w:p>
    <w:p w14:paraId="052F100F" w14:textId="5267D0BB"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на результаты Работ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410DA31C" w14:textId="26C78562" w:rsidR="000B5586" w:rsidRPr="00C54B8A" w:rsidRDefault="00AC279E" w:rsidP="002A7370">
      <w:pPr>
        <w:jc w:val="both"/>
        <w:rPr>
          <w:rFonts w:eastAsia="Calibri"/>
          <w:sz w:val="20"/>
          <w:szCs w:val="20"/>
          <w:lang w:eastAsia="en-US"/>
        </w:rPr>
      </w:pPr>
      <w:r w:rsidRPr="000B5586">
        <w:rPr>
          <w:b/>
          <w:sz w:val="20"/>
          <w:szCs w:val="20"/>
        </w:rPr>
        <w:t xml:space="preserve">Место </w:t>
      </w:r>
      <w:r w:rsidR="00D94352">
        <w:rPr>
          <w:b/>
          <w:sz w:val="20"/>
          <w:szCs w:val="20"/>
        </w:rPr>
        <w:t>проведения работ</w:t>
      </w:r>
      <w:r w:rsidRPr="000B5586">
        <w:rPr>
          <w:b/>
          <w:sz w:val="20"/>
          <w:szCs w:val="20"/>
        </w:rPr>
        <w:t>:</w:t>
      </w:r>
      <w:r w:rsidRPr="000B5586">
        <w:rPr>
          <w:sz w:val="20"/>
          <w:szCs w:val="20"/>
        </w:rPr>
        <w:t xml:space="preserve"> </w:t>
      </w:r>
      <w:r w:rsidR="00923AD2" w:rsidRPr="00923AD2">
        <w:rPr>
          <w:sz w:val="20"/>
          <w:szCs w:val="20"/>
        </w:rPr>
        <w:t>Российская Федерация, Республика Крым, г. Ялта, поселок Оползневое, ул. Южная, д.7, литер А.</w:t>
      </w: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4" w:name="_MON_1697349536"/>
    <w:bookmarkEnd w:id="4"/>
    <w:p w14:paraId="09AF9873" w14:textId="5FF58BC8" w:rsidR="00227DE8" w:rsidRDefault="00F86117" w:rsidP="001530E4">
      <w:r>
        <w:object w:dxaOrig="9355" w:dyaOrig="450" w14:anchorId="620027E9">
          <v:shape id="_x0000_i1025" type="#_x0000_t75" style="width:468pt;height:22.2pt" o:ole="">
            <v:imagedata r:id="rId21" o:title=""/>
          </v:shape>
          <o:OLEObject Type="Embed" ProgID="Word.Document.12" ShapeID="_x0000_i1025" DrawAspect="Content" ObjectID="_1841293493" r:id="rId22">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DF7B91">
        <w:rPr>
          <w:color w:val="000000" w:themeColor="text1"/>
          <w:sz w:val="20"/>
          <w:szCs w:val="20"/>
        </w:rPr>
        <w:t>щие</w:t>
      </w:r>
      <w:proofErr w:type="spellEnd"/>
      <w:r w:rsidRPr="00DF7B91">
        <w:rPr>
          <w:color w:val="000000" w:themeColor="text1"/>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of </w:t>
      </w:r>
      <w:proofErr w:type="spellStart"/>
      <w:r w:rsidRPr="00DF7B91">
        <w:rPr>
          <w:color w:val="000000" w:themeColor="text1"/>
          <w:sz w:val="20"/>
          <w:szCs w:val="20"/>
        </w:rPr>
        <w:t>Incorporated</w:t>
      </w:r>
      <w:proofErr w:type="spellEnd"/>
      <w:r w:rsidRPr="00DF7B91">
        <w:rPr>
          <w:color w:val="000000" w:themeColor="text1"/>
          <w:sz w:val="20"/>
          <w:szCs w:val="20"/>
        </w:rPr>
        <w:t xml:space="preserve">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выписка из государственного/торгового реестра  или иной документ, подтверждающий сведения  об иностранном лице (сертификат о состоянии дел,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Good </w:t>
      </w:r>
      <w:proofErr w:type="spellStart"/>
      <w:r w:rsidRPr="00DF7B91">
        <w:rPr>
          <w:color w:val="000000" w:themeColor="text1"/>
          <w:sz w:val="20"/>
          <w:szCs w:val="20"/>
        </w:rPr>
        <w:t>Standing</w:t>
      </w:r>
      <w:proofErr w:type="spellEnd"/>
      <w:r w:rsidRPr="00DF7B91">
        <w:rPr>
          <w:color w:val="000000" w:themeColor="text1"/>
          <w:sz w:val="20"/>
          <w:szCs w:val="20"/>
        </w:rPr>
        <w:t>,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23"/>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w:t>
      </w:r>
      <w:proofErr w:type="spellStart"/>
      <w:r w:rsidR="00802F4C" w:rsidRPr="00DF7B91">
        <w:rPr>
          <w:sz w:val="20"/>
          <w:szCs w:val="20"/>
        </w:rPr>
        <w:t>ый</w:t>
      </w:r>
      <w:proofErr w:type="spellEnd"/>
      <w:r w:rsidR="00802F4C" w:rsidRPr="00DF7B91">
        <w:rPr>
          <w:sz w:val="20"/>
          <w:szCs w:val="20"/>
        </w:rPr>
        <w:t>)</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proofErr w:type="spellStart"/>
            <w:r w:rsidRPr="00B77072">
              <w:rPr>
                <w:bCs/>
              </w:rPr>
              <w:t>Ед.изм</w:t>
            </w:r>
            <w:proofErr w:type="spellEnd"/>
            <w:r w:rsidRPr="00B77072">
              <w:rPr>
                <w:bCs/>
              </w:rPr>
              <w:t>.</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24"/>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w:t>
      </w:r>
      <w:proofErr w:type="spellStart"/>
      <w:r w:rsidRPr="00DF7B91">
        <w:rPr>
          <w:sz w:val="20"/>
          <w:szCs w:val="20"/>
        </w:rPr>
        <w:t>п.п</w:t>
      </w:r>
      <w:proofErr w:type="spellEnd"/>
      <w:r w:rsidRPr="00DF7B91">
        <w:rPr>
          <w:sz w:val="20"/>
          <w:szCs w:val="20"/>
        </w:rPr>
        <w:t xml:space="preserve">.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25"/>
      <w:headerReference w:type="first" r:id="rId26"/>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6C6B" w14:textId="77777777" w:rsidR="00581F96" w:rsidRDefault="00581F96" w:rsidP="002D1593">
      <w:r>
        <w:separator/>
      </w:r>
    </w:p>
  </w:endnote>
  <w:endnote w:type="continuationSeparator" w:id="0">
    <w:p w14:paraId="487CD977" w14:textId="77777777" w:rsidR="00581F96" w:rsidRDefault="00581F96"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1D31" w14:textId="77777777" w:rsidR="00581F96" w:rsidRDefault="00581F96" w:rsidP="002D1593">
      <w:r>
        <w:separator/>
      </w:r>
    </w:p>
  </w:footnote>
  <w:footnote w:type="continuationSeparator" w:id="0">
    <w:p w14:paraId="3ACE3273" w14:textId="77777777" w:rsidR="00581F96" w:rsidRDefault="00581F96" w:rsidP="002D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7D472F0"/>
    <w:multiLevelType w:val="hybridMultilevel"/>
    <w:tmpl w:val="757EC200"/>
    <w:lvl w:ilvl="0" w:tplc="FFFFFFFF">
      <w:start w:val="1"/>
      <w:numFmt w:val="decimal"/>
      <w:lvlText w:val="(%1)"/>
      <w:lvlJc w:val="left"/>
      <w:pPr>
        <w:ind w:left="720" w:hanging="360"/>
      </w:pPr>
      <w:rPr>
        <w:rFonts w:hint="default"/>
        <w:b w:val="0"/>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3"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5" w15:restartNumberingAfterBreak="0">
    <w:nsid w:val="0F3233C2"/>
    <w:multiLevelType w:val="hybridMultilevel"/>
    <w:tmpl w:val="757EC200"/>
    <w:lvl w:ilvl="0" w:tplc="FFFFFFFF">
      <w:start w:val="1"/>
      <w:numFmt w:val="decimal"/>
      <w:lvlText w:val="(%1)"/>
      <w:lvlJc w:val="left"/>
      <w:pPr>
        <w:ind w:left="720" w:hanging="360"/>
      </w:pPr>
      <w:rPr>
        <w:rFonts w:hint="default"/>
        <w:b w:val="0"/>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8"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9"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5"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9"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1"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7"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0"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4"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2"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3"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B4874"/>
    <w:multiLevelType w:val="hybridMultilevel"/>
    <w:tmpl w:val="F52412D2"/>
    <w:lvl w:ilvl="0" w:tplc="4D3EB756">
      <w:start w:val="1"/>
      <w:numFmt w:val="decimal"/>
      <w:lvlText w:val="(%1)"/>
      <w:lvlJc w:val="left"/>
      <w:pPr>
        <w:ind w:left="720" w:hanging="360"/>
      </w:pPr>
      <w:rPr>
        <w:rFonts w:ascii="Times New Roman" w:hAnsi="Times New Roman" w:cs="Times New Roman"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30"/>
  </w:num>
  <w:num w:numId="2" w16cid:durableId="1933514431">
    <w:abstractNumId w:val="38"/>
  </w:num>
  <w:num w:numId="3" w16cid:durableId="1098911503">
    <w:abstractNumId w:val="13"/>
  </w:num>
  <w:num w:numId="4" w16cid:durableId="190921536">
    <w:abstractNumId w:val="45"/>
  </w:num>
  <w:num w:numId="5" w16cid:durableId="622927010">
    <w:abstractNumId w:val="9"/>
  </w:num>
  <w:num w:numId="6" w16cid:durableId="1574588146">
    <w:abstractNumId w:val="47"/>
  </w:num>
  <w:num w:numId="7" w16cid:durableId="38093048">
    <w:abstractNumId w:val="46"/>
  </w:num>
  <w:num w:numId="8" w16cid:durableId="2132168379">
    <w:abstractNumId w:val="43"/>
  </w:num>
  <w:num w:numId="9" w16cid:durableId="1018888754">
    <w:abstractNumId w:val="6"/>
  </w:num>
  <w:num w:numId="10" w16cid:durableId="1078673826">
    <w:abstractNumId w:val="34"/>
  </w:num>
  <w:num w:numId="11" w16cid:durableId="742143302">
    <w:abstractNumId w:val="3"/>
  </w:num>
  <w:num w:numId="12" w16cid:durableId="539316908">
    <w:abstractNumId w:val="22"/>
  </w:num>
  <w:num w:numId="13" w16cid:durableId="1786076373">
    <w:abstractNumId w:val="44"/>
  </w:num>
  <w:num w:numId="14" w16cid:durableId="448863249">
    <w:abstractNumId w:val="40"/>
  </w:num>
  <w:num w:numId="15" w16cid:durableId="1595363678">
    <w:abstractNumId w:val="10"/>
  </w:num>
  <w:num w:numId="16" w16cid:durableId="602420695">
    <w:abstractNumId w:val="26"/>
  </w:num>
  <w:num w:numId="17" w16cid:durableId="2032222748">
    <w:abstractNumId w:val="28"/>
  </w:num>
  <w:num w:numId="18" w16cid:durableId="1207182053">
    <w:abstractNumId w:val="14"/>
  </w:num>
  <w:num w:numId="19" w16cid:durableId="474445889">
    <w:abstractNumId w:val="24"/>
  </w:num>
  <w:num w:numId="20" w16cid:durableId="2138375546">
    <w:abstractNumId w:val="8"/>
  </w:num>
  <w:num w:numId="21" w16cid:durableId="749543963">
    <w:abstractNumId w:val="7"/>
  </w:num>
  <w:num w:numId="22" w16cid:durableId="1651597049">
    <w:abstractNumId w:val="33"/>
  </w:num>
  <w:num w:numId="23" w16cid:durableId="1734160489">
    <w:abstractNumId w:val="11"/>
  </w:num>
  <w:num w:numId="24" w16cid:durableId="795223714">
    <w:abstractNumId w:val="4"/>
  </w:num>
  <w:num w:numId="25" w16cid:durableId="21354431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8"/>
  </w:num>
  <w:num w:numId="27" w16cid:durableId="657417495">
    <w:abstractNumId w:val="42"/>
  </w:num>
  <w:num w:numId="28" w16cid:durableId="2073700035">
    <w:abstractNumId w:val="16"/>
  </w:num>
  <w:num w:numId="29" w16cid:durableId="1094203146">
    <w:abstractNumId w:val="29"/>
  </w:num>
  <w:num w:numId="30" w16cid:durableId="1373504971">
    <w:abstractNumId w:val="20"/>
  </w:num>
  <w:num w:numId="31" w16cid:durableId="1211111534">
    <w:abstractNumId w:val="17"/>
  </w:num>
  <w:num w:numId="32" w16cid:durableId="206649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5"/>
  </w:num>
  <w:num w:numId="36" w16cid:durableId="1016691528">
    <w:abstractNumId w:val="27"/>
  </w:num>
  <w:num w:numId="37" w16cid:durableId="248387673">
    <w:abstractNumId w:val="32"/>
  </w:num>
  <w:num w:numId="38" w16cid:durableId="1184512525">
    <w:abstractNumId w:val="36"/>
  </w:num>
  <w:num w:numId="39" w16cid:durableId="274950384">
    <w:abstractNumId w:val="37"/>
  </w:num>
  <w:num w:numId="40" w16cid:durableId="850992350">
    <w:abstractNumId w:val="19"/>
  </w:num>
  <w:num w:numId="41" w16cid:durableId="1730107849">
    <w:abstractNumId w:val="12"/>
  </w:num>
  <w:num w:numId="42" w16cid:durableId="1972202957">
    <w:abstractNumId w:val="35"/>
  </w:num>
  <w:num w:numId="43" w16cid:durableId="1446924282">
    <w:abstractNumId w:val="0"/>
  </w:num>
  <w:num w:numId="44" w16cid:durableId="1942374100">
    <w:abstractNumId w:val="39"/>
  </w:num>
  <w:num w:numId="45" w16cid:durableId="1367023855">
    <w:abstractNumId w:val="21"/>
  </w:num>
  <w:num w:numId="46" w16cid:durableId="1354456375">
    <w:abstractNumId w:val="15"/>
  </w:num>
  <w:num w:numId="47" w16cid:durableId="2018387403">
    <w:abstractNumId w:val="23"/>
  </w:num>
  <w:num w:numId="48" w16cid:durableId="881401050">
    <w:abstractNumId w:val="1"/>
  </w:num>
  <w:num w:numId="49" w16cid:durableId="173612547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2A55"/>
    <w:rsid w:val="00072E32"/>
    <w:rsid w:val="00073817"/>
    <w:rsid w:val="0007386E"/>
    <w:rsid w:val="00074CED"/>
    <w:rsid w:val="0007541D"/>
    <w:rsid w:val="00075486"/>
    <w:rsid w:val="00076BAC"/>
    <w:rsid w:val="00081455"/>
    <w:rsid w:val="00082A2A"/>
    <w:rsid w:val="000837F1"/>
    <w:rsid w:val="00084E6A"/>
    <w:rsid w:val="00085DE5"/>
    <w:rsid w:val="0008676D"/>
    <w:rsid w:val="00087410"/>
    <w:rsid w:val="000900DF"/>
    <w:rsid w:val="00090F76"/>
    <w:rsid w:val="000928D0"/>
    <w:rsid w:val="000933D3"/>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0343"/>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4A14"/>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40E7D"/>
    <w:rsid w:val="00241347"/>
    <w:rsid w:val="00242220"/>
    <w:rsid w:val="00242BBC"/>
    <w:rsid w:val="0024305B"/>
    <w:rsid w:val="0024345A"/>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13AB"/>
    <w:rsid w:val="003074A6"/>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2D76"/>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F5F"/>
    <w:rsid w:val="00567EE5"/>
    <w:rsid w:val="00570D9B"/>
    <w:rsid w:val="0057258B"/>
    <w:rsid w:val="00574B82"/>
    <w:rsid w:val="00574F05"/>
    <w:rsid w:val="00575836"/>
    <w:rsid w:val="00577582"/>
    <w:rsid w:val="00577DE5"/>
    <w:rsid w:val="00577E4F"/>
    <w:rsid w:val="00581F96"/>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7013EE"/>
    <w:rsid w:val="0070386B"/>
    <w:rsid w:val="0070387D"/>
    <w:rsid w:val="00703881"/>
    <w:rsid w:val="00705A94"/>
    <w:rsid w:val="00705CC8"/>
    <w:rsid w:val="007069C2"/>
    <w:rsid w:val="00706E3F"/>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0A5"/>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182D"/>
    <w:rsid w:val="007958F3"/>
    <w:rsid w:val="00796E79"/>
    <w:rsid w:val="007973A3"/>
    <w:rsid w:val="007A14F4"/>
    <w:rsid w:val="007A5D6B"/>
    <w:rsid w:val="007A64F3"/>
    <w:rsid w:val="007B07E6"/>
    <w:rsid w:val="007B175A"/>
    <w:rsid w:val="007B238C"/>
    <w:rsid w:val="007B2C1C"/>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47FB"/>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0DCA"/>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BE6"/>
    <w:rsid w:val="00AB7961"/>
    <w:rsid w:val="00AC006C"/>
    <w:rsid w:val="00AC279E"/>
    <w:rsid w:val="00AC5A2A"/>
    <w:rsid w:val="00AC6E4D"/>
    <w:rsid w:val="00AC739C"/>
    <w:rsid w:val="00AD02B9"/>
    <w:rsid w:val="00AD1B76"/>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3B7"/>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102"/>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4352"/>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79DE"/>
    <w:rsid w:val="00DD79E6"/>
    <w:rsid w:val="00DE005F"/>
    <w:rsid w:val="00DE27AB"/>
    <w:rsid w:val="00DE3891"/>
    <w:rsid w:val="00DE4A28"/>
    <w:rsid w:val="00DF0275"/>
    <w:rsid w:val="00DF02DF"/>
    <w:rsid w:val="00DF0C4D"/>
    <w:rsid w:val="00DF1D02"/>
    <w:rsid w:val="00DF20B6"/>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1DB"/>
    <w:rsid w:val="00E27BC8"/>
    <w:rsid w:val="00E334E3"/>
    <w:rsid w:val="00E34036"/>
    <w:rsid w:val="00E349B0"/>
    <w:rsid w:val="00E3532D"/>
    <w:rsid w:val="00E356FE"/>
    <w:rsid w:val="00E3679D"/>
    <w:rsid w:val="00E402A3"/>
    <w:rsid w:val="00E41C40"/>
    <w:rsid w:val="00E42280"/>
    <w:rsid w:val="00E42C69"/>
    <w:rsid w:val="00E434E8"/>
    <w:rsid w:val="00E43665"/>
    <w:rsid w:val="00E44A71"/>
    <w:rsid w:val="00E46EC3"/>
    <w:rsid w:val="00E46FAD"/>
    <w:rsid w:val="00E47C38"/>
    <w:rsid w:val="00E516E4"/>
    <w:rsid w:val="00E53523"/>
    <w:rsid w:val="00E56931"/>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4B1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3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orgi82.ru/" TargetMode="External"/><Relationship Id="rId18" Type="http://schemas.openxmlformats.org/officeDocument/2006/relationships/package" Target="embeddings/Microsoft_Excel_Worksheet.xlsx"/><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mailto:Mariya.Butakova@mriyaresort.co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Pavel.Romanov@mriyaresort.com" TargetMode="External"/><Relationship Id="rId14" Type="http://schemas.openxmlformats.org/officeDocument/2006/relationships/footer" Target="footer4.xml"/><Relationship Id="rId22" Type="http://schemas.openxmlformats.org/officeDocument/2006/relationships/package" Target="embeddings/Microsoft_Word_Document.doc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4747</Words>
  <Characters>27061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Бутакова Мария</cp:lastModifiedBy>
  <cp:revision>2</cp:revision>
  <cp:lastPrinted>2021-03-19T09:45:00Z</cp:lastPrinted>
  <dcterms:created xsi:type="dcterms:W3CDTF">2026-05-26T06:38:00Z</dcterms:created>
  <dcterms:modified xsi:type="dcterms:W3CDTF">2026-05-26T06:38:00Z</dcterms:modified>
</cp:coreProperties>
</file>