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713C" w14:textId="3C699768" w:rsidR="002511D4" w:rsidRPr="00077A87" w:rsidRDefault="002511D4" w:rsidP="00077A87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630570" w:rsidRPr="003A21B2" w14:paraId="39FF2F79" w14:textId="77777777" w:rsidTr="005F20D5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630570" w:rsidRPr="003A21B2" w:rsidRDefault="00630570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630570" w:rsidRPr="003A21B2" w:rsidRDefault="00630570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630570" w:rsidRPr="003A21B2" w:rsidRDefault="00630570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B336" w14:textId="77777777" w:rsidR="00630570" w:rsidRPr="003A21B2" w:rsidRDefault="00630570" w:rsidP="00931E56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39FAE966" w:rsidR="00630570" w:rsidRPr="003A21B2" w:rsidRDefault="00630570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8B942FF" w:rsidR="00630570" w:rsidRPr="00E83D43" w:rsidRDefault="00B203B0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Аналог</w:t>
            </w:r>
          </w:p>
        </w:tc>
      </w:tr>
      <w:tr w:rsidR="005F20D5" w:rsidRPr="00E95075" w14:paraId="5C050BAC" w14:textId="77777777" w:rsidTr="005F20D5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45E5" w14:textId="0F6F77FB" w:rsidR="005F20D5" w:rsidRPr="00E95075" w:rsidRDefault="009C0D18" w:rsidP="0021664A">
            <w:pPr>
              <w:jc w:val="center"/>
            </w:pPr>
            <w:r w:rsidRPr="00E95075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33A76" w14:textId="786980B6" w:rsidR="005F20D5" w:rsidRPr="00E95075" w:rsidRDefault="00E95075" w:rsidP="009A115B">
            <w:r w:rsidRPr="00E95075">
              <w:t>Мебельное колесо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6734C" w14:textId="3402240A" w:rsidR="005F20D5" w:rsidRPr="00E95075" w:rsidRDefault="00E95075" w:rsidP="00FB4EBA">
            <w:r w:rsidRPr="00E95075">
              <w:t>к</w:t>
            </w:r>
            <w:r w:rsidR="00FB4EBA" w:rsidRPr="00E95075">
              <w:t>омплект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45C9B0" w14:textId="048BED91" w:rsidR="00E95075" w:rsidRPr="00240577" w:rsidRDefault="00E95075" w:rsidP="00E95075">
            <w:r w:rsidRPr="00E95075">
              <w:t>Numatic Мебельное колесо</w:t>
            </w:r>
            <w:r w:rsidR="00240577">
              <w:t>.</w:t>
            </w:r>
            <w:r w:rsidR="00240577" w:rsidRPr="00240577">
              <w:t xml:space="preserve"> Колеса поворотные для уборочных тележек TM2815, HB, пылеводососов WV, WVD, моющих пылесосов CTD, Numatic. Диаметр колеса 75 мм, высота штока на подшипнике 35 мм. Диаметр штока 10 мм.</w:t>
            </w:r>
          </w:p>
          <w:p w14:paraId="14591380" w14:textId="6BFD9B88" w:rsidR="003E3B1D" w:rsidRPr="00E95075" w:rsidRDefault="00077A87" w:rsidP="0021664A">
            <w:hyperlink r:id="rId5" w:history="1">
              <w:r w:rsidRPr="00A21250">
                <w:rPr>
                  <w:rStyle w:val="a7"/>
                </w:rPr>
                <w:t>https://www.ozon.ru/product/numatic-mebelnoe-koleso-1422465470/?reviewsVariantMode=2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DE8E" w14:textId="58E0B8BA" w:rsidR="00ED5372" w:rsidRPr="00E95075" w:rsidRDefault="00E95075" w:rsidP="00ED5372">
            <w:pPr>
              <w:jc w:val="center"/>
              <w:rPr>
                <w:lang w:val="en-US"/>
              </w:rPr>
            </w:pPr>
            <w:r w:rsidRPr="00E95075">
              <w:rPr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CB40" w14:textId="61EDC3B8" w:rsidR="005F20D5" w:rsidRPr="00E95075" w:rsidRDefault="003E3B1D" w:rsidP="0021664A">
            <w:pPr>
              <w:jc w:val="center"/>
            </w:pPr>
            <w:r w:rsidRPr="00E95075">
              <w:t>нет</w:t>
            </w:r>
          </w:p>
        </w:tc>
      </w:tr>
      <w:tr w:rsidR="005F20D5" w:rsidRPr="00E95075" w14:paraId="6E870903" w14:textId="77777777" w:rsidTr="005F20D5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B2E1" w14:textId="277B9AC2" w:rsidR="005F20D5" w:rsidRPr="00E95075" w:rsidRDefault="009C0D18" w:rsidP="0021664A">
            <w:pPr>
              <w:jc w:val="center"/>
            </w:pPr>
            <w:r w:rsidRPr="00E95075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44311" w14:textId="394989CD" w:rsidR="005F20D5" w:rsidRPr="00E95075" w:rsidRDefault="00E95075" w:rsidP="009A115B">
            <w:r w:rsidRPr="00E95075">
              <w:rPr>
                <w:lang w:val="en-US"/>
              </w:rPr>
              <w:t>Servis Arabası Tekeri </w:t>
            </w:r>
            <w:r w:rsidRPr="00E95075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DE182" w14:textId="6F208F25" w:rsidR="005F20D5" w:rsidRPr="00E95075" w:rsidRDefault="00FB4EBA" w:rsidP="0021664A">
            <w:pPr>
              <w:jc w:val="center"/>
            </w:pPr>
            <w:r w:rsidRPr="00E95075">
              <w:t>комплект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D4C79" w14:textId="77777777" w:rsidR="00E95075" w:rsidRPr="00E95075" w:rsidRDefault="00E95075" w:rsidP="00E95075">
            <w:pPr>
              <w:rPr>
                <w:lang w:val="en-US"/>
              </w:rPr>
            </w:pPr>
            <w:r w:rsidRPr="00E95075">
              <w:rPr>
                <w:lang w:val="en-US"/>
              </w:rPr>
              <w:t>Servis Arabası Tekeri (TEKER 125X32)</w:t>
            </w:r>
          </w:p>
          <w:p w14:paraId="71F959C4" w14:textId="3D77455E" w:rsidR="005F20D5" w:rsidRPr="00077A87" w:rsidRDefault="00077A87" w:rsidP="0021664A">
            <w:pPr>
              <w:rPr>
                <w:lang w:val="en-US"/>
              </w:rPr>
            </w:pPr>
            <w:hyperlink r:id="rId6" w:history="1">
              <w:r w:rsidRPr="00A21250">
                <w:rPr>
                  <w:rStyle w:val="a7"/>
                  <w:lang w:val="en-US"/>
                </w:rPr>
                <w:t>https://tektiklamutfa</w:t>
              </w:r>
              <w:r w:rsidRPr="00A21250">
                <w:rPr>
                  <w:rStyle w:val="a7"/>
                  <w:lang w:val="en-US"/>
                </w:rPr>
                <w:t>k</w:t>
              </w:r>
              <w:r w:rsidRPr="00A21250">
                <w:rPr>
                  <w:rStyle w:val="a7"/>
                  <w:lang w:val="en-US"/>
                </w:rPr>
                <w:t>.com/servis-arabasi-tekeri?utm_medium=organic&amp;utm_source=yandexsmartcamera</w:t>
              </w:r>
            </w:hyperlink>
            <w:r w:rsidRPr="00077A87">
              <w:rPr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9F6E" w14:textId="00692F7F" w:rsidR="005F20D5" w:rsidRPr="00E95075" w:rsidRDefault="00E95075" w:rsidP="0021664A">
            <w:pPr>
              <w:jc w:val="center"/>
              <w:rPr>
                <w:lang w:val="en-US"/>
              </w:rPr>
            </w:pPr>
            <w:r w:rsidRPr="00E95075">
              <w:rPr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EFBD" w14:textId="0D17F9F8" w:rsidR="005F20D5" w:rsidRPr="00E95075" w:rsidRDefault="003E3B1D" w:rsidP="0021664A">
            <w:pPr>
              <w:jc w:val="center"/>
            </w:pPr>
            <w:r w:rsidRPr="00E95075">
              <w:t>нет</w:t>
            </w:r>
          </w:p>
        </w:tc>
      </w:tr>
      <w:tr w:rsidR="003E3B1D" w:rsidRPr="00E95075" w14:paraId="4217C351" w14:textId="77777777" w:rsidTr="005F20D5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D22F" w14:textId="17A44592" w:rsidR="003E3B1D" w:rsidRPr="00E95075" w:rsidRDefault="003E3B1D" w:rsidP="0021664A">
            <w:pPr>
              <w:jc w:val="center"/>
            </w:pPr>
            <w:r w:rsidRPr="00E95075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2DB0E" w14:textId="47E87E56" w:rsidR="00E95075" w:rsidRPr="00E95075" w:rsidRDefault="00E95075" w:rsidP="00E95075">
            <w:r w:rsidRPr="00E95075">
              <w:t xml:space="preserve">Колеса для офисного кресла </w:t>
            </w:r>
          </w:p>
          <w:p w14:paraId="3FEBFA50" w14:textId="553853B7" w:rsidR="003E3B1D" w:rsidRPr="00E95075" w:rsidRDefault="003E3B1D" w:rsidP="009A115B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EB377" w14:textId="51F05A59" w:rsidR="003E3B1D" w:rsidRPr="00E95075" w:rsidRDefault="00E95075" w:rsidP="0021664A">
            <w:pPr>
              <w:jc w:val="center"/>
            </w:pPr>
            <w:r w:rsidRPr="00E95075">
              <w:t>комплект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33B514" w14:textId="374751BD" w:rsidR="00E95075" w:rsidRPr="00E95075" w:rsidRDefault="00E95075" w:rsidP="00E95075">
            <w:r w:rsidRPr="00E95075">
              <w:t>Колеса для офисного кресла бесшумные силиконовые</w:t>
            </w:r>
            <w:r w:rsidR="00240577">
              <w:t xml:space="preserve"> 75 мм</w:t>
            </w:r>
          </w:p>
          <w:p w14:paraId="1267C55C" w14:textId="1C8D83BA" w:rsidR="003E3B1D" w:rsidRPr="00E95075" w:rsidRDefault="00077A87" w:rsidP="009A115B">
            <w:hyperlink r:id="rId7" w:history="1">
              <w:r w:rsidRPr="00A21250">
                <w:rPr>
                  <w:rStyle w:val="a7"/>
                </w:rPr>
                <w:t>https://www.ozon.ru/product/mebelnoe-koleso-4547635925/?at=QktJpkjA3cj4wO0qUN8yk4QixkBNNlFoVBrzltQEMlwx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07D4" w14:textId="448F0747" w:rsidR="003E3B1D" w:rsidRPr="00E95075" w:rsidRDefault="00E95075" w:rsidP="0021664A">
            <w:pPr>
              <w:jc w:val="center"/>
            </w:pPr>
            <w:r w:rsidRPr="00E95075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2CB3" w14:textId="5E860308" w:rsidR="003E3B1D" w:rsidRPr="00E95075" w:rsidRDefault="003E3B1D" w:rsidP="0021664A">
            <w:pPr>
              <w:jc w:val="center"/>
            </w:pPr>
            <w:r w:rsidRPr="00E95075">
              <w:t>нет</w:t>
            </w:r>
          </w:p>
        </w:tc>
      </w:tr>
    </w:tbl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077A87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077A87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9735298" w:rsidR="00E83D43" w:rsidRPr="003A21B2" w:rsidRDefault="00E83D43" w:rsidP="00077A87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C0D18">
        <w:rPr>
          <w:rFonts w:ascii="Times New Roman" w:eastAsia="Calibri" w:hAnsi="Times New Roman" w:cs="Times New Roman"/>
          <w:sz w:val="24"/>
          <w:szCs w:val="24"/>
        </w:rPr>
        <w:t>10</w:t>
      </w:r>
      <w:r w:rsidR="00D864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0D18">
        <w:rPr>
          <w:rFonts w:ascii="Times New Roman" w:eastAsia="Calibri" w:hAnsi="Times New Roman" w:cs="Times New Roman"/>
          <w:sz w:val="24"/>
          <w:szCs w:val="24"/>
        </w:rPr>
        <w:t xml:space="preserve">рабочих </w:t>
      </w:r>
      <w:r w:rsidR="00D864AC">
        <w:rPr>
          <w:rFonts w:ascii="Times New Roman" w:eastAsia="Calibri" w:hAnsi="Times New Roman" w:cs="Times New Roman"/>
          <w:sz w:val="24"/>
          <w:szCs w:val="24"/>
        </w:rPr>
        <w:t>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077A87">
      <w:pPr>
        <w:pStyle w:val="Footnote"/>
        <w:jc w:val="both"/>
        <w:rPr>
          <w:sz w:val="24"/>
          <w:szCs w:val="24"/>
        </w:rPr>
      </w:pPr>
    </w:p>
    <w:p w14:paraId="42E64128" w14:textId="128DDD4C" w:rsidR="002511D4" w:rsidRPr="008C2A11" w:rsidRDefault="002511D4" w:rsidP="00077A87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2A11">
        <w:rPr>
          <w:rFonts w:ascii="Times New Roman" w:eastAsia="Calibri" w:hAnsi="Times New Roman" w:cs="Times New Roman"/>
          <w:b/>
          <w:sz w:val="24"/>
          <w:szCs w:val="24"/>
        </w:rPr>
        <w:t>Общие сведен</w:t>
      </w:r>
      <w:r w:rsidR="00737443" w:rsidRPr="008C2A11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8C2A11">
        <w:rPr>
          <w:rFonts w:ascii="Times New Roman" w:eastAsia="Calibri" w:hAnsi="Times New Roman" w:cs="Times New Roman"/>
          <w:b/>
          <w:sz w:val="24"/>
          <w:szCs w:val="24"/>
        </w:rPr>
        <w:t>я</w:t>
      </w:r>
    </w:p>
    <w:p w14:paraId="165E6D35" w14:textId="5502E82D" w:rsidR="002511D4" w:rsidRPr="00E83D43" w:rsidRDefault="002511D4" w:rsidP="00077A8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077A8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077A87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077A87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077A8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077A8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077A87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077A87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077A8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077A87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077A87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Default="002511D4" w:rsidP="00077A8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077A87">
      <w:pPr>
        <w:jc w:val="both"/>
        <w:rPr>
          <w:rFonts w:eastAsia="Calibri"/>
        </w:rPr>
      </w:pPr>
    </w:p>
    <w:p w14:paraId="313750CF" w14:textId="77777777" w:rsidR="002511D4" w:rsidRPr="003A21B2" w:rsidRDefault="002511D4" w:rsidP="00077A87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50E83F73" w:rsidR="002511D4" w:rsidRPr="003A21B2" w:rsidRDefault="002511D4" w:rsidP="00077A8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рампы</w:t>
      </w:r>
      <w:r w:rsidR="008C2A11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A11">
        <w:rPr>
          <w:rFonts w:ascii="Times New Roman" w:eastAsia="Calibri" w:hAnsi="Times New Roman" w:cs="Times New Roman"/>
          <w:sz w:val="24"/>
          <w:szCs w:val="24"/>
        </w:rPr>
        <w:t>110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077A87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Default="002511D4" w:rsidP="00077A87">
      <w:pPr>
        <w:pStyle w:val="a3"/>
        <w:spacing w:after="0" w:line="240" w:lineRule="auto"/>
        <w:ind w:left="10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BDCA65" w14:textId="77777777" w:rsidR="00BE000D" w:rsidRDefault="00BE000D" w:rsidP="00077A87">
      <w:pPr>
        <w:pStyle w:val="a3"/>
        <w:spacing w:after="0" w:line="240" w:lineRule="auto"/>
        <w:ind w:left="10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7B59CF" w14:textId="77777777" w:rsidR="009C45D4" w:rsidRDefault="009C45D4" w:rsidP="00077A87">
      <w:pPr>
        <w:ind w:left="360"/>
        <w:jc w:val="both"/>
        <w:rPr>
          <w:rFonts w:eastAsia="Calibri"/>
          <w:lang w:eastAsia="en-US"/>
        </w:rPr>
      </w:pPr>
    </w:p>
    <w:p w14:paraId="0C56063E" w14:textId="77777777" w:rsidR="005A5641" w:rsidRDefault="005A5641" w:rsidP="00077A87">
      <w:pPr>
        <w:ind w:left="360"/>
        <w:jc w:val="both"/>
        <w:rPr>
          <w:rFonts w:eastAsia="Calibri"/>
          <w:lang w:eastAsia="en-US"/>
        </w:rPr>
      </w:pPr>
    </w:p>
    <w:p w14:paraId="60B9D90D" w14:textId="77777777" w:rsidR="005A5641" w:rsidRDefault="005A5641" w:rsidP="00077A87">
      <w:pPr>
        <w:ind w:left="360"/>
        <w:jc w:val="both"/>
        <w:rPr>
          <w:rFonts w:eastAsia="Calibri"/>
          <w:lang w:eastAsia="en-US"/>
        </w:rPr>
      </w:pPr>
    </w:p>
    <w:p w14:paraId="327485C2" w14:textId="77777777" w:rsidR="005A5641" w:rsidRDefault="005A5641" w:rsidP="00077A87">
      <w:pPr>
        <w:ind w:left="360"/>
        <w:jc w:val="both"/>
        <w:rPr>
          <w:rFonts w:eastAsia="Calibri"/>
          <w:lang w:eastAsia="en-US"/>
        </w:rPr>
      </w:pPr>
    </w:p>
    <w:p w14:paraId="0F5FB13E" w14:textId="485542D8" w:rsidR="005A5641" w:rsidRPr="005A5641" w:rsidRDefault="005A5641" w:rsidP="00077A87">
      <w:pPr>
        <w:ind w:left="360"/>
        <w:jc w:val="both"/>
        <w:rPr>
          <w:rFonts w:eastAsia="Calibri"/>
          <w:lang w:eastAsia="en-US"/>
        </w:rPr>
      </w:pPr>
    </w:p>
    <w:sectPr w:rsidR="005A5641" w:rsidRPr="005A5641" w:rsidSect="00B203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A797D93"/>
    <w:multiLevelType w:val="hybridMultilevel"/>
    <w:tmpl w:val="CF58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4A10"/>
    <w:multiLevelType w:val="hybridMultilevel"/>
    <w:tmpl w:val="63CE3D82"/>
    <w:lvl w:ilvl="0" w:tplc="852EB864">
      <w:start w:val="2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577983750">
    <w:abstractNumId w:val="4"/>
  </w:num>
  <w:num w:numId="2" w16cid:durableId="1177499830">
    <w:abstractNumId w:val="5"/>
  </w:num>
  <w:num w:numId="3" w16cid:durableId="315307298">
    <w:abstractNumId w:val="3"/>
  </w:num>
  <w:num w:numId="4" w16cid:durableId="101800332">
    <w:abstractNumId w:val="6"/>
  </w:num>
  <w:num w:numId="5" w16cid:durableId="360715613">
    <w:abstractNumId w:val="0"/>
  </w:num>
  <w:num w:numId="6" w16cid:durableId="1169828189">
    <w:abstractNumId w:val="7"/>
  </w:num>
  <w:num w:numId="7" w16cid:durableId="1508592609">
    <w:abstractNumId w:val="1"/>
  </w:num>
  <w:num w:numId="8" w16cid:durableId="834419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24C83"/>
    <w:rsid w:val="00043DF5"/>
    <w:rsid w:val="00077A87"/>
    <w:rsid w:val="000A54F3"/>
    <w:rsid w:val="000D109E"/>
    <w:rsid w:val="00122A7C"/>
    <w:rsid w:val="001737FA"/>
    <w:rsid w:val="001A31E7"/>
    <w:rsid w:val="001E23BB"/>
    <w:rsid w:val="00240577"/>
    <w:rsid w:val="002511D4"/>
    <w:rsid w:val="00253C68"/>
    <w:rsid w:val="00283F89"/>
    <w:rsid w:val="002A4FD0"/>
    <w:rsid w:val="002C15D7"/>
    <w:rsid w:val="002E5836"/>
    <w:rsid w:val="003A21B2"/>
    <w:rsid w:val="003C615F"/>
    <w:rsid w:val="003E07EB"/>
    <w:rsid w:val="003E3B1D"/>
    <w:rsid w:val="003F1E0C"/>
    <w:rsid w:val="003F4D82"/>
    <w:rsid w:val="004432A9"/>
    <w:rsid w:val="00481514"/>
    <w:rsid w:val="00486C37"/>
    <w:rsid w:val="0049583B"/>
    <w:rsid w:val="004D09B2"/>
    <w:rsid w:val="00505173"/>
    <w:rsid w:val="005559A9"/>
    <w:rsid w:val="0056710F"/>
    <w:rsid w:val="00575404"/>
    <w:rsid w:val="00583223"/>
    <w:rsid w:val="00595E75"/>
    <w:rsid w:val="00596C97"/>
    <w:rsid w:val="005A5641"/>
    <w:rsid w:val="005E702B"/>
    <w:rsid w:val="005F20D5"/>
    <w:rsid w:val="005F4A6B"/>
    <w:rsid w:val="00630570"/>
    <w:rsid w:val="00655A41"/>
    <w:rsid w:val="006C31F1"/>
    <w:rsid w:val="006D404F"/>
    <w:rsid w:val="00707368"/>
    <w:rsid w:val="007265C8"/>
    <w:rsid w:val="00732FE3"/>
    <w:rsid w:val="00733A75"/>
    <w:rsid w:val="00737443"/>
    <w:rsid w:val="00781CA8"/>
    <w:rsid w:val="007A217A"/>
    <w:rsid w:val="007C6C35"/>
    <w:rsid w:val="007E5A6C"/>
    <w:rsid w:val="008369A1"/>
    <w:rsid w:val="00842E99"/>
    <w:rsid w:val="008C2A11"/>
    <w:rsid w:val="008D14BE"/>
    <w:rsid w:val="008E1437"/>
    <w:rsid w:val="00931E56"/>
    <w:rsid w:val="00970692"/>
    <w:rsid w:val="009A115B"/>
    <w:rsid w:val="009A4D42"/>
    <w:rsid w:val="009C0CF0"/>
    <w:rsid w:val="009C0D18"/>
    <w:rsid w:val="009C45D4"/>
    <w:rsid w:val="009E2B0B"/>
    <w:rsid w:val="009F668F"/>
    <w:rsid w:val="00A17BFF"/>
    <w:rsid w:val="00A67AF0"/>
    <w:rsid w:val="00A8078D"/>
    <w:rsid w:val="00A842B9"/>
    <w:rsid w:val="00AB6B24"/>
    <w:rsid w:val="00AC32F5"/>
    <w:rsid w:val="00AD041A"/>
    <w:rsid w:val="00AD3099"/>
    <w:rsid w:val="00AF65BB"/>
    <w:rsid w:val="00B203B0"/>
    <w:rsid w:val="00B212E6"/>
    <w:rsid w:val="00B443F2"/>
    <w:rsid w:val="00B508CC"/>
    <w:rsid w:val="00B9016D"/>
    <w:rsid w:val="00BC45A3"/>
    <w:rsid w:val="00BE000D"/>
    <w:rsid w:val="00C03FD8"/>
    <w:rsid w:val="00C2599F"/>
    <w:rsid w:val="00C27270"/>
    <w:rsid w:val="00C47F53"/>
    <w:rsid w:val="00C765CD"/>
    <w:rsid w:val="00C819FC"/>
    <w:rsid w:val="00C91882"/>
    <w:rsid w:val="00CE5A99"/>
    <w:rsid w:val="00D21BA2"/>
    <w:rsid w:val="00D368EE"/>
    <w:rsid w:val="00D43022"/>
    <w:rsid w:val="00D71E93"/>
    <w:rsid w:val="00D864AC"/>
    <w:rsid w:val="00DA4EED"/>
    <w:rsid w:val="00E421EF"/>
    <w:rsid w:val="00E5678A"/>
    <w:rsid w:val="00E83D43"/>
    <w:rsid w:val="00E95075"/>
    <w:rsid w:val="00EA3CCD"/>
    <w:rsid w:val="00ED0113"/>
    <w:rsid w:val="00ED5372"/>
    <w:rsid w:val="00EF333A"/>
    <w:rsid w:val="00F47082"/>
    <w:rsid w:val="00F63B1E"/>
    <w:rsid w:val="00F83A29"/>
    <w:rsid w:val="00F84475"/>
    <w:rsid w:val="00FB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024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zon.ru/product/mebelnoe-koleso-4547635925/?at=QktJpkjA3cj4wO0qUN8yk4QixkBNNlFoVBrzltQEMlw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ktiklamutfak.com/servis-arabasi-tekeri?utm_medium=organic&amp;utm_source=yandexsmartcamera" TargetMode="External"/><Relationship Id="rId5" Type="http://schemas.openxmlformats.org/officeDocument/2006/relationships/hyperlink" Target="https://www.ozon.ru/product/numatic-mebelnoe-koleso-1422465470/?reviewsVariantMode=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Керимова Сафие</cp:lastModifiedBy>
  <cp:revision>42</cp:revision>
  <cp:lastPrinted>2025-07-31T07:20:00Z</cp:lastPrinted>
  <dcterms:created xsi:type="dcterms:W3CDTF">2022-04-08T08:45:00Z</dcterms:created>
  <dcterms:modified xsi:type="dcterms:W3CDTF">2026-06-09T12:52:00Z</dcterms:modified>
</cp:coreProperties>
</file>