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CE8A1" w14:textId="77777777" w:rsidR="00EA34BF" w:rsidRPr="00327032" w:rsidRDefault="00EA34BF" w:rsidP="00EA34BF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27032">
        <w:rPr>
          <w:rFonts w:ascii="Times New Roman" w:hAnsi="Times New Roman" w:cs="Times New Roman"/>
          <w:b/>
          <w:sz w:val="20"/>
          <w:szCs w:val="20"/>
          <w:u w:val="single"/>
        </w:rPr>
        <w:t>Техническое задание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: </w:t>
      </w:r>
      <w:r w:rsidRPr="00152289">
        <w:rPr>
          <w:rFonts w:ascii="Times New Roman" w:hAnsi="Times New Roman" w:cs="Times New Roman"/>
          <w:b/>
          <w:sz w:val="20"/>
          <w:szCs w:val="20"/>
          <w:u w:val="single"/>
        </w:rPr>
        <w:t>Развертка корпоративной шины данных (C++ ESB, выведена из эксплуатации) — первый блок HRS-ERP</w:t>
      </w:r>
    </w:p>
    <w:p w14:paraId="2E353717" w14:textId="77777777" w:rsidR="00EA34BF" w:rsidRPr="00327032" w:rsidRDefault="00EA34BF" w:rsidP="00EA34BF">
      <w:pPr>
        <w:rPr>
          <w:rFonts w:ascii="Times New Roman" w:hAnsi="Times New Roman" w:cs="Times New Roman"/>
          <w:sz w:val="20"/>
          <w:szCs w:val="20"/>
        </w:rPr>
      </w:pPr>
      <w:r w:rsidRPr="00327032">
        <w:rPr>
          <w:rFonts w:ascii="Times New Roman" w:hAnsi="Times New Roman" w:cs="Times New Roman"/>
          <w:sz w:val="20"/>
          <w:szCs w:val="20"/>
        </w:rPr>
        <w:tab/>
      </w:r>
      <w:r w:rsidRPr="00327032">
        <w:rPr>
          <w:rFonts w:ascii="Times New Roman" w:hAnsi="Times New Roman" w:cs="Times New Roman"/>
          <w:sz w:val="20"/>
          <w:szCs w:val="20"/>
        </w:rPr>
        <w:tab/>
      </w:r>
      <w:r w:rsidRPr="00327032">
        <w:rPr>
          <w:rFonts w:ascii="Times New Roman" w:hAnsi="Times New Roman" w:cs="Times New Roman"/>
          <w:sz w:val="20"/>
          <w:szCs w:val="20"/>
        </w:rPr>
        <w:tab/>
      </w:r>
      <w:r w:rsidRPr="00327032">
        <w:rPr>
          <w:rFonts w:ascii="Times New Roman" w:hAnsi="Times New Roman" w:cs="Times New Roman"/>
          <w:sz w:val="20"/>
          <w:szCs w:val="20"/>
        </w:rPr>
        <w:tab/>
      </w:r>
      <w:r w:rsidRPr="00327032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</w:t>
      </w:r>
    </w:p>
    <w:tbl>
      <w:tblPr>
        <w:tblStyle w:val="ac"/>
        <w:tblW w:w="10546" w:type="dxa"/>
        <w:tblInd w:w="-998" w:type="dxa"/>
        <w:tblLook w:val="04A0" w:firstRow="1" w:lastRow="0" w:firstColumn="1" w:lastColumn="0" w:noHBand="0" w:noVBand="1"/>
      </w:tblPr>
      <w:tblGrid>
        <w:gridCol w:w="1778"/>
        <w:gridCol w:w="3014"/>
        <w:gridCol w:w="3558"/>
        <w:gridCol w:w="2196"/>
      </w:tblGrid>
      <w:tr w:rsidR="00EA34BF" w14:paraId="3E92988C" w14:textId="77777777" w:rsidTr="00EA34BF">
        <w:tc>
          <w:tcPr>
            <w:tcW w:w="1778" w:type="dxa"/>
          </w:tcPr>
          <w:p w14:paraId="4A8F3596" w14:textId="77777777" w:rsidR="00EA34BF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Блок</w:t>
            </w:r>
          </w:p>
        </w:tc>
        <w:tc>
          <w:tcPr>
            <w:tcW w:w="3014" w:type="dxa"/>
          </w:tcPr>
          <w:p w14:paraId="7307993A" w14:textId="044830BA" w:rsidR="00EA34BF" w:rsidRDefault="00735BD9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</w:t>
            </w:r>
          </w:p>
        </w:tc>
        <w:tc>
          <w:tcPr>
            <w:tcW w:w="3558" w:type="dxa"/>
          </w:tcPr>
          <w:p w14:paraId="058E28D4" w14:textId="50DF5414" w:rsidR="00EA34BF" w:rsidRDefault="00735BD9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2196" w:type="dxa"/>
          </w:tcPr>
          <w:p w14:paraId="39C11014" w14:textId="3A728473" w:rsidR="00EA34BF" w:rsidRDefault="00735BD9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обработки (ч/д)</w:t>
            </w:r>
          </w:p>
        </w:tc>
      </w:tr>
      <w:tr w:rsidR="00EA34BF" w14:paraId="4A6494D4" w14:textId="77777777" w:rsidTr="00EA34BF">
        <w:tc>
          <w:tcPr>
            <w:tcW w:w="1778" w:type="dxa"/>
          </w:tcPr>
          <w:p w14:paraId="18F2FF10" w14:textId="77777777" w:rsidR="00EA34BF" w:rsidRPr="00AE288F" w:rsidRDefault="00EA34BF" w:rsidP="00EA34BF">
            <w:pPr>
              <w:pStyle w:val="a7"/>
              <w:numPr>
                <w:ilvl w:val="0"/>
                <w:numId w:val="1"/>
              </w:numPr>
              <w:spacing w:line="240" w:lineRule="auto"/>
              <w:ind w:left="306" w:hanging="284"/>
              <w:jc w:val="both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AE288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Инициация</w:t>
            </w:r>
          </w:p>
        </w:tc>
        <w:tc>
          <w:tcPr>
            <w:tcW w:w="3014" w:type="dxa"/>
          </w:tcPr>
          <w:p w14:paraId="3D2FD83D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Аудит интеграций по всему ландшафту 100+ интеграций</w:t>
            </w:r>
          </w:p>
        </w:tc>
        <w:tc>
          <w:tcPr>
            <w:tcW w:w="3558" w:type="dxa"/>
          </w:tcPr>
          <w:p w14:paraId="6F876450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Единый реестр интеграций: владельцы, зависимости, статусы, риски</w:t>
            </w:r>
          </w:p>
        </w:tc>
        <w:tc>
          <w:tcPr>
            <w:tcW w:w="2196" w:type="dxa"/>
            <w:vAlign w:val="center"/>
          </w:tcPr>
          <w:p w14:paraId="38204E32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34BF" w14:paraId="2BCFF75E" w14:textId="77777777" w:rsidTr="00EA34BF">
        <w:tc>
          <w:tcPr>
            <w:tcW w:w="1778" w:type="dxa"/>
          </w:tcPr>
          <w:p w14:paraId="0FAE597E" w14:textId="77777777" w:rsidR="00EA34BF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14:paraId="2EABED66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Обследование выведенной из эксплуатации C++ шины (реверс-инжиниринг верхнего уровня)</w:t>
            </w:r>
          </w:p>
        </w:tc>
        <w:tc>
          <w:tcPr>
            <w:tcW w:w="3558" w:type="dxa"/>
          </w:tcPr>
          <w:p w14:paraId="14BF257E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Инвентаризация по коду/конфигам/артефактам (рабочего экземпляра в проде нет): функции, REST-контракты, внешние зависимости (БД, очереди, библиотеки), конфигурации</w:t>
            </w:r>
          </w:p>
        </w:tc>
        <w:tc>
          <w:tcPr>
            <w:tcW w:w="2196" w:type="dxa"/>
            <w:vAlign w:val="center"/>
          </w:tcPr>
          <w:p w14:paraId="040E1889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A34BF" w14:paraId="054CCA30" w14:textId="77777777" w:rsidTr="00EA34BF">
        <w:tc>
          <w:tcPr>
            <w:tcW w:w="1778" w:type="dxa"/>
          </w:tcPr>
          <w:p w14:paraId="6451A272" w14:textId="77777777" w:rsidR="00EA34BF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14:paraId="2AD1CC54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 xml:space="preserve">Оценка последствий простоя шины и риска </w:t>
            </w:r>
            <w:proofErr w:type="spellStart"/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невосстановимости</w:t>
            </w:r>
            <w:proofErr w:type="spellEnd"/>
          </w:p>
        </w:tc>
        <w:tc>
          <w:tcPr>
            <w:tcW w:w="3558" w:type="dxa"/>
          </w:tcPr>
          <w:p w14:paraId="4D986EFB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 xml:space="preserve">Эффект остановленных интеграций; </w:t>
            </w:r>
            <w:proofErr w:type="spellStart"/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bus-factor</w:t>
            </w:r>
            <w:proofErr w:type="spellEnd"/>
            <w:r w:rsidRPr="00152289">
              <w:rPr>
                <w:rFonts w:ascii="Times New Roman" w:hAnsi="Times New Roman" w:cs="Times New Roman"/>
                <w:sz w:val="20"/>
                <w:szCs w:val="20"/>
              </w:rPr>
              <w:t xml:space="preserve"> (компетенция утрачена); риск, что поведение шины не восстановимо из кода/исторических данных</w:t>
            </w:r>
          </w:p>
        </w:tc>
        <w:tc>
          <w:tcPr>
            <w:tcW w:w="2196" w:type="dxa"/>
            <w:vAlign w:val="center"/>
          </w:tcPr>
          <w:p w14:paraId="6BE6836C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A34BF" w14:paraId="21E6B342" w14:textId="77777777" w:rsidTr="00EA34BF">
        <w:tc>
          <w:tcPr>
            <w:tcW w:w="1778" w:type="dxa"/>
          </w:tcPr>
          <w:p w14:paraId="6DF541F7" w14:textId="77777777" w:rsidR="00EA34BF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14:paraId="74F09936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Анализ интеграций и проектов, остановленных из-за отсутствия шины</w:t>
            </w:r>
          </w:p>
        </w:tc>
        <w:tc>
          <w:tcPr>
            <w:tcW w:w="3558" w:type="dxa"/>
          </w:tcPr>
          <w:p w14:paraId="4D32AFD1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Перечень заблокированных инициатив и эффект от их разблокировки</w:t>
            </w:r>
          </w:p>
        </w:tc>
        <w:tc>
          <w:tcPr>
            <w:tcW w:w="2196" w:type="dxa"/>
            <w:vAlign w:val="center"/>
          </w:tcPr>
          <w:p w14:paraId="2C8FC0DD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A34BF" w14:paraId="12F4EDB7" w14:textId="77777777" w:rsidTr="00EA34BF">
        <w:tc>
          <w:tcPr>
            <w:tcW w:w="1778" w:type="dxa"/>
          </w:tcPr>
          <w:p w14:paraId="2A779DB4" w14:textId="77777777" w:rsidR="00EA34BF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14:paraId="49E9DB1B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Проработка вариантов: рефакторинг C++ / полное переписывание / готовая ESB</w:t>
            </w:r>
          </w:p>
        </w:tc>
        <w:tc>
          <w:tcPr>
            <w:tcW w:w="3558" w:type="dxa"/>
          </w:tcPr>
          <w:p w14:paraId="2B87770C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Сравнение вариантов по TCO, срокам, рискам и доступности компетенций; рекомендуемый целевой стек/платформа для фиксации на арх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итектурном </w:t>
            </w: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комитете</w:t>
            </w:r>
          </w:p>
        </w:tc>
        <w:tc>
          <w:tcPr>
            <w:tcW w:w="2196" w:type="dxa"/>
            <w:vAlign w:val="center"/>
          </w:tcPr>
          <w:p w14:paraId="06EED1D8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A34BF" w14:paraId="0407564F" w14:textId="77777777" w:rsidTr="00EA34BF">
        <w:tc>
          <w:tcPr>
            <w:tcW w:w="1778" w:type="dxa"/>
          </w:tcPr>
          <w:p w14:paraId="59503954" w14:textId="77777777" w:rsidR="00EA34BF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14:paraId="75B44007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 xml:space="preserve">Реверс-инжиниринг маршрутов для </w:t>
            </w:r>
            <w:proofErr w:type="spellStart"/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PoC</w:t>
            </w:r>
            <w:proofErr w:type="spellEnd"/>
          </w:p>
        </w:tc>
        <w:tc>
          <w:tcPr>
            <w:tcW w:w="3558" w:type="dxa"/>
          </w:tcPr>
          <w:p w14:paraId="1F0937B1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Для 1–2 представительных маршрутов из кода: восстановленные контракт, трансформации, маршрутизация, схема аутентификации, сценарии ошибок</w:t>
            </w:r>
          </w:p>
        </w:tc>
        <w:tc>
          <w:tcPr>
            <w:tcW w:w="2196" w:type="dxa"/>
            <w:vAlign w:val="center"/>
          </w:tcPr>
          <w:p w14:paraId="3FAA518D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A34BF" w14:paraId="4CD71AFD" w14:textId="77777777" w:rsidTr="00EA34BF">
        <w:tc>
          <w:tcPr>
            <w:tcW w:w="1778" w:type="dxa"/>
          </w:tcPr>
          <w:p w14:paraId="2886BE23" w14:textId="77777777" w:rsidR="00EA34BF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14:paraId="54390959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 xml:space="preserve">Восстановление эталона поведения для маршрутов </w:t>
            </w:r>
            <w:proofErr w:type="spellStart"/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PoC</w:t>
            </w:r>
            <w:proofErr w:type="spellEnd"/>
            <w:r w:rsidRPr="00152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58" w:type="dxa"/>
          </w:tcPr>
          <w:p w14:paraId="2B2883DC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Оценка возможности собрать и запустить старую шину в изолированном контуре; при возможности — снятие эталона запуском, иначе восстановление из кода + исторических образцов сообщений со сверкой у владельцев HRS/ERP</w:t>
            </w:r>
          </w:p>
        </w:tc>
        <w:tc>
          <w:tcPr>
            <w:tcW w:w="2196" w:type="dxa"/>
            <w:vAlign w:val="center"/>
          </w:tcPr>
          <w:p w14:paraId="4C57514F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A34BF" w14:paraId="68B12CD5" w14:textId="77777777" w:rsidTr="00EA34BF">
        <w:tc>
          <w:tcPr>
            <w:tcW w:w="1778" w:type="dxa"/>
          </w:tcPr>
          <w:p w14:paraId="73334D33" w14:textId="77777777" w:rsidR="00EA34BF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14:paraId="12258FF2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технического </w:t>
            </w:r>
            <w:proofErr w:type="spellStart"/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PoC</w:t>
            </w:r>
            <w:proofErr w:type="spellEnd"/>
          </w:p>
        </w:tc>
        <w:tc>
          <w:tcPr>
            <w:tcW w:w="3558" w:type="dxa"/>
          </w:tcPr>
          <w:p w14:paraId="460FF87A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 xml:space="preserve">Воспроизведение контракта и аутентификации на кандидатном стеке; трансформация и сценарий ошибки; паритет с восстановленным эталоном; грубая проверка производительности. Код </w:t>
            </w:r>
            <w:proofErr w:type="spellStart"/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PoC</w:t>
            </w:r>
            <w:proofErr w:type="spellEnd"/>
            <w:r w:rsidRPr="00152289">
              <w:rPr>
                <w:rFonts w:ascii="Times New Roman" w:hAnsi="Times New Roman" w:cs="Times New Roman"/>
                <w:sz w:val="20"/>
                <w:szCs w:val="20"/>
              </w:rPr>
              <w:t xml:space="preserve"> выбрасывается, в прод не переходит</w:t>
            </w:r>
          </w:p>
        </w:tc>
        <w:tc>
          <w:tcPr>
            <w:tcW w:w="2196" w:type="dxa"/>
            <w:vAlign w:val="center"/>
          </w:tcPr>
          <w:p w14:paraId="6DBC37AF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A34BF" w14:paraId="5EB9F864" w14:textId="77777777" w:rsidTr="00EA34BF">
        <w:tc>
          <w:tcPr>
            <w:tcW w:w="1778" w:type="dxa"/>
          </w:tcPr>
          <w:p w14:paraId="7011D5BF" w14:textId="77777777" w:rsidR="00EA34BF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14:paraId="7741EF94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 xml:space="preserve">Отчёт по </w:t>
            </w:r>
            <w:proofErr w:type="spellStart"/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PoC</w:t>
            </w:r>
            <w:proofErr w:type="spellEnd"/>
            <w:r w:rsidRPr="00152289">
              <w:rPr>
                <w:rFonts w:ascii="Times New Roman" w:hAnsi="Times New Roman" w:cs="Times New Roman"/>
                <w:sz w:val="20"/>
                <w:szCs w:val="20"/>
              </w:rPr>
              <w:t xml:space="preserve"> — доказательная база для </w:t>
            </w:r>
            <w:proofErr w:type="spellStart"/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архкомитета</w:t>
            </w:r>
            <w:proofErr w:type="spellEnd"/>
            <w:r w:rsidRPr="00152289">
              <w:rPr>
                <w:rFonts w:ascii="Times New Roman" w:hAnsi="Times New Roman" w:cs="Times New Roman"/>
                <w:sz w:val="20"/>
                <w:szCs w:val="20"/>
              </w:rPr>
              <w:t xml:space="preserve"> (артефакт защиты решения)</w:t>
            </w:r>
          </w:p>
        </w:tc>
        <w:tc>
          <w:tcPr>
            <w:tcW w:w="3558" w:type="dxa"/>
          </w:tcPr>
          <w:p w14:paraId="3790EFE3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 xml:space="preserve">Подтверждённые реализуемость, </w:t>
            </w:r>
            <w:proofErr w:type="spellStart"/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сопровождаемость</w:t>
            </w:r>
            <w:proofErr w:type="spellEnd"/>
            <w:r w:rsidRPr="00152289">
              <w:rPr>
                <w:rFonts w:ascii="Times New Roman" w:hAnsi="Times New Roman" w:cs="Times New Roman"/>
                <w:sz w:val="20"/>
                <w:szCs w:val="20"/>
              </w:rPr>
              <w:t xml:space="preserve"> и применимость метода реверс-инжиниринга; «подводные камни» скрытой логики; уточнённая оценка трудоёмкости; обоснование стека</w:t>
            </w:r>
          </w:p>
        </w:tc>
        <w:tc>
          <w:tcPr>
            <w:tcW w:w="2196" w:type="dxa"/>
            <w:vAlign w:val="center"/>
          </w:tcPr>
          <w:p w14:paraId="4E4F9954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A34BF" w14:paraId="7D408795" w14:textId="77777777" w:rsidTr="00EA34BF">
        <w:tc>
          <w:tcPr>
            <w:tcW w:w="1778" w:type="dxa"/>
          </w:tcPr>
          <w:p w14:paraId="1F7AFC1B" w14:textId="77777777" w:rsidR="00EA34BF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14:paraId="4C26613D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</w:t>
            </w:r>
            <w:proofErr w:type="spellStart"/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верхнеуровневых</w:t>
            </w:r>
            <w:proofErr w:type="spellEnd"/>
            <w:r w:rsidRPr="00152289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материалов для архитектурного комитета</w:t>
            </w:r>
          </w:p>
        </w:tc>
        <w:tc>
          <w:tcPr>
            <w:tcW w:w="3558" w:type="dxa"/>
          </w:tcPr>
          <w:p w14:paraId="776D3B4C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 xml:space="preserve">Пакет на согласование целевой архитектуры: решение по переписыванию, кандидатный стек, стратегия восстановления, результаты </w:t>
            </w:r>
            <w:proofErr w:type="spellStart"/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PoC</w:t>
            </w:r>
            <w:proofErr w:type="spellEnd"/>
          </w:p>
        </w:tc>
        <w:tc>
          <w:tcPr>
            <w:tcW w:w="2196" w:type="dxa"/>
            <w:vAlign w:val="center"/>
          </w:tcPr>
          <w:p w14:paraId="3488C028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A34BF" w14:paraId="1EBEDE52" w14:textId="77777777" w:rsidTr="00EA34BF">
        <w:tc>
          <w:tcPr>
            <w:tcW w:w="1778" w:type="dxa"/>
          </w:tcPr>
          <w:p w14:paraId="2F9E6327" w14:textId="77777777" w:rsidR="00EA34BF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14:paraId="6A4EAB1A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Защита инициативы и фиксация целевого стека на архитектурном комитете</w:t>
            </w:r>
          </w:p>
        </w:tc>
        <w:tc>
          <w:tcPr>
            <w:tcW w:w="3558" w:type="dxa"/>
          </w:tcPr>
          <w:p w14:paraId="6706FFC6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Положительное решение, утверждённый вариант переписывания и зафиксированный целевой стек/платформа; разрешение на старт проекта</w:t>
            </w:r>
          </w:p>
        </w:tc>
        <w:tc>
          <w:tcPr>
            <w:tcW w:w="2196" w:type="dxa"/>
            <w:vAlign w:val="center"/>
          </w:tcPr>
          <w:p w14:paraId="128F4E63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A34BF" w14:paraId="53222DC4" w14:textId="77777777" w:rsidTr="00EA34BF">
        <w:tc>
          <w:tcPr>
            <w:tcW w:w="8350" w:type="dxa"/>
            <w:gridSpan w:val="3"/>
          </w:tcPr>
          <w:p w14:paraId="1B63A5AA" w14:textId="77777777" w:rsidR="00EA34BF" w:rsidRPr="00A0563C" w:rsidRDefault="00EA34BF" w:rsidP="00044EB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этапу «1. Инициация»</w:t>
            </w:r>
          </w:p>
        </w:tc>
        <w:tc>
          <w:tcPr>
            <w:tcW w:w="2196" w:type="dxa"/>
          </w:tcPr>
          <w:p w14:paraId="58D7353C" w14:textId="77777777" w:rsidR="00EA34BF" w:rsidRPr="00A0563C" w:rsidRDefault="00EA34BF" w:rsidP="00044E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</w:tr>
      <w:tr w:rsidR="00EA34BF" w14:paraId="40742B86" w14:textId="77777777" w:rsidTr="00EA34BF">
        <w:tc>
          <w:tcPr>
            <w:tcW w:w="1778" w:type="dxa"/>
          </w:tcPr>
          <w:p w14:paraId="6142926A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152289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2. Планирование</w:t>
            </w:r>
          </w:p>
        </w:tc>
        <w:tc>
          <w:tcPr>
            <w:tcW w:w="3014" w:type="dxa"/>
          </w:tcPr>
          <w:p w14:paraId="51F7E105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Старт проекта</w:t>
            </w:r>
          </w:p>
        </w:tc>
        <w:tc>
          <w:tcPr>
            <w:tcW w:w="3558" w:type="dxa"/>
          </w:tcPr>
          <w:p w14:paraId="2D8067F7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Формальный старт, роли, коммуникации, контуры управления</w:t>
            </w:r>
          </w:p>
        </w:tc>
        <w:tc>
          <w:tcPr>
            <w:tcW w:w="2196" w:type="dxa"/>
            <w:vAlign w:val="center"/>
          </w:tcPr>
          <w:p w14:paraId="32213ED4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A34BF" w14:paraId="275A2A6D" w14:textId="77777777" w:rsidTr="00EA34BF">
        <w:tc>
          <w:tcPr>
            <w:tcW w:w="1778" w:type="dxa"/>
          </w:tcPr>
          <w:p w14:paraId="43B68BB8" w14:textId="77777777" w:rsidR="00EA34BF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14:paraId="4D1AFC17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Верхнеуровневое</w:t>
            </w:r>
            <w:proofErr w:type="spellEnd"/>
            <w:r w:rsidRPr="00152289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определение </w:t>
            </w:r>
            <w:proofErr w:type="spellStart"/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скоупа</w:t>
            </w:r>
            <w:proofErr w:type="spellEnd"/>
            <w:r w:rsidRPr="00152289">
              <w:rPr>
                <w:rFonts w:ascii="Times New Roman" w:hAnsi="Times New Roman" w:cs="Times New Roman"/>
                <w:sz w:val="20"/>
                <w:szCs w:val="20"/>
              </w:rPr>
              <w:t xml:space="preserve"> проекта</w:t>
            </w:r>
          </w:p>
        </w:tc>
        <w:tc>
          <w:tcPr>
            <w:tcW w:w="3558" w:type="dxa"/>
          </w:tcPr>
          <w:p w14:paraId="1F45EDED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Границы проекта: первый блок (HRS-ERP) + объём воспроизводимой логики выведенной из эксплуатации шины</w:t>
            </w:r>
          </w:p>
        </w:tc>
        <w:tc>
          <w:tcPr>
            <w:tcW w:w="2196" w:type="dxa"/>
            <w:vAlign w:val="center"/>
          </w:tcPr>
          <w:p w14:paraId="58C56255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A34BF" w14:paraId="1B243B36" w14:textId="77777777" w:rsidTr="00EA34BF">
        <w:tc>
          <w:tcPr>
            <w:tcW w:w="1778" w:type="dxa"/>
          </w:tcPr>
          <w:p w14:paraId="491A5F61" w14:textId="77777777" w:rsidR="00EA34BF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14:paraId="13C9E688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Оформление ADR по зафиксированному на арх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итектурном </w:t>
            </w: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комитете стеку</w:t>
            </w:r>
          </w:p>
        </w:tc>
        <w:tc>
          <w:tcPr>
            <w:tcW w:w="3558" w:type="dxa"/>
          </w:tcPr>
          <w:p w14:paraId="439D9E29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Документирование принятого комитетом решения по стеку/платформе и его обоснования (выбор уже сделан на этапе 1)</w:t>
            </w:r>
          </w:p>
        </w:tc>
        <w:tc>
          <w:tcPr>
            <w:tcW w:w="2196" w:type="dxa"/>
            <w:vAlign w:val="center"/>
          </w:tcPr>
          <w:p w14:paraId="10C971ED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A34BF" w14:paraId="3546B9CB" w14:textId="77777777" w:rsidTr="00EA34BF">
        <w:tc>
          <w:tcPr>
            <w:tcW w:w="1778" w:type="dxa"/>
          </w:tcPr>
          <w:p w14:paraId="58003D3D" w14:textId="77777777" w:rsidR="00EA34BF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14:paraId="1C3A36F6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Стратегия восстановления интеграций и ввода новой шины</w:t>
            </w:r>
          </w:p>
        </w:tc>
        <w:tc>
          <w:tcPr>
            <w:tcW w:w="3558" w:type="dxa"/>
          </w:tcPr>
          <w:p w14:paraId="005B4121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 xml:space="preserve">План ввода новой шины и (пере)подключения HRS/ERP; проверка на тестовом контуре; </w:t>
            </w:r>
            <w:proofErr w:type="spellStart"/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fallback</w:t>
            </w:r>
            <w:proofErr w:type="spellEnd"/>
            <w:r w:rsidRPr="00152289">
              <w:rPr>
                <w:rFonts w:ascii="Times New Roman" w:hAnsi="Times New Roman" w:cs="Times New Roman"/>
                <w:sz w:val="20"/>
                <w:szCs w:val="20"/>
              </w:rPr>
              <w:t xml:space="preserve"> на текущее промежуточное/ручное состояние. Зеркалирования боевого трафика нет — старая шина не работает</w:t>
            </w:r>
          </w:p>
        </w:tc>
        <w:tc>
          <w:tcPr>
            <w:tcW w:w="2196" w:type="dxa"/>
            <w:vAlign w:val="center"/>
          </w:tcPr>
          <w:p w14:paraId="47DE4696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A34BF" w14:paraId="7ABB4EF8" w14:textId="77777777" w:rsidTr="00EA34BF">
        <w:tc>
          <w:tcPr>
            <w:tcW w:w="1778" w:type="dxa"/>
          </w:tcPr>
          <w:p w14:paraId="755265AD" w14:textId="77777777" w:rsidR="00EA34BF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14:paraId="7513A23E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Фиксация целевых REST-контрактов как базовой линии</w:t>
            </w:r>
          </w:p>
        </w:tc>
        <w:tc>
          <w:tcPr>
            <w:tcW w:w="3558" w:type="dxa"/>
          </w:tcPr>
          <w:p w14:paraId="0D44233B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 xml:space="preserve">Каталог </w:t>
            </w:r>
            <w:proofErr w:type="spellStart"/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эндпоинтов</w:t>
            </w:r>
            <w:proofErr w:type="spellEnd"/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, схем сообщений, кодов ответов, заголовков, схем аутентификации (из реверс-инжиниринга) — контракт совместимости для систем-потребителей</w:t>
            </w:r>
          </w:p>
        </w:tc>
        <w:tc>
          <w:tcPr>
            <w:tcW w:w="2196" w:type="dxa"/>
            <w:vAlign w:val="center"/>
          </w:tcPr>
          <w:p w14:paraId="0A0847E8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A34BF" w14:paraId="2E4A8E73" w14:textId="77777777" w:rsidTr="00EA34BF">
        <w:tc>
          <w:tcPr>
            <w:tcW w:w="1778" w:type="dxa"/>
          </w:tcPr>
          <w:p w14:paraId="7ED16911" w14:textId="77777777" w:rsidR="00EA34BF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14:paraId="42B89D73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Проектирование и подготовка инфраструктуры</w:t>
            </w:r>
          </w:p>
        </w:tc>
        <w:tc>
          <w:tcPr>
            <w:tcW w:w="3558" w:type="dxa"/>
          </w:tcPr>
          <w:p w14:paraId="3F7D0A63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Архитектура новой ESB, среды (вкл. изолированный контур для эталона/</w:t>
            </w:r>
            <w:proofErr w:type="spellStart"/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replay</w:t>
            </w:r>
            <w:proofErr w:type="spellEnd"/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), доступы, требования к размещению</w:t>
            </w:r>
          </w:p>
        </w:tc>
        <w:tc>
          <w:tcPr>
            <w:tcW w:w="2196" w:type="dxa"/>
            <w:vAlign w:val="center"/>
          </w:tcPr>
          <w:p w14:paraId="3B0447FD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A34BF" w14:paraId="0C647B06" w14:textId="77777777" w:rsidTr="00EA34BF">
        <w:tc>
          <w:tcPr>
            <w:tcW w:w="1778" w:type="dxa"/>
          </w:tcPr>
          <w:p w14:paraId="7D47ADF0" w14:textId="77777777" w:rsidR="00EA34BF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14:paraId="41E8BA10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Подготовка плана первого блока</w:t>
            </w:r>
          </w:p>
        </w:tc>
        <w:tc>
          <w:tcPr>
            <w:tcW w:w="3558" w:type="dxa"/>
          </w:tcPr>
          <w:p w14:paraId="1836C49E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Дорожная карта, зависимости, контрольные точки, ответственные</w:t>
            </w:r>
          </w:p>
        </w:tc>
        <w:tc>
          <w:tcPr>
            <w:tcW w:w="2196" w:type="dxa"/>
            <w:vAlign w:val="center"/>
          </w:tcPr>
          <w:p w14:paraId="08219BD9" w14:textId="77777777" w:rsidR="00EA34BF" w:rsidRPr="00152289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A34BF" w14:paraId="3B1336E4" w14:textId="77777777" w:rsidTr="00EA34BF">
        <w:tc>
          <w:tcPr>
            <w:tcW w:w="8350" w:type="dxa"/>
            <w:gridSpan w:val="3"/>
          </w:tcPr>
          <w:p w14:paraId="05D04896" w14:textId="77777777" w:rsidR="00EA34BF" w:rsidRPr="00A0563C" w:rsidRDefault="00EA34BF" w:rsidP="00044EB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этапу «2. Планирование»</w:t>
            </w:r>
          </w:p>
        </w:tc>
        <w:tc>
          <w:tcPr>
            <w:tcW w:w="2196" w:type="dxa"/>
          </w:tcPr>
          <w:p w14:paraId="227D46D6" w14:textId="77777777" w:rsidR="00EA34BF" w:rsidRPr="00A0563C" w:rsidRDefault="00EA34BF" w:rsidP="00044E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EA34BF" w14:paraId="67EF2231" w14:textId="77777777" w:rsidTr="00EA34BF">
        <w:tc>
          <w:tcPr>
            <w:tcW w:w="1778" w:type="dxa"/>
          </w:tcPr>
          <w:p w14:paraId="6B2D96AD" w14:textId="77777777" w:rsidR="00EA34BF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5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3.Проектирование HRS-ERP</w:t>
            </w:r>
          </w:p>
        </w:tc>
        <w:tc>
          <w:tcPr>
            <w:tcW w:w="3014" w:type="dxa"/>
          </w:tcPr>
          <w:p w14:paraId="4EFA607C" w14:textId="77777777" w:rsidR="00EA34BF" w:rsidRPr="00C60453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53">
              <w:rPr>
                <w:rFonts w:ascii="Times New Roman" w:hAnsi="Times New Roman" w:cs="Times New Roman"/>
                <w:sz w:val="20"/>
                <w:szCs w:val="20"/>
              </w:rPr>
              <w:t xml:space="preserve">Полный реверс-инжиниринг блока HRS-ERP (метод валидирован на </w:t>
            </w:r>
            <w:proofErr w:type="spellStart"/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PoC</w:t>
            </w:r>
            <w:proofErr w:type="spellEnd"/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58" w:type="dxa"/>
          </w:tcPr>
          <w:p w14:paraId="765455C7" w14:textId="77777777" w:rsidR="00EA34BF" w:rsidRPr="00C60453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53">
              <w:rPr>
                <w:rFonts w:ascii="Times New Roman" w:hAnsi="Times New Roman" w:cs="Times New Roman"/>
                <w:sz w:val="20"/>
                <w:szCs w:val="20"/>
              </w:rPr>
              <w:t xml:space="preserve">Все маршруты, трансформации и сценарии ошибок блока, восстановленные из кода/конфигов проверенным на </w:t>
            </w:r>
            <w:proofErr w:type="spellStart"/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PoC</w:t>
            </w:r>
            <w:proofErr w:type="spellEnd"/>
            <w:r w:rsidRPr="00C60453">
              <w:rPr>
                <w:rFonts w:ascii="Times New Roman" w:hAnsi="Times New Roman" w:cs="Times New Roman"/>
                <w:sz w:val="20"/>
                <w:szCs w:val="20"/>
              </w:rPr>
              <w:t xml:space="preserve"> подходом; вход в Design Review</w:t>
            </w:r>
          </w:p>
        </w:tc>
        <w:tc>
          <w:tcPr>
            <w:tcW w:w="2196" w:type="dxa"/>
            <w:vAlign w:val="center"/>
          </w:tcPr>
          <w:p w14:paraId="1C6BA03E" w14:textId="77777777" w:rsidR="00EA34BF" w:rsidRPr="00C60453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A34BF" w14:paraId="6A215DC3" w14:textId="77777777" w:rsidTr="00EA34BF">
        <w:tc>
          <w:tcPr>
            <w:tcW w:w="1778" w:type="dxa"/>
          </w:tcPr>
          <w:p w14:paraId="5BFFB06E" w14:textId="77777777" w:rsidR="00EA34BF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14:paraId="7B2044BF" w14:textId="77777777" w:rsidR="00EA34BF" w:rsidRPr="00C60453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Схемы потоков данных</w:t>
            </w:r>
          </w:p>
        </w:tc>
        <w:tc>
          <w:tcPr>
            <w:tcW w:w="3558" w:type="dxa"/>
          </w:tcPr>
          <w:p w14:paraId="1FFA5CF5" w14:textId="77777777" w:rsidR="00EA34BF" w:rsidRPr="00C60453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DFD по интеграциям HRS-ERP с учётом восстановленных потоков шины</w:t>
            </w:r>
          </w:p>
        </w:tc>
        <w:tc>
          <w:tcPr>
            <w:tcW w:w="2196" w:type="dxa"/>
            <w:vAlign w:val="center"/>
          </w:tcPr>
          <w:p w14:paraId="62CCE95C" w14:textId="77777777" w:rsidR="00EA34BF" w:rsidRPr="00C60453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A34BF" w14:paraId="5A6C112E" w14:textId="77777777" w:rsidTr="00EA34BF">
        <w:tc>
          <w:tcPr>
            <w:tcW w:w="1778" w:type="dxa"/>
          </w:tcPr>
          <w:p w14:paraId="1D16FEE6" w14:textId="77777777" w:rsidR="00EA34BF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14:paraId="163D771A" w14:textId="77777777" w:rsidR="00EA34BF" w:rsidRPr="00C60453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Спецификации форматов данных</w:t>
            </w:r>
          </w:p>
        </w:tc>
        <w:tc>
          <w:tcPr>
            <w:tcW w:w="3558" w:type="dxa"/>
          </w:tcPr>
          <w:p w14:paraId="4F0EE71A" w14:textId="77777777" w:rsidR="00EA34BF" w:rsidRPr="00C60453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Форматы сообщений, структуры, справочники, правила заполнения</w:t>
            </w:r>
          </w:p>
        </w:tc>
        <w:tc>
          <w:tcPr>
            <w:tcW w:w="2196" w:type="dxa"/>
            <w:vAlign w:val="center"/>
          </w:tcPr>
          <w:p w14:paraId="09C4B54D" w14:textId="77777777" w:rsidR="00EA34BF" w:rsidRPr="00C60453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A34BF" w14:paraId="2980B9F9" w14:textId="77777777" w:rsidTr="00EA34BF">
        <w:tc>
          <w:tcPr>
            <w:tcW w:w="1778" w:type="dxa"/>
          </w:tcPr>
          <w:p w14:paraId="7EDBF31D" w14:textId="77777777" w:rsidR="00EA34BF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14:paraId="570AA4D5" w14:textId="77777777" w:rsidR="00EA34BF" w:rsidRPr="00C60453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Правила маршрутизации и трансформации</w:t>
            </w:r>
          </w:p>
        </w:tc>
        <w:tc>
          <w:tcPr>
            <w:tcW w:w="3558" w:type="dxa"/>
          </w:tcPr>
          <w:p w14:paraId="4E625E9D" w14:textId="77777777" w:rsidR="00EA34BF" w:rsidRPr="00C60453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Матрица маршрутов и преобразований: новые + воспроизводимые из выведенной из эксплуатации шины</w:t>
            </w:r>
          </w:p>
        </w:tc>
        <w:tc>
          <w:tcPr>
            <w:tcW w:w="2196" w:type="dxa"/>
            <w:vAlign w:val="center"/>
          </w:tcPr>
          <w:p w14:paraId="2ED481B5" w14:textId="77777777" w:rsidR="00EA34BF" w:rsidRPr="00C60453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A34BF" w14:paraId="51F26976" w14:textId="77777777" w:rsidTr="00EA34BF">
        <w:tc>
          <w:tcPr>
            <w:tcW w:w="1778" w:type="dxa"/>
          </w:tcPr>
          <w:p w14:paraId="4A6B484B" w14:textId="77777777" w:rsidR="00EA34BF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14:paraId="10C13FFD" w14:textId="77777777" w:rsidR="00EA34BF" w:rsidRPr="00C60453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Сценарии обработки ошибок</w:t>
            </w:r>
          </w:p>
        </w:tc>
        <w:tc>
          <w:tcPr>
            <w:tcW w:w="3558" w:type="dxa"/>
          </w:tcPr>
          <w:p w14:paraId="60C07F1C" w14:textId="77777777" w:rsidR="00EA34BF" w:rsidRPr="00C60453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53">
              <w:rPr>
                <w:rFonts w:ascii="Times New Roman" w:hAnsi="Times New Roman" w:cs="Times New Roman"/>
                <w:sz w:val="20"/>
                <w:szCs w:val="20"/>
              </w:rPr>
              <w:t xml:space="preserve">Ошибки, </w:t>
            </w:r>
            <w:proofErr w:type="spellStart"/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retry</w:t>
            </w:r>
            <w:proofErr w:type="spellEnd"/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, ручная обработка, эскалации</w:t>
            </w:r>
          </w:p>
        </w:tc>
        <w:tc>
          <w:tcPr>
            <w:tcW w:w="2196" w:type="dxa"/>
            <w:vAlign w:val="center"/>
          </w:tcPr>
          <w:p w14:paraId="53D949D6" w14:textId="77777777" w:rsidR="00EA34BF" w:rsidRPr="00C60453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A34BF" w14:paraId="41CEC6D6" w14:textId="77777777" w:rsidTr="00EA34BF">
        <w:tc>
          <w:tcPr>
            <w:tcW w:w="1778" w:type="dxa"/>
          </w:tcPr>
          <w:p w14:paraId="5BC4C216" w14:textId="77777777" w:rsidR="00EA34BF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14:paraId="2656A740" w14:textId="77777777" w:rsidR="00EA34BF" w:rsidRPr="00C60453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53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Проектирование </w:t>
            </w:r>
            <w:proofErr w:type="spellStart"/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характеризационных</w:t>
            </w:r>
            <w:proofErr w:type="spellEnd"/>
            <w:r w:rsidRPr="00C6045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golden-master</w:t>
            </w:r>
            <w:proofErr w:type="spellEnd"/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) тестов</w:t>
            </w:r>
          </w:p>
        </w:tc>
        <w:tc>
          <w:tcPr>
            <w:tcW w:w="3558" w:type="dxa"/>
          </w:tcPr>
          <w:p w14:paraId="655B133F" w14:textId="77777777" w:rsidR="00EA34BF" w:rsidRPr="00C60453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Стратегия восстановления эталонного поведения и его использования как регрессионной базы для проверки паритета</w:t>
            </w:r>
          </w:p>
        </w:tc>
        <w:tc>
          <w:tcPr>
            <w:tcW w:w="2196" w:type="dxa"/>
            <w:vAlign w:val="center"/>
          </w:tcPr>
          <w:p w14:paraId="71FE3F49" w14:textId="77777777" w:rsidR="00EA34BF" w:rsidRPr="00C60453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A34BF" w14:paraId="6FFBB6BC" w14:textId="77777777" w:rsidTr="00EA34BF">
        <w:tc>
          <w:tcPr>
            <w:tcW w:w="1778" w:type="dxa"/>
          </w:tcPr>
          <w:p w14:paraId="34AEC833" w14:textId="77777777" w:rsidR="00EA34BF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14:paraId="304318CE" w14:textId="77777777" w:rsidR="00EA34BF" w:rsidRPr="00C60453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Подготовка Design Review документа (по корпоративному шаблону)</w:t>
            </w:r>
          </w:p>
        </w:tc>
        <w:tc>
          <w:tcPr>
            <w:tcW w:w="3558" w:type="dxa"/>
          </w:tcPr>
          <w:p w14:paraId="191B6D3B" w14:textId="77777777" w:rsidR="00EA34BF" w:rsidRPr="00C60453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Tech-</w:t>
            </w:r>
            <w:proofErr w:type="spellStart"/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C604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doc</w:t>
            </w:r>
            <w:proofErr w:type="spellEnd"/>
            <w:r w:rsidRPr="00C6045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Problem</w:t>
            </w:r>
            <w:proofErr w:type="spellEnd"/>
            <w:r w:rsidRPr="00C604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Statement</w:t>
            </w:r>
            <w:proofErr w:type="spellEnd"/>
            <w:r w:rsidRPr="00C60453">
              <w:rPr>
                <w:rFonts w:ascii="Times New Roman" w:hAnsi="Times New Roman" w:cs="Times New Roman"/>
                <w:sz w:val="20"/>
                <w:szCs w:val="20"/>
              </w:rPr>
              <w:t xml:space="preserve">, E2E, </w:t>
            </w:r>
            <w:proofErr w:type="spellStart"/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Considered</w:t>
            </w:r>
            <w:proofErr w:type="spellEnd"/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Proposed</w:t>
            </w:r>
            <w:proofErr w:type="spellEnd"/>
            <w:r w:rsidRPr="00C60453">
              <w:rPr>
                <w:rFonts w:ascii="Times New Roman" w:hAnsi="Times New Roman" w:cs="Times New Roman"/>
                <w:sz w:val="20"/>
                <w:szCs w:val="20"/>
              </w:rPr>
              <w:t xml:space="preserve"> Solutions, архитектура развёртывания, </w:t>
            </w:r>
            <w:proofErr w:type="spellStart"/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sequence</w:t>
            </w:r>
            <w:proofErr w:type="spellEnd"/>
            <w:r w:rsidRPr="00C60453">
              <w:rPr>
                <w:rFonts w:ascii="Times New Roman" w:hAnsi="Times New Roman" w:cs="Times New Roman"/>
                <w:sz w:val="20"/>
                <w:szCs w:val="20"/>
              </w:rPr>
              <w:t xml:space="preserve">-диаграмма, изменения схем БД, ограничения, </w:t>
            </w:r>
            <w:proofErr w:type="spellStart"/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AppSec-чеклист</w:t>
            </w:r>
            <w:proofErr w:type="spellEnd"/>
            <w:r w:rsidRPr="00C60453">
              <w:rPr>
                <w:rFonts w:ascii="Times New Roman" w:hAnsi="Times New Roman" w:cs="Times New Roman"/>
                <w:sz w:val="20"/>
                <w:szCs w:val="20"/>
              </w:rPr>
              <w:t xml:space="preserve">, план тестов, </w:t>
            </w:r>
            <w:proofErr w:type="spellStart"/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compliance</w:t>
            </w:r>
            <w:proofErr w:type="spellEnd"/>
            <w:r w:rsidRPr="00C60453">
              <w:rPr>
                <w:rFonts w:ascii="Times New Roman" w:hAnsi="Times New Roman" w:cs="Times New Roman"/>
                <w:sz w:val="20"/>
                <w:szCs w:val="20"/>
              </w:rPr>
              <w:t xml:space="preserve">; ссылается на отчёт по </w:t>
            </w:r>
            <w:proofErr w:type="spellStart"/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PoC</w:t>
            </w:r>
            <w:proofErr w:type="spellEnd"/>
          </w:p>
        </w:tc>
        <w:tc>
          <w:tcPr>
            <w:tcW w:w="2196" w:type="dxa"/>
            <w:vAlign w:val="center"/>
          </w:tcPr>
          <w:p w14:paraId="4C3A3478" w14:textId="77777777" w:rsidR="00EA34BF" w:rsidRPr="00C60453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A34BF" w14:paraId="763D5C89" w14:textId="77777777" w:rsidTr="00EA34BF">
        <w:tc>
          <w:tcPr>
            <w:tcW w:w="1778" w:type="dxa"/>
          </w:tcPr>
          <w:p w14:paraId="269E2DA7" w14:textId="77777777" w:rsidR="00EA34BF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14:paraId="1D4A341D" w14:textId="77777777" w:rsidR="00EA34BF" w:rsidRPr="00C60453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5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Design Review </w:t>
            </w:r>
            <w:proofErr w:type="spellStart"/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meeting</w:t>
            </w:r>
            <w:proofErr w:type="spellEnd"/>
            <w:r w:rsidRPr="00C60453">
              <w:rPr>
                <w:rFonts w:ascii="Times New Roman" w:hAnsi="Times New Roman" w:cs="Times New Roman"/>
                <w:sz w:val="20"/>
                <w:szCs w:val="20"/>
              </w:rPr>
              <w:t xml:space="preserve"> и закрытие замечаний</w:t>
            </w:r>
          </w:p>
        </w:tc>
        <w:tc>
          <w:tcPr>
            <w:tcW w:w="3558" w:type="dxa"/>
          </w:tcPr>
          <w:p w14:paraId="42BE0B36" w14:textId="77777777" w:rsidR="00EA34BF" w:rsidRPr="00C60453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53">
              <w:rPr>
                <w:rFonts w:ascii="Times New Roman" w:hAnsi="Times New Roman" w:cs="Times New Roman"/>
                <w:sz w:val="20"/>
                <w:szCs w:val="20"/>
              </w:rPr>
              <w:t xml:space="preserve">Проведённое ревью, заполненная секция </w:t>
            </w:r>
            <w:proofErr w:type="spellStart"/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Feedback</w:t>
            </w:r>
            <w:proofErr w:type="spellEnd"/>
            <w:r w:rsidRPr="00C60453">
              <w:rPr>
                <w:rFonts w:ascii="Times New Roman" w:hAnsi="Times New Roman" w:cs="Times New Roman"/>
                <w:sz w:val="20"/>
                <w:szCs w:val="20"/>
              </w:rPr>
              <w:t xml:space="preserve"> &amp; Action </w:t>
            </w:r>
            <w:proofErr w:type="spellStart"/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Items</w:t>
            </w:r>
            <w:proofErr w:type="spellEnd"/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, статус «</w:t>
            </w:r>
            <w:proofErr w:type="spellStart"/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approved</w:t>
            </w:r>
            <w:proofErr w:type="spellEnd"/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», устранённые замечания (вход в реализацию)</w:t>
            </w:r>
          </w:p>
        </w:tc>
        <w:tc>
          <w:tcPr>
            <w:tcW w:w="2196" w:type="dxa"/>
            <w:vAlign w:val="center"/>
          </w:tcPr>
          <w:p w14:paraId="0FC0E5D2" w14:textId="77777777" w:rsidR="00EA34BF" w:rsidRPr="00C60453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A34BF" w14:paraId="31831AB1" w14:textId="77777777" w:rsidTr="00EA34BF">
        <w:tc>
          <w:tcPr>
            <w:tcW w:w="8350" w:type="dxa"/>
            <w:gridSpan w:val="3"/>
          </w:tcPr>
          <w:p w14:paraId="2B13FD44" w14:textId="77777777" w:rsidR="00EA34BF" w:rsidRPr="00A0563C" w:rsidRDefault="00EA34BF" w:rsidP="00044EB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этапу «3. Проектирование HRS-ERP»</w:t>
            </w:r>
          </w:p>
        </w:tc>
        <w:tc>
          <w:tcPr>
            <w:tcW w:w="2196" w:type="dxa"/>
          </w:tcPr>
          <w:p w14:paraId="38E7D92B" w14:textId="77777777" w:rsidR="00EA34BF" w:rsidRPr="00A0563C" w:rsidRDefault="00EA34BF" w:rsidP="00044E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</w:tr>
      <w:tr w:rsidR="00EA34BF" w14:paraId="3F098A74" w14:textId="77777777" w:rsidTr="00EA34BF">
        <w:tc>
          <w:tcPr>
            <w:tcW w:w="1778" w:type="dxa"/>
          </w:tcPr>
          <w:p w14:paraId="0DA3CA80" w14:textId="77777777" w:rsidR="00EA34BF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5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4. Реализация</w:t>
            </w:r>
          </w:p>
        </w:tc>
        <w:tc>
          <w:tcPr>
            <w:tcW w:w="3014" w:type="dxa"/>
          </w:tcPr>
          <w:p w14:paraId="5F9C4DF1" w14:textId="77777777" w:rsidR="00EA34BF" w:rsidRPr="00C60453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Установка и базовая настройка ESB-платформы</w:t>
            </w:r>
          </w:p>
        </w:tc>
        <w:tc>
          <w:tcPr>
            <w:tcW w:w="3558" w:type="dxa"/>
          </w:tcPr>
          <w:p w14:paraId="0A66EE4C" w14:textId="77777777" w:rsidR="00EA34BF" w:rsidRPr="00C60453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Развёрнутая новая шина на зафиксированном стеке в целевой среде</w:t>
            </w:r>
          </w:p>
        </w:tc>
        <w:tc>
          <w:tcPr>
            <w:tcW w:w="2196" w:type="dxa"/>
            <w:vAlign w:val="center"/>
          </w:tcPr>
          <w:p w14:paraId="29D0819F" w14:textId="77777777" w:rsidR="00EA34BF" w:rsidRPr="00C60453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A34BF" w14:paraId="67232199" w14:textId="77777777" w:rsidTr="00EA34BF">
        <w:tc>
          <w:tcPr>
            <w:tcW w:w="1778" w:type="dxa"/>
          </w:tcPr>
          <w:p w14:paraId="6C1147E0" w14:textId="77777777" w:rsidR="00EA34BF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14:paraId="6DFF3E01" w14:textId="77777777" w:rsidR="00EA34BF" w:rsidRPr="00C60453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Восстановление полного эталона поведения (набор регрессии)</w:t>
            </w:r>
          </w:p>
        </w:tc>
        <w:tc>
          <w:tcPr>
            <w:tcW w:w="3558" w:type="dxa"/>
          </w:tcPr>
          <w:p w14:paraId="73FAA046" w14:textId="77777777" w:rsidR="00EA34BF" w:rsidRPr="00C60453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Полный набор эталонных пар запрос/ответ и маршрутных решений по блоку — из запуска старой шины в изолированном контуре (если возможно) либо из кода/исторических данных</w:t>
            </w:r>
          </w:p>
        </w:tc>
        <w:tc>
          <w:tcPr>
            <w:tcW w:w="2196" w:type="dxa"/>
            <w:vAlign w:val="center"/>
          </w:tcPr>
          <w:p w14:paraId="70E39DA1" w14:textId="77777777" w:rsidR="00EA34BF" w:rsidRPr="00C60453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A34BF" w14:paraId="6E522757" w14:textId="77777777" w:rsidTr="00EA34BF">
        <w:tc>
          <w:tcPr>
            <w:tcW w:w="1778" w:type="dxa"/>
          </w:tcPr>
          <w:p w14:paraId="49CCCB04" w14:textId="77777777" w:rsidR="00EA34BF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14:paraId="50952986" w14:textId="77777777" w:rsidR="00EA34BF" w:rsidRPr="00C60453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Создание адаптеров для подключения систем</w:t>
            </w:r>
          </w:p>
        </w:tc>
        <w:tc>
          <w:tcPr>
            <w:tcW w:w="3558" w:type="dxa"/>
          </w:tcPr>
          <w:p w14:paraId="0566E80E" w14:textId="77777777" w:rsidR="00EA34BF" w:rsidRPr="00C60453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Адаптеры для систем первого блока HRS-ERP</w:t>
            </w:r>
          </w:p>
        </w:tc>
        <w:tc>
          <w:tcPr>
            <w:tcW w:w="2196" w:type="dxa"/>
            <w:vAlign w:val="center"/>
          </w:tcPr>
          <w:p w14:paraId="57E1038D" w14:textId="77777777" w:rsidR="00EA34BF" w:rsidRPr="00C60453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A34BF" w14:paraId="738547A6" w14:textId="77777777" w:rsidTr="00EA34BF">
        <w:tc>
          <w:tcPr>
            <w:tcW w:w="1778" w:type="dxa"/>
          </w:tcPr>
          <w:p w14:paraId="60BC1CC1" w14:textId="77777777" w:rsidR="00EA34BF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14:paraId="2BA80489" w14:textId="77777777" w:rsidR="00EA34BF" w:rsidRPr="00C60453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Реализация маршрутов и трансформаций данных</w:t>
            </w:r>
          </w:p>
        </w:tc>
        <w:tc>
          <w:tcPr>
            <w:tcW w:w="3558" w:type="dxa"/>
          </w:tcPr>
          <w:p w14:paraId="67C2CF3D" w14:textId="77777777" w:rsidR="00EA34BF" w:rsidRPr="00C60453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53">
              <w:rPr>
                <w:rFonts w:ascii="Times New Roman" w:hAnsi="Times New Roman" w:cs="Times New Roman"/>
                <w:sz w:val="20"/>
                <w:szCs w:val="20"/>
              </w:rPr>
              <w:t xml:space="preserve">Рабочие маршруты: новые + перенесённые с воспроизведением поведения старой шины (код пишется заново, не из </w:t>
            </w:r>
            <w:proofErr w:type="spellStart"/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PoC</w:t>
            </w:r>
            <w:proofErr w:type="spellEnd"/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96" w:type="dxa"/>
            <w:vAlign w:val="center"/>
          </w:tcPr>
          <w:p w14:paraId="37953E56" w14:textId="77777777" w:rsidR="00EA34BF" w:rsidRPr="00C60453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A34BF" w14:paraId="5DEEBCF1" w14:textId="77777777" w:rsidTr="00EA34BF">
        <w:tc>
          <w:tcPr>
            <w:tcW w:w="1778" w:type="dxa"/>
          </w:tcPr>
          <w:p w14:paraId="5B1AA669" w14:textId="77777777" w:rsidR="00EA34BF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14:paraId="286EF4C5" w14:textId="77777777" w:rsidR="00EA34BF" w:rsidRPr="00C60453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Воспроизведение целевых REST-контрактов на новой шине</w:t>
            </w:r>
          </w:p>
        </w:tc>
        <w:tc>
          <w:tcPr>
            <w:tcW w:w="3558" w:type="dxa"/>
          </w:tcPr>
          <w:p w14:paraId="43B0EF40" w14:textId="77777777" w:rsidR="00EA34BF" w:rsidRPr="00C60453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53">
              <w:rPr>
                <w:rFonts w:ascii="Times New Roman" w:hAnsi="Times New Roman" w:cs="Times New Roman"/>
                <w:sz w:val="20"/>
                <w:szCs w:val="20"/>
              </w:rPr>
              <w:t xml:space="preserve">Совместимые </w:t>
            </w:r>
            <w:proofErr w:type="spellStart"/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эндпоинты</w:t>
            </w:r>
            <w:proofErr w:type="spellEnd"/>
            <w:r w:rsidRPr="00C60453">
              <w:rPr>
                <w:rFonts w:ascii="Times New Roman" w:hAnsi="Times New Roman" w:cs="Times New Roman"/>
                <w:sz w:val="20"/>
                <w:szCs w:val="20"/>
              </w:rPr>
              <w:t xml:space="preserve">, не требующие изменений у систем-потребителей (или </w:t>
            </w:r>
            <w:proofErr w:type="spellStart"/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версионирование</w:t>
            </w:r>
            <w:proofErr w:type="spellEnd"/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, где изменения неизбежны)</w:t>
            </w:r>
          </w:p>
        </w:tc>
        <w:tc>
          <w:tcPr>
            <w:tcW w:w="2196" w:type="dxa"/>
            <w:vAlign w:val="center"/>
          </w:tcPr>
          <w:p w14:paraId="75D7413D" w14:textId="77777777" w:rsidR="00EA34BF" w:rsidRPr="00C60453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A34BF" w14:paraId="0409D8A0" w14:textId="77777777" w:rsidTr="00EA34BF">
        <w:tc>
          <w:tcPr>
            <w:tcW w:w="1778" w:type="dxa"/>
          </w:tcPr>
          <w:p w14:paraId="2AD34617" w14:textId="77777777" w:rsidR="00EA34BF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14:paraId="0634A059" w14:textId="77777777" w:rsidR="00EA34BF" w:rsidRPr="00C60453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Настройка мониторинга и логирования</w:t>
            </w:r>
          </w:p>
        </w:tc>
        <w:tc>
          <w:tcPr>
            <w:tcW w:w="3558" w:type="dxa"/>
          </w:tcPr>
          <w:p w14:paraId="2BF82E74" w14:textId="77777777" w:rsidR="00EA34BF" w:rsidRPr="00C60453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53">
              <w:rPr>
                <w:rFonts w:ascii="Times New Roman" w:hAnsi="Times New Roman" w:cs="Times New Roman"/>
                <w:sz w:val="20"/>
                <w:szCs w:val="20"/>
              </w:rPr>
              <w:t xml:space="preserve">Логи, трассировка, </w:t>
            </w:r>
            <w:proofErr w:type="spellStart"/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алерты</w:t>
            </w:r>
            <w:proofErr w:type="spellEnd"/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, базовый контроль</w:t>
            </w:r>
          </w:p>
        </w:tc>
        <w:tc>
          <w:tcPr>
            <w:tcW w:w="2196" w:type="dxa"/>
            <w:vAlign w:val="center"/>
          </w:tcPr>
          <w:p w14:paraId="6B1AF3DA" w14:textId="77777777" w:rsidR="00EA34BF" w:rsidRPr="00C60453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A34BF" w14:paraId="4D1F4BFD" w14:textId="77777777" w:rsidTr="00EA34BF">
        <w:tc>
          <w:tcPr>
            <w:tcW w:w="1778" w:type="dxa"/>
          </w:tcPr>
          <w:p w14:paraId="08C8314B" w14:textId="77777777" w:rsidR="00EA34BF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14:paraId="0317C272" w14:textId="77777777" w:rsidR="00EA34BF" w:rsidRPr="00C60453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Интеграция с аутентификацией и авторизацией</w:t>
            </w:r>
          </w:p>
        </w:tc>
        <w:tc>
          <w:tcPr>
            <w:tcW w:w="3558" w:type="dxa"/>
          </w:tcPr>
          <w:p w14:paraId="418B4BBB" w14:textId="77777777" w:rsidR="00EA34BF" w:rsidRPr="00C60453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Контроль доступа и безопасная эксплуатация</w:t>
            </w:r>
          </w:p>
        </w:tc>
        <w:tc>
          <w:tcPr>
            <w:tcW w:w="2196" w:type="dxa"/>
            <w:vAlign w:val="center"/>
          </w:tcPr>
          <w:p w14:paraId="17E5273F" w14:textId="77777777" w:rsidR="00EA34BF" w:rsidRPr="00C60453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A34BF" w14:paraId="15DCF777" w14:textId="77777777" w:rsidTr="00EA34BF">
        <w:trPr>
          <w:trHeight w:val="1421"/>
        </w:trPr>
        <w:tc>
          <w:tcPr>
            <w:tcW w:w="1778" w:type="dxa"/>
          </w:tcPr>
          <w:p w14:paraId="44B31A47" w14:textId="77777777" w:rsidR="00EA34BF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14:paraId="2603E8D1" w14:textId="77777777" w:rsidR="00EA34BF" w:rsidRPr="00C60453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Документирование и передача компетенции</w:t>
            </w:r>
          </w:p>
        </w:tc>
        <w:tc>
          <w:tcPr>
            <w:tcW w:w="3558" w:type="dxa"/>
          </w:tcPr>
          <w:p w14:paraId="7F07574A" w14:textId="77777777" w:rsidR="00EA34BF" w:rsidRPr="00C60453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53">
              <w:rPr>
                <w:rFonts w:ascii="Times New Roman" w:hAnsi="Times New Roman" w:cs="Times New Roman"/>
                <w:sz w:val="20"/>
                <w:szCs w:val="20"/>
              </w:rPr>
              <w:t xml:space="preserve">Техдокументация, ADR, </w:t>
            </w:r>
            <w:proofErr w:type="spellStart"/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runbook</w:t>
            </w:r>
            <w:proofErr w:type="spellEnd"/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, тесты-как-спецификация; финализация Design Review; обучение ≥2 инженеров (устранение единой точки отказа по компетенции)</w:t>
            </w:r>
          </w:p>
        </w:tc>
        <w:tc>
          <w:tcPr>
            <w:tcW w:w="2196" w:type="dxa"/>
            <w:vAlign w:val="center"/>
          </w:tcPr>
          <w:p w14:paraId="57ACA905" w14:textId="77777777" w:rsidR="00EA34BF" w:rsidRPr="00C60453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A34BF" w14:paraId="724B616A" w14:textId="77777777" w:rsidTr="00EA34BF">
        <w:tc>
          <w:tcPr>
            <w:tcW w:w="8350" w:type="dxa"/>
            <w:gridSpan w:val="3"/>
          </w:tcPr>
          <w:p w14:paraId="590E511E" w14:textId="77777777" w:rsidR="00EA34BF" w:rsidRPr="00A0563C" w:rsidRDefault="00EA34BF" w:rsidP="00044EB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этапу «4. Реализация»</w:t>
            </w:r>
          </w:p>
        </w:tc>
        <w:tc>
          <w:tcPr>
            <w:tcW w:w="2196" w:type="dxa"/>
          </w:tcPr>
          <w:p w14:paraId="154AD148" w14:textId="77777777" w:rsidR="00EA34BF" w:rsidRPr="00A0563C" w:rsidRDefault="00EA34BF" w:rsidP="00044E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  <w:tr w:rsidR="00EA34BF" w14:paraId="65C88F6E" w14:textId="77777777" w:rsidTr="00EA34BF">
        <w:tc>
          <w:tcPr>
            <w:tcW w:w="1778" w:type="dxa"/>
          </w:tcPr>
          <w:p w14:paraId="50E50A6E" w14:textId="77777777" w:rsidR="00EA34BF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63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5. Тестирование и запуск</w:t>
            </w:r>
          </w:p>
        </w:tc>
        <w:tc>
          <w:tcPr>
            <w:tcW w:w="3014" w:type="dxa"/>
          </w:tcPr>
          <w:p w14:paraId="7DCDFF97" w14:textId="77777777" w:rsidR="00EA34BF" w:rsidRPr="00A0563C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63C">
              <w:rPr>
                <w:rFonts w:ascii="Times New Roman" w:hAnsi="Times New Roman" w:cs="Times New Roman"/>
                <w:sz w:val="20"/>
                <w:szCs w:val="20"/>
              </w:rPr>
              <w:t>Функциональное тестирование маршрутов</w:t>
            </w:r>
          </w:p>
        </w:tc>
        <w:tc>
          <w:tcPr>
            <w:tcW w:w="3558" w:type="dxa"/>
          </w:tcPr>
          <w:p w14:paraId="62D337B1" w14:textId="77777777" w:rsidR="00EA34BF" w:rsidRPr="00A0563C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63C">
              <w:rPr>
                <w:rFonts w:ascii="Times New Roman" w:hAnsi="Times New Roman" w:cs="Times New Roman"/>
                <w:sz w:val="20"/>
                <w:szCs w:val="20"/>
              </w:rPr>
              <w:t>Проверка обмена по всем маршрутам первого блока</w:t>
            </w:r>
          </w:p>
        </w:tc>
        <w:tc>
          <w:tcPr>
            <w:tcW w:w="2196" w:type="dxa"/>
            <w:vAlign w:val="center"/>
          </w:tcPr>
          <w:p w14:paraId="5C0C7A9C" w14:textId="77777777" w:rsidR="00EA34BF" w:rsidRPr="00A0563C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63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A34BF" w14:paraId="2AD47B2C" w14:textId="77777777" w:rsidTr="00EA34BF">
        <w:tc>
          <w:tcPr>
            <w:tcW w:w="1778" w:type="dxa"/>
          </w:tcPr>
          <w:p w14:paraId="5A336A37" w14:textId="77777777" w:rsidR="00EA34BF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14:paraId="017EB878" w14:textId="77777777" w:rsidR="00EA34BF" w:rsidRPr="00A0563C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63C">
              <w:rPr>
                <w:rFonts w:ascii="Times New Roman" w:hAnsi="Times New Roman" w:cs="Times New Roman"/>
                <w:sz w:val="20"/>
                <w:szCs w:val="20"/>
              </w:rPr>
              <w:t>Регрессионный тест на паритет с восстановленным эталоном</w:t>
            </w:r>
          </w:p>
        </w:tc>
        <w:tc>
          <w:tcPr>
            <w:tcW w:w="3558" w:type="dxa"/>
          </w:tcPr>
          <w:p w14:paraId="75778A10" w14:textId="77777777" w:rsidR="00EA34BF" w:rsidRPr="00A0563C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63C">
              <w:rPr>
                <w:rFonts w:ascii="Times New Roman" w:hAnsi="Times New Roman" w:cs="Times New Roman"/>
                <w:sz w:val="20"/>
                <w:szCs w:val="20"/>
              </w:rPr>
              <w:t>Сравнение ответов новой шины с эталонным набором (</w:t>
            </w:r>
            <w:proofErr w:type="spellStart"/>
            <w:r w:rsidRPr="00A0563C">
              <w:rPr>
                <w:rFonts w:ascii="Times New Roman" w:hAnsi="Times New Roman" w:cs="Times New Roman"/>
                <w:sz w:val="20"/>
                <w:szCs w:val="20"/>
              </w:rPr>
              <w:t>golden</w:t>
            </w:r>
            <w:proofErr w:type="spellEnd"/>
            <w:r w:rsidRPr="00A056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563C">
              <w:rPr>
                <w:rFonts w:ascii="Times New Roman" w:hAnsi="Times New Roman" w:cs="Times New Roman"/>
                <w:sz w:val="20"/>
                <w:szCs w:val="20"/>
              </w:rPr>
              <w:t>master</w:t>
            </w:r>
            <w:proofErr w:type="spellEnd"/>
            <w:r w:rsidRPr="00A0563C">
              <w:rPr>
                <w:rFonts w:ascii="Times New Roman" w:hAnsi="Times New Roman" w:cs="Times New Roman"/>
                <w:sz w:val="20"/>
                <w:szCs w:val="20"/>
              </w:rPr>
              <w:t>), фиксация и анализ расхождений</w:t>
            </w:r>
          </w:p>
        </w:tc>
        <w:tc>
          <w:tcPr>
            <w:tcW w:w="2196" w:type="dxa"/>
            <w:vAlign w:val="center"/>
          </w:tcPr>
          <w:p w14:paraId="05F88A0B" w14:textId="77777777" w:rsidR="00EA34BF" w:rsidRPr="00A0563C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6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A34BF" w14:paraId="12641467" w14:textId="77777777" w:rsidTr="00EA34BF">
        <w:tc>
          <w:tcPr>
            <w:tcW w:w="1778" w:type="dxa"/>
          </w:tcPr>
          <w:p w14:paraId="34862326" w14:textId="77777777" w:rsidR="00EA34BF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14:paraId="18FF2C51" w14:textId="77777777" w:rsidR="00EA34BF" w:rsidRPr="00A0563C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63C">
              <w:rPr>
                <w:rFonts w:ascii="Times New Roman" w:hAnsi="Times New Roman" w:cs="Times New Roman"/>
                <w:sz w:val="20"/>
                <w:szCs w:val="20"/>
              </w:rPr>
              <w:t>Тестирование ошибок и отказоустойчивости</w:t>
            </w:r>
          </w:p>
        </w:tc>
        <w:tc>
          <w:tcPr>
            <w:tcW w:w="3558" w:type="dxa"/>
          </w:tcPr>
          <w:p w14:paraId="1053EC28" w14:textId="77777777" w:rsidR="00EA34BF" w:rsidRPr="00A0563C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63C">
              <w:rPr>
                <w:rFonts w:ascii="Times New Roman" w:hAnsi="Times New Roman" w:cs="Times New Roman"/>
                <w:sz w:val="20"/>
                <w:szCs w:val="20"/>
              </w:rPr>
              <w:t>Проверка ошибок, повторов, восстановления и отказов</w:t>
            </w:r>
          </w:p>
        </w:tc>
        <w:tc>
          <w:tcPr>
            <w:tcW w:w="2196" w:type="dxa"/>
            <w:vAlign w:val="center"/>
          </w:tcPr>
          <w:p w14:paraId="7E976E01" w14:textId="77777777" w:rsidR="00EA34BF" w:rsidRPr="00A0563C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6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A34BF" w14:paraId="5E4A152D" w14:textId="77777777" w:rsidTr="00EA34BF">
        <w:tc>
          <w:tcPr>
            <w:tcW w:w="1778" w:type="dxa"/>
          </w:tcPr>
          <w:p w14:paraId="246F6699" w14:textId="77777777" w:rsidR="00EA34BF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14:paraId="60BFB161" w14:textId="77777777" w:rsidR="00EA34BF" w:rsidRPr="00A0563C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63C">
              <w:rPr>
                <w:rFonts w:ascii="Times New Roman" w:hAnsi="Times New Roman" w:cs="Times New Roman"/>
                <w:sz w:val="20"/>
                <w:szCs w:val="20"/>
              </w:rPr>
              <w:t>Проигрывание (</w:t>
            </w:r>
            <w:proofErr w:type="spellStart"/>
            <w:r w:rsidRPr="00A0563C">
              <w:rPr>
                <w:rFonts w:ascii="Times New Roman" w:hAnsi="Times New Roman" w:cs="Times New Roman"/>
                <w:sz w:val="20"/>
                <w:szCs w:val="20"/>
              </w:rPr>
              <w:t>replay</w:t>
            </w:r>
            <w:proofErr w:type="spellEnd"/>
            <w:r w:rsidRPr="00A0563C">
              <w:rPr>
                <w:rFonts w:ascii="Times New Roman" w:hAnsi="Times New Roman" w:cs="Times New Roman"/>
                <w:sz w:val="20"/>
                <w:szCs w:val="20"/>
              </w:rPr>
              <w:t>) восстановленных/синтетических тест-кейсов на новой шине</w:t>
            </w:r>
          </w:p>
        </w:tc>
        <w:tc>
          <w:tcPr>
            <w:tcW w:w="3558" w:type="dxa"/>
          </w:tcPr>
          <w:p w14:paraId="3504C01D" w14:textId="77777777" w:rsidR="00EA34BF" w:rsidRPr="00A0563C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63C">
              <w:rPr>
                <w:rFonts w:ascii="Times New Roman" w:hAnsi="Times New Roman" w:cs="Times New Roman"/>
                <w:sz w:val="20"/>
                <w:szCs w:val="20"/>
              </w:rPr>
              <w:t>Контролируемая валидация на тестовом контуре вместо зеркалирования боевого трафика (его нет — старая шина не работает)</w:t>
            </w:r>
          </w:p>
        </w:tc>
        <w:tc>
          <w:tcPr>
            <w:tcW w:w="2196" w:type="dxa"/>
            <w:vAlign w:val="center"/>
          </w:tcPr>
          <w:p w14:paraId="124AE544" w14:textId="77777777" w:rsidR="00EA34BF" w:rsidRPr="00A0563C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6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A34BF" w14:paraId="22C35898" w14:textId="77777777" w:rsidTr="00EA34BF">
        <w:tc>
          <w:tcPr>
            <w:tcW w:w="1778" w:type="dxa"/>
          </w:tcPr>
          <w:p w14:paraId="5B1B5762" w14:textId="77777777" w:rsidR="00EA34BF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14:paraId="42F423FE" w14:textId="77777777" w:rsidR="00EA34BF" w:rsidRPr="00A0563C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63C">
              <w:rPr>
                <w:rFonts w:ascii="Times New Roman" w:hAnsi="Times New Roman" w:cs="Times New Roman"/>
                <w:sz w:val="20"/>
                <w:szCs w:val="20"/>
              </w:rPr>
              <w:t>Исправления по результатам тестов</w:t>
            </w:r>
          </w:p>
        </w:tc>
        <w:tc>
          <w:tcPr>
            <w:tcW w:w="3558" w:type="dxa"/>
          </w:tcPr>
          <w:p w14:paraId="2B159580" w14:textId="77777777" w:rsidR="00EA34BF" w:rsidRPr="00A0563C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63C">
              <w:rPr>
                <w:rFonts w:ascii="Times New Roman" w:hAnsi="Times New Roman" w:cs="Times New Roman"/>
                <w:sz w:val="20"/>
                <w:szCs w:val="20"/>
              </w:rPr>
              <w:t>Устранение дефектов и повторная проверка</w:t>
            </w:r>
          </w:p>
        </w:tc>
        <w:tc>
          <w:tcPr>
            <w:tcW w:w="2196" w:type="dxa"/>
            <w:vAlign w:val="center"/>
          </w:tcPr>
          <w:p w14:paraId="76151B40" w14:textId="77777777" w:rsidR="00EA34BF" w:rsidRPr="00A0563C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6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A34BF" w14:paraId="5DB25371" w14:textId="77777777" w:rsidTr="00EA34BF">
        <w:tc>
          <w:tcPr>
            <w:tcW w:w="1778" w:type="dxa"/>
          </w:tcPr>
          <w:p w14:paraId="3B2A79E3" w14:textId="77777777" w:rsidR="00EA34BF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14:paraId="6792DBEB" w14:textId="77777777" w:rsidR="00EA34BF" w:rsidRPr="00A0563C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63C">
              <w:rPr>
                <w:rFonts w:ascii="Times New Roman" w:hAnsi="Times New Roman" w:cs="Times New Roman"/>
                <w:sz w:val="20"/>
                <w:szCs w:val="20"/>
              </w:rPr>
              <w:t>Подготовка к промышленному запуску</w:t>
            </w:r>
          </w:p>
        </w:tc>
        <w:tc>
          <w:tcPr>
            <w:tcW w:w="3558" w:type="dxa"/>
          </w:tcPr>
          <w:p w14:paraId="080BBA24" w14:textId="77777777" w:rsidR="00EA34BF" w:rsidRPr="00A0563C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63C">
              <w:rPr>
                <w:rFonts w:ascii="Times New Roman" w:hAnsi="Times New Roman" w:cs="Times New Roman"/>
                <w:sz w:val="20"/>
                <w:szCs w:val="20"/>
              </w:rPr>
              <w:t>Регламент запуска, откат на текущее промежуточное/ручное состояние, инструкции, окно внедрения</w:t>
            </w:r>
          </w:p>
        </w:tc>
        <w:tc>
          <w:tcPr>
            <w:tcW w:w="2196" w:type="dxa"/>
            <w:vAlign w:val="center"/>
          </w:tcPr>
          <w:p w14:paraId="44F09C8B" w14:textId="77777777" w:rsidR="00EA34BF" w:rsidRPr="00A0563C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6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A34BF" w14:paraId="4D84B33B" w14:textId="77777777" w:rsidTr="00EA34BF">
        <w:trPr>
          <w:trHeight w:val="1485"/>
        </w:trPr>
        <w:tc>
          <w:tcPr>
            <w:tcW w:w="1778" w:type="dxa"/>
          </w:tcPr>
          <w:p w14:paraId="1D37F2D1" w14:textId="77777777" w:rsidR="00EA34BF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14:paraId="066AEA76" w14:textId="77777777" w:rsidR="00EA34BF" w:rsidRPr="00A0563C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63C">
              <w:rPr>
                <w:rFonts w:ascii="Times New Roman" w:hAnsi="Times New Roman" w:cs="Times New Roman"/>
                <w:sz w:val="20"/>
                <w:szCs w:val="20"/>
              </w:rPr>
              <w:t>Ввод новой шины</w:t>
            </w:r>
          </w:p>
        </w:tc>
        <w:tc>
          <w:tcPr>
            <w:tcW w:w="3558" w:type="dxa"/>
          </w:tcPr>
          <w:p w14:paraId="4EB15CA0" w14:textId="77777777" w:rsidR="00EA34BF" w:rsidRPr="00A0563C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63C">
              <w:rPr>
                <w:rFonts w:ascii="Times New Roman" w:hAnsi="Times New Roman" w:cs="Times New Roman"/>
                <w:sz w:val="20"/>
                <w:szCs w:val="20"/>
              </w:rPr>
              <w:t xml:space="preserve">Поэтапное (пере)подключение HRS/ERP, контроль стабильности; формальная </w:t>
            </w:r>
            <w:proofErr w:type="spellStart"/>
            <w:r w:rsidRPr="00A0563C">
              <w:rPr>
                <w:rFonts w:ascii="Times New Roman" w:hAnsi="Times New Roman" w:cs="Times New Roman"/>
                <w:sz w:val="20"/>
                <w:szCs w:val="20"/>
              </w:rPr>
              <w:t>декомиссия</w:t>
            </w:r>
            <w:proofErr w:type="spellEnd"/>
            <w:r w:rsidRPr="00A0563C">
              <w:rPr>
                <w:rFonts w:ascii="Times New Roman" w:hAnsi="Times New Roman" w:cs="Times New Roman"/>
                <w:sz w:val="20"/>
                <w:szCs w:val="20"/>
              </w:rPr>
              <w:t xml:space="preserve"> и архивирование артефактов уже остановленной C++ шины</w:t>
            </w:r>
          </w:p>
        </w:tc>
        <w:tc>
          <w:tcPr>
            <w:tcW w:w="2196" w:type="dxa"/>
            <w:vAlign w:val="center"/>
          </w:tcPr>
          <w:p w14:paraId="053B42F7" w14:textId="77777777" w:rsidR="00EA34BF" w:rsidRPr="00A0563C" w:rsidRDefault="00EA34BF" w:rsidP="0004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6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A34BF" w14:paraId="67F18F1C" w14:textId="77777777" w:rsidTr="00EA34BF">
        <w:tc>
          <w:tcPr>
            <w:tcW w:w="8350" w:type="dxa"/>
            <w:gridSpan w:val="3"/>
          </w:tcPr>
          <w:p w14:paraId="76DCAC6E" w14:textId="77777777" w:rsidR="00EA34BF" w:rsidRPr="00A0563C" w:rsidRDefault="00EA34BF" w:rsidP="00044EB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0563C">
              <w:rPr>
                <w:rFonts w:ascii="Times New Roman" w:hAnsi="Times New Roman" w:cs="Times New Roman"/>
                <w:b/>
                <w:bCs/>
              </w:rPr>
              <w:t>Итого по этапу «5. Тестирование и запуск»</w:t>
            </w:r>
          </w:p>
        </w:tc>
        <w:tc>
          <w:tcPr>
            <w:tcW w:w="2196" w:type="dxa"/>
          </w:tcPr>
          <w:p w14:paraId="0ACFFB8A" w14:textId="77777777" w:rsidR="00EA34BF" w:rsidRPr="00A0563C" w:rsidRDefault="00EA34BF" w:rsidP="00044EB1">
            <w:pPr>
              <w:rPr>
                <w:rFonts w:ascii="Times New Roman" w:hAnsi="Times New Roman" w:cs="Times New Roman"/>
                <w:b/>
                <w:bCs/>
              </w:rPr>
            </w:pPr>
            <w:r w:rsidRPr="00A0563C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</w:tr>
      <w:tr w:rsidR="00EA34BF" w14:paraId="557CAA97" w14:textId="77777777" w:rsidTr="00EA34BF">
        <w:tc>
          <w:tcPr>
            <w:tcW w:w="8350" w:type="dxa"/>
            <w:gridSpan w:val="3"/>
          </w:tcPr>
          <w:p w14:paraId="390C04EE" w14:textId="77777777" w:rsidR="00EA34BF" w:rsidRPr="00A0563C" w:rsidRDefault="00EA34BF" w:rsidP="00044EB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0563C">
              <w:rPr>
                <w:rFonts w:ascii="Times New Roman" w:hAnsi="Times New Roman" w:cs="Times New Roman"/>
                <w:b/>
                <w:bCs/>
              </w:rPr>
              <w:t>ИТОГО по проекту (первый блок HRS-ERP), чел.-дней</w:t>
            </w:r>
          </w:p>
        </w:tc>
        <w:tc>
          <w:tcPr>
            <w:tcW w:w="2196" w:type="dxa"/>
          </w:tcPr>
          <w:p w14:paraId="1D25FD8C" w14:textId="77777777" w:rsidR="00EA34BF" w:rsidRPr="00A0563C" w:rsidRDefault="00EA34BF" w:rsidP="00044EB1">
            <w:pPr>
              <w:rPr>
                <w:rFonts w:ascii="Times New Roman" w:hAnsi="Times New Roman" w:cs="Times New Roman"/>
                <w:b/>
                <w:bCs/>
              </w:rPr>
            </w:pPr>
            <w:r w:rsidRPr="00A0563C">
              <w:rPr>
                <w:rFonts w:ascii="Times New Roman" w:hAnsi="Times New Roman" w:cs="Times New Roman"/>
                <w:b/>
                <w:bCs/>
              </w:rPr>
              <w:t>176</w:t>
            </w:r>
          </w:p>
        </w:tc>
      </w:tr>
    </w:tbl>
    <w:p w14:paraId="2AA94EAE" w14:textId="77777777" w:rsidR="00EA34BF" w:rsidRPr="00327032" w:rsidRDefault="00EA34BF" w:rsidP="00EA34BF">
      <w:pPr>
        <w:rPr>
          <w:rFonts w:ascii="Times New Roman" w:hAnsi="Times New Roman" w:cs="Times New Roman"/>
          <w:sz w:val="20"/>
          <w:szCs w:val="20"/>
        </w:rPr>
      </w:pPr>
    </w:p>
    <w:p w14:paraId="3C3C2B4C" w14:textId="77777777" w:rsidR="00EA34BF" w:rsidRPr="00327032" w:rsidRDefault="00EA34BF" w:rsidP="00EA34BF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59D989D7" w14:textId="459D055F" w:rsidR="001F60D0" w:rsidRDefault="001F60D0"/>
    <w:sectPr w:rsidR="001F6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D6ECD"/>
    <w:multiLevelType w:val="hybridMultilevel"/>
    <w:tmpl w:val="F1665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990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BF"/>
    <w:rsid w:val="001F60D0"/>
    <w:rsid w:val="00266EE3"/>
    <w:rsid w:val="00517EF8"/>
    <w:rsid w:val="00735BD9"/>
    <w:rsid w:val="0082608D"/>
    <w:rsid w:val="00AE288F"/>
    <w:rsid w:val="00EA34BF"/>
    <w:rsid w:val="00EE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043B0"/>
  <w15:chartTrackingRefBased/>
  <w15:docId w15:val="{8594B151-6A95-45A1-958A-0144243F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4BF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3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4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4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3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34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34B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34B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34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34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34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34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3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3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3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3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34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34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34B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3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34B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34B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EA34B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1082</Words>
  <Characters>6170</Characters>
  <Application>Microsoft Office Word</Application>
  <DocSecurity>0</DocSecurity>
  <Lines>51</Lines>
  <Paragraphs>14</Paragraphs>
  <ScaleCrop>false</ScaleCrop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Курдицкая Светлана</dc:creator>
  <cp:keywords/>
  <dc:description/>
  <cp:lastModifiedBy>Курдицкая Светлана</cp:lastModifiedBy>
  <cp:revision>3</cp:revision>
  <dcterms:created xsi:type="dcterms:W3CDTF">2026-06-26T08:52:00Z</dcterms:created>
  <dcterms:modified xsi:type="dcterms:W3CDTF">2026-06-26T11:44:00Z</dcterms:modified>
</cp:coreProperties>
</file>