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D523EA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523EA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D523EA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D523EA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D523EA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5245"/>
        <w:gridCol w:w="992"/>
        <w:gridCol w:w="1417"/>
      </w:tblGrid>
      <w:tr w:rsidR="0049583B" w:rsidRPr="00D523EA" w14:paraId="39FF2F79" w14:textId="77777777" w:rsidTr="003A21B2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D523EA" w:rsidRDefault="0049583B" w:rsidP="00931E56">
            <w:pPr>
              <w:jc w:val="center"/>
            </w:pPr>
            <w:r w:rsidRPr="00D523EA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D523EA" w:rsidRDefault="0049583B" w:rsidP="00931E56">
            <w:pPr>
              <w:jc w:val="center"/>
              <w:rPr>
                <w:b/>
                <w:bCs/>
              </w:rPr>
            </w:pPr>
            <w:r w:rsidRPr="00D523EA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D523EA" w:rsidRDefault="0049583B" w:rsidP="00931E56">
            <w:pPr>
              <w:jc w:val="center"/>
              <w:rPr>
                <w:b/>
                <w:bCs/>
              </w:rPr>
            </w:pPr>
            <w:r w:rsidRPr="00D523EA">
              <w:rPr>
                <w:b/>
                <w:bCs/>
              </w:rPr>
              <w:t>Ед. изм.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D523EA" w:rsidRDefault="0049583B" w:rsidP="00931E56">
            <w:pPr>
              <w:jc w:val="center"/>
              <w:rPr>
                <w:b/>
                <w:bCs/>
              </w:rPr>
            </w:pPr>
            <w:r w:rsidRPr="00D523EA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D523EA" w:rsidRDefault="0049583B" w:rsidP="00931E56">
            <w:pPr>
              <w:jc w:val="center"/>
              <w:rPr>
                <w:b/>
                <w:bCs/>
              </w:rPr>
            </w:pPr>
            <w:r w:rsidRPr="00D523EA">
              <w:rPr>
                <w:b/>
                <w:bCs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D523EA" w:rsidRDefault="00E83D43" w:rsidP="00E83D43">
            <w:pPr>
              <w:jc w:val="center"/>
              <w:rPr>
                <w:b/>
                <w:bCs/>
              </w:rPr>
            </w:pPr>
            <w:r w:rsidRPr="00D523EA">
              <w:rPr>
                <w:b/>
                <w:bCs/>
              </w:rPr>
              <w:t>Возможность аналога</w:t>
            </w:r>
          </w:p>
        </w:tc>
      </w:tr>
      <w:tr w:rsidR="0049583B" w:rsidRPr="00D523EA" w14:paraId="08C40148" w14:textId="77777777" w:rsidTr="00D209FF">
        <w:trPr>
          <w:trHeight w:val="48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091B" w14:textId="77777777" w:rsidR="0049583B" w:rsidRPr="00D523EA" w:rsidRDefault="0049583B" w:rsidP="00931E56">
            <w:pPr>
              <w:jc w:val="center"/>
            </w:pPr>
            <w:r w:rsidRPr="00D523EA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39172" w14:textId="54315C60" w:rsidR="00EC6FB9" w:rsidRPr="00D523EA" w:rsidRDefault="00CF7989" w:rsidP="00EC6FB9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D523EA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Освещение для теннисного корта</w:t>
            </w:r>
          </w:p>
          <w:p w14:paraId="0DE3039D" w14:textId="742E356A" w:rsidR="00A12279" w:rsidRPr="00D523EA" w:rsidRDefault="00A12279" w:rsidP="00EE51B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575B" w14:textId="77777777" w:rsidR="0049583B" w:rsidRPr="00D523EA" w:rsidRDefault="0049583B" w:rsidP="00931E56">
            <w:pPr>
              <w:jc w:val="center"/>
            </w:pPr>
            <w:r w:rsidRPr="00D523EA">
              <w:t>шт.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922D46" w14:textId="212D376A" w:rsidR="00A40BDD" w:rsidRPr="00D523EA" w:rsidRDefault="00A40BDD" w:rsidP="00CF7989">
            <w:pPr>
              <w:rPr>
                <w:b/>
                <w:bCs/>
              </w:rPr>
            </w:pPr>
            <w:r w:rsidRPr="00D523EA">
              <w:rPr>
                <w:b/>
                <w:bCs/>
              </w:rPr>
              <w:t>Нормы освещённости для теннисных кортов</w:t>
            </w:r>
          </w:p>
          <w:p w14:paraId="2673A6E3" w14:textId="05096C73" w:rsidR="00CF7989" w:rsidRPr="00D523EA" w:rsidRDefault="00CF7989" w:rsidP="00CF7989">
            <w:r w:rsidRPr="00D523EA">
              <w:t>Теннис — игра, в которой мяч движется со скоростью до 200 км/ч и часто оказывается в верхней полусфере зрения игрока. В отличие от футбола или баскетбола, где траектория предметов лежит ближе к горизонту, в теннисе спортсмен постоянно поднимает голову — навстречу источникам света. Любой неправильно направленный прожектор превращается в слепящую точку, которая лишает игрока возможности отслеживать мяч.</w:t>
            </w:r>
          </w:p>
          <w:p w14:paraId="3DD60857" w14:textId="77777777" w:rsidR="00CF7989" w:rsidRPr="00D523EA" w:rsidRDefault="00CF7989" w:rsidP="00CF7989">
            <w:pPr>
              <w:rPr>
                <w:b/>
                <w:bCs/>
              </w:rPr>
            </w:pPr>
            <w:r w:rsidRPr="00D523EA">
              <w:rPr>
                <w:b/>
                <w:bCs/>
              </w:rPr>
              <w:t xml:space="preserve">Отсюда первое требование к спортивному освещению корта: контроль слепящего эффекта (UGR). Светильники должны иметь либо глубокую несимметричную оптику, либо антибликовые козырьки, которые отсекают прямое излучение в зону взгляда игрока. Второе требование — высокая равномерность светового пятна. Если в одной части корта 700 </w:t>
            </w:r>
            <w:proofErr w:type="spellStart"/>
            <w:r w:rsidRPr="00D523EA">
              <w:rPr>
                <w:b/>
                <w:bCs/>
              </w:rPr>
              <w:t>лк</w:t>
            </w:r>
            <w:proofErr w:type="spellEnd"/>
            <w:r w:rsidRPr="00D523EA">
              <w:rPr>
                <w:b/>
                <w:bCs/>
              </w:rPr>
              <w:t>, а в другой 300, глаз игрока вынужден постоянно перестраиваться, и через 20–30 минут наступает зрительное утомление.</w:t>
            </w:r>
          </w:p>
          <w:p w14:paraId="3AD41F8B" w14:textId="5EB39E52" w:rsidR="00EF3DA8" w:rsidRPr="00D523EA" w:rsidRDefault="00CF7989" w:rsidP="007374D7">
            <w:pPr>
              <w:rPr>
                <w:b/>
                <w:bCs/>
              </w:rPr>
            </w:pPr>
            <w:r w:rsidRPr="00D523EA">
              <w:rPr>
                <w:b/>
                <w:bCs/>
              </w:rPr>
              <w:t xml:space="preserve">Третье — вертикальная освещённость. Мяч находится не на покрытии, а в воздухе. Если освещён только пол, мяч в верхней точке полёта оказывается в условном «провале» света и хуже различим. Поэтому в нормах для теннисных кортов отдельной строкой задаётся не только горизонтальная </w:t>
            </w:r>
            <w:proofErr w:type="spellStart"/>
            <w:r w:rsidRPr="00D523EA">
              <w:rPr>
                <w:b/>
                <w:bCs/>
              </w:rPr>
              <w:t>Eh</w:t>
            </w:r>
            <w:proofErr w:type="spellEnd"/>
            <w:r w:rsidRPr="00D523EA">
              <w:rPr>
                <w:b/>
                <w:bCs/>
              </w:rPr>
              <w:t xml:space="preserve">, но и вертикальная </w:t>
            </w:r>
            <w:proofErr w:type="spellStart"/>
            <w:r w:rsidRPr="00D523EA">
              <w:rPr>
                <w:b/>
                <w:bCs/>
              </w:rPr>
              <w:t>Ev</w:t>
            </w:r>
            <w:proofErr w:type="spellEnd"/>
            <w:r w:rsidRPr="00D523EA">
              <w:rPr>
                <w:b/>
                <w:bCs/>
              </w:rPr>
              <w:t xml:space="preserve"> освещённость в направлении видеокамер и зрительских мест.</w:t>
            </w:r>
          </w:p>
          <w:p w14:paraId="7BB0FB79" w14:textId="77777777" w:rsidR="00CF7989" w:rsidRPr="00D523EA" w:rsidRDefault="00CF7989" w:rsidP="00CF7989">
            <w:r w:rsidRPr="00D523EA">
              <w:t>Российские и европейские нормативы (EN 12193, ГОСТ Р 55710 для спортивных объектов) делят корты на классы по уровню проводимых соревнований. Для каждого класса заданы минимальная средняя освещённость, коэффициент равномерности и требования к цветопередаче.</w:t>
            </w:r>
          </w:p>
          <w:p w14:paraId="4FAC3A3B" w14:textId="77777777" w:rsidR="00CF7989" w:rsidRPr="00D523EA" w:rsidRDefault="00CF7989" w:rsidP="00CF7989">
            <w:r w:rsidRPr="00D523EA">
              <w:t xml:space="preserve">Для тренировочных кортов и любительской игры (класс III) средняя горизонтальная освещённость на покрытии должна быть не ниже 300 </w:t>
            </w:r>
            <w:proofErr w:type="spellStart"/>
            <w:r w:rsidRPr="00D523EA">
              <w:t>лк</w:t>
            </w:r>
            <w:proofErr w:type="spellEnd"/>
            <w:r w:rsidRPr="00D523EA">
              <w:t xml:space="preserve">, для региональных и клубных соревнований (класс II) — от 500 </w:t>
            </w:r>
            <w:proofErr w:type="spellStart"/>
            <w:r w:rsidRPr="00D523EA">
              <w:t>лк</w:t>
            </w:r>
            <w:proofErr w:type="spellEnd"/>
            <w:r w:rsidRPr="00D523EA">
              <w:t xml:space="preserve">, для турниров национального и международного уровня с трансляцией (класс I) — от 750 </w:t>
            </w:r>
            <w:proofErr w:type="spellStart"/>
            <w:r w:rsidRPr="00D523EA">
              <w:t>лк</w:t>
            </w:r>
            <w:proofErr w:type="spellEnd"/>
            <w:r w:rsidRPr="00D523EA">
              <w:t xml:space="preserve">, а в зоне видеосъёмки — до 1500–2000 </w:t>
            </w:r>
            <w:proofErr w:type="spellStart"/>
            <w:r w:rsidRPr="00D523EA">
              <w:t>лк</w:t>
            </w:r>
            <w:proofErr w:type="spellEnd"/>
            <w:r w:rsidRPr="00D523EA">
              <w:t xml:space="preserve"> по вертикали. Коэффициент равномерности U2 (отношение минимального значения к среднему) </w:t>
            </w:r>
            <w:r w:rsidRPr="00D523EA">
              <w:lastRenderedPageBreak/>
              <w:t>— не ниже 0,5 для III класса, 0,6 для II и 0,7 для I.</w:t>
            </w:r>
          </w:p>
          <w:p w14:paraId="1D42CB38" w14:textId="77777777" w:rsidR="00CF7989" w:rsidRPr="00D523EA" w:rsidRDefault="00CF7989" w:rsidP="00CF7989">
            <w:r w:rsidRPr="00D523EA">
              <w:rPr>
                <w:b/>
                <w:bCs/>
                <w:highlight w:val="yellow"/>
              </w:rPr>
              <w:t>Цветовая температура для спортивного освещения корта — 4000–5700 K.</w:t>
            </w:r>
            <w:r w:rsidRPr="00D523EA">
              <w:t xml:space="preserve"> Это нейтрально-белый свет, при котором глаз устаёт меньше всего, а контрастность жёлтого мяча на фоне грунта или хардового покрытия максимальна. Индекс цветопередачи </w:t>
            </w:r>
            <w:proofErr w:type="spellStart"/>
            <w:r w:rsidRPr="00D523EA">
              <w:t>Ra</w:t>
            </w:r>
            <w:proofErr w:type="spellEnd"/>
            <w:r w:rsidRPr="00D523EA">
              <w:t xml:space="preserve"> ≥ 70 для тренировочных площадок и </w:t>
            </w:r>
            <w:proofErr w:type="spellStart"/>
            <w:r w:rsidRPr="00D523EA">
              <w:t>Ra</w:t>
            </w:r>
            <w:proofErr w:type="spellEnd"/>
            <w:r w:rsidRPr="00D523EA">
              <w:t xml:space="preserve"> ≥ 80 для объектов с видеотрансляцией — оператор должен передавать естественные цвета формы и покрытия.</w:t>
            </w:r>
          </w:p>
          <w:p w14:paraId="267AD865" w14:textId="77777777" w:rsidR="00CF7989" w:rsidRPr="00D523EA" w:rsidRDefault="00CF7989" w:rsidP="00CF7989">
            <w:r w:rsidRPr="00D523EA">
              <w:t>Отдельно нормируется пульсация светового потока: для спортивных объектов она не должна превышать 5%. Это критично, потому что мяч в полёте при высокой пульсации воспринимается как «прерывистый», а скоростные камеры дают эффект мерцания на записи.</w:t>
            </w:r>
          </w:p>
          <w:p w14:paraId="42CB1C4C" w14:textId="77777777" w:rsidR="00A40BDD" w:rsidRPr="00D523EA" w:rsidRDefault="00A40BDD" w:rsidP="00CF7989"/>
          <w:p w14:paraId="3F2B6CC0" w14:textId="77777777" w:rsidR="00A40BDD" w:rsidRPr="00D523EA" w:rsidRDefault="00A40BDD" w:rsidP="00A40BDD">
            <w:pPr>
              <w:rPr>
                <w:b/>
                <w:bCs/>
              </w:rPr>
            </w:pPr>
            <w:r w:rsidRPr="00D523EA">
              <w:rPr>
                <w:b/>
                <w:bCs/>
              </w:rPr>
              <w:t>Светильники и прожекторы: какая оптика решает задачу</w:t>
            </w:r>
          </w:p>
          <w:p w14:paraId="7FF7CF99" w14:textId="4ECB32BF" w:rsidR="00A40BDD" w:rsidRPr="00D523EA" w:rsidRDefault="00A40BDD" w:rsidP="00A40BDD">
            <w:r w:rsidRPr="00D523EA">
              <w:rPr>
                <w:noProof/>
              </w:rPr>
              <w:drawing>
                <wp:inline distT="0" distB="0" distL="0" distR="0" wp14:anchorId="1E83BE62" wp14:editId="461687D9">
                  <wp:extent cx="3193415" cy="3193415"/>
                  <wp:effectExtent l="0" t="0" r="6985" b="6985"/>
                  <wp:docPr id="1164190486" name="Рисунок 2" descr="Светодиодный прожектор с антибликовой оптикой для освещения теннисного к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ветодиодный прожектор с антибликовой оптикой для освещения теннисного ко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319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41638" w14:textId="77777777" w:rsidR="00A40BDD" w:rsidRPr="00D523EA" w:rsidRDefault="00A40BDD" w:rsidP="00A40BDD">
            <w:r w:rsidRPr="00D523EA">
              <w:t>Для открытых теннисных кортов основное оборудование — спортивные LED-прожекторы с асимметричной оптикой. Асимметричная линза перенаправляет световой поток вперёд и вниз, в сторону корта, минимизируя засветку соседних участков и неба. Это решает сразу две задачи: даёт нужную освещённость на покрытии и снижает световое загрязнение, что важно для кортов рядом с жилой застройкой.</w:t>
            </w:r>
          </w:p>
          <w:p w14:paraId="29354314" w14:textId="07D50F46" w:rsidR="00A40BDD" w:rsidRPr="00D523EA" w:rsidRDefault="00A40BDD" w:rsidP="00A40BDD">
            <w:r w:rsidRPr="00D523EA">
              <w:t xml:space="preserve">Угол рассеивания подбирается под высоту мачты и геометрию корта. При мачтах 9 метров используется широкая оптика 60×100° или 80×120°, при мачтах 12 метров — более узкая, 30×60° или 40×80°. Узкая оптика концентрирует поток и компенсирует увеличенное расстояние до покрытия. Для крытых кортов применяются </w:t>
            </w:r>
            <w:r w:rsidRPr="00D523EA">
              <w:lastRenderedPageBreak/>
              <w:t>другие решения: вместо прожекторов на мачтах — линейные потолочные или подвесные модели с матовым рассеивателем, расположенные вдоль боковых линий. Здесь подойдут подвесные промышленные светильники с глубоким отражателем и углом 60–90°.</w:t>
            </w:r>
          </w:p>
          <w:p w14:paraId="7B5B1CD8" w14:textId="77777777" w:rsidR="00A40BDD" w:rsidRPr="00D523EA" w:rsidRDefault="00A40BDD" w:rsidP="00A40BDD">
            <w:r w:rsidRPr="00D523EA">
              <w:t>Класс защиты — обязательный параметр. Для уличных прожекторов минимум IP65, оптимально IP66: это защита от пыли и струй воды под давлением, актуально для регионов с обильными осадками и снегом. Корпус — литой алюминий с оребрением для пассивного отвода тепла, без вентиляторов: любая подвижная механика в уличной среде рано или поздно отказывает. Стекло — закалённое, толщиной не менее 4 мм, чтобы выдержать удар мячом или градом.</w:t>
            </w:r>
          </w:p>
          <w:p w14:paraId="716E8EB7" w14:textId="77777777" w:rsidR="00A40BDD" w:rsidRPr="00D523EA" w:rsidRDefault="00A40BDD" w:rsidP="00A40BDD">
            <w:r w:rsidRPr="00D523EA">
              <w:t xml:space="preserve">Драйвер — отдельная история. Для спортивного освещения выбирают модели с пульсацией менее 5% и встроенной защитой от перенапряжения (SPD класса II или III). На уличных объектах перенапряжения от грозы — главная причина выхода светильников из строя. Качественный драйвер с защитой 10 </w:t>
            </w:r>
            <w:proofErr w:type="spellStart"/>
            <w:r w:rsidRPr="00D523EA">
              <w:t>кВ</w:t>
            </w:r>
            <w:proofErr w:type="spellEnd"/>
            <w:r w:rsidRPr="00D523EA">
              <w:t xml:space="preserve"> продлевает срок службы прожектора в полтора-два раза.</w:t>
            </w:r>
          </w:p>
          <w:p w14:paraId="5D5B2C60" w14:textId="77777777" w:rsidR="00A40BDD" w:rsidRPr="00D523EA" w:rsidRDefault="00A40BDD" w:rsidP="00A40BDD"/>
          <w:p w14:paraId="223D99C6" w14:textId="77777777" w:rsidR="00A40BDD" w:rsidRPr="00D523EA" w:rsidRDefault="00A40BDD" w:rsidP="00A40BDD">
            <w:pPr>
              <w:rPr>
                <w:b/>
                <w:bCs/>
              </w:rPr>
            </w:pPr>
            <w:r w:rsidRPr="00D523EA">
              <w:rPr>
                <w:b/>
                <w:bCs/>
              </w:rPr>
              <w:t>Опоры и расположение прожекторов</w:t>
            </w:r>
          </w:p>
          <w:p w14:paraId="30410617" w14:textId="6662EB91" w:rsidR="00A40BDD" w:rsidRPr="00D523EA" w:rsidRDefault="00A40BDD" w:rsidP="00A40BDD">
            <w:r w:rsidRPr="00D523EA">
              <w:t xml:space="preserve">Стандартная схема для открытого теннисного корта — 4 мачты по углам игровой зоны, отнесённые от боковой линии минимум на 1 метр (для безопасности игроков) и расположенные напротив зон, где мяч обычно не находится в верхней точке полёта. Это ключевое отличие от стадионного освещения: на корте мачты ставят не строго по углам прямоугольника, а смещают так, чтобы прожекторы не оказывались в прямом поле </w:t>
            </w:r>
            <w:proofErr w:type="gramStart"/>
            <w:r w:rsidRPr="00D523EA">
              <w:t>зрения</w:t>
            </w:r>
            <w:proofErr w:type="gramEnd"/>
            <w:r w:rsidRPr="00D523EA">
              <w:t xml:space="preserve"> подающего и принимающего.</w:t>
            </w:r>
          </w:p>
          <w:p w14:paraId="49936CEF" w14:textId="77777777" w:rsidR="00A40BDD" w:rsidRPr="00D523EA" w:rsidRDefault="00A40BDD" w:rsidP="00A40BDD">
            <w:r w:rsidRPr="00D523EA">
              <w:t>Альтернативная схема — 6 или 8 мачт, по 3-4 с каждой длинной стороны. Она применяется для турнирных объектов, где нужна максимальная равномерность и низкий UGR. Большее число опор означает меньшую мощность каждого прожектора, более мягкое распределение света и меньше резких теней от игрока.</w:t>
            </w:r>
          </w:p>
          <w:p w14:paraId="37C6D8BA" w14:textId="56EA7727" w:rsidR="00A40BDD" w:rsidRPr="00D523EA" w:rsidRDefault="00A40BDD" w:rsidP="00A40BDD">
            <w:r w:rsidRPr="00D523EA">
              <w:t xml:space="preserve">Высота мачты рассчитывается от точки крепления светильника до пересечения с условной линией игрового поля под углом не менее 25° к горизонту. Для одиночного корта это даёт мачты 9–10 метров, для парного — 10–12 метров. Конструктивно используются конические или гранёные стальные опоры на фланцевом основании, закреплённые на бетонном фундаменте с закладной деталью. Для </w:t>
            </w:r>
            <w:r w:rsidRPr="00D523EA">
              <w:lastRenderedPageBreak/>
              <w:t>готовых решений подходят серийные опоры освещения и закладные детали.</w:t>
            </w:r>
          </w:p>
          <w:p w14:paraId="54FE2CFA" w14:textId="38B97CF3" w:rsidR="00CF7989" w:rsidRPr="00D523EA" w:rsidRDefault="00A40BDD" w:rsidP="00CF7989">
            <w:r w:rsidRPr="00D523EA">
              <w:rPr>
                <w:highlight w:val="yellow"/>
              </w:rPr>
              <w:t>На каждую мачту крепится траверса с регулируемыми кронштейнами под прожекторы. Количество приборов на одну опору — 4 прожектора по 400–500 Вт.</w:t>
            </w:r>
            <w:r w:rsidRPr="00D523EA">
              <w:t xml:space="preserve"> </w:t>
            </w:r>
          </w:p>
          <w:p w14:paraId="2FE10D4D" w14:textId="77777777" w:rsidR="00CF7989" w:rsidRPr="00D523EA" w:rsidRDefault="00CF7989" w:rsidP="00CF7989"/>
          <w:p w14:paraId="7BB4165A" w14:textId="2EA796F2" w:rsidR="00CF7989" w:rsidRPr="00D523EA" w:rsidRDefault="00CF7989" w:rsidP="00CF7989">
            <w:r w:rsidRPr="00D523EA">
              <w:rPr>
                <w:noProof/>
              </w:rPr>
              <w:drawing>
                <wp:inline distT="0" distB="0" distL="0" distR="0" wp14:anchorId="6E5684F9" wp14:editId="7B0DA2A7">
                  <wp:extent cx="2896946" cy="1737360"/>
                  <wp:effectExtent l="0" t="0" r="0" b="0"/>
                  <wp:docPr id="4482598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2598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574" cy="174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7DBA7" w14:textId="77777777" w:rsidR="00155787" w:rsidRPr="00D523EA" w:rsidRDefault="00155787" w:rsidP="00CF7989"/>
          <w:p w14:paraId="4CCB3EBD" w14:textId="77777777" w:rsidR="00CF7989" w:rsidRPr="00D523EA" w:rsidRDefault="00155787" w:rsidP="007374D7">
            <w:r w:rsidRPr="00D523EA">
              <w:rPr>
                <w:noProof/>
              </w:rPr>
              <w:drawing>
                <wp:inline distT="0" distB="0" distL="0" distR="0" wp14:anchorId="408FC40E" wp14:editId="08E70FA5">
                  <wp:extent cx="2933499" cy="1927860"/>
                  <wp:effectExtent l="0" t="0" r="635" b="0"/>
                  <wp:docPr id="5320664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06648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072" cy="193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ADE00" w14:textId="77777777" w:rsidR="00A42D7D" w:rsidRPr="00D523EA" w:rsidRDefault="00A42D7D" w:rsidP="007374D7"/>
          <w:p w14:paraId="72B71F53" w14:textId="3D31BBF6" w:rsidR="00A42D7D" w:rsidRPr="00D523EA" w:rsidRDefault="00A42D7D" w:rsidP="007374D7">
            <w:r w:rsidRPr="00D523EA">
              <w:rPr>
                <w:highlight w:val="yellow"/>
              </w:rPr>
              <w:t>Корт отеля 6 опор</w:t>
            </w:r>
          </w:p>
          <w:p w14:paraId="24D95765" w14:textId="77777777" w:rsidR="00A42D7D" w:rsidRPr="00D523EA" w:rsidRDefault="00A42D7D" w:rsidP="007374D7"/>
          <w:p w14:paraId="64E5387F" w14:textId="273E99E1" w:rsidR="00A42D7D" w:rsidRPr="00D523EA" w:rsidRDefault="00A42D7D" w:rsidP="007374D7">
            <w:r w:rsidRPr="00D523EA">
              <w:rPr>
                <w:noProof/>
              </w:rPr>
              <w:drawing>
                <wp:inline distT="0" distB="0" distL="0" distR="0" wp14:anchorId="27A22501" wp14:editId="12727028">
                  <wp:extent cx="3193415" cy="2239010"/>
                  <wp:effectExtent l="0" t="0" r="6985" b="8890"/>
                  <wp:docPr id="13240876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08763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96B08" w14:textId="1C2B696F" w:rsidR="00E21465" w:rsidRPr="00D523EA" w:rsidRDefault="00E21465" w:rsidP="007374D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EB72" w14:textId="280F0608" w:rsidR="0049583B" w:rsidRPr="00D523EA" w:rsidRDefault="00CF518F" w:rsidP="001F7480">
            <w:pPr>
              <w:jc w:val="center"/>
            </w:pPr>
            <w:r w:rsidRPr="00D523EA">
              <w:lastRenderedPageBreak/>
              <w:t>6 опор по 4 прожектора на каждый. Всего 24 штуки прожекторов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094" w14:textId="0D6394F1" w:rsidR="00DB4F06" w:rsidRPr="00D523EA" w:rsidRDefault="006215F5" w:rsidP="00DB4F06">
            <w:r w:rsidRPr="00D523EA">
              <w:t xml:space="preserve">Да, по согласованию </w:t>
            </w:r>
          </w:p>
        </w:tc>
      </w:tr>
    </w:tbl>
    <w:p w14:paraId="6271CD85" w14:textId="4933EAB5" w:rsidR="002511D4" w:rsidRPr="00D523EA" w:rsidRDefault="002511D4" w:rsidP="002511D4">
      <w:pPr>
        <w:pStyle w:val="Footnote"/>
        <w:jc w:val="both"/>
        <w:rPr>
          <w:sz w:val="24"/>
          <w:szCs w:val="24"/>
        </w:rPr>
      </w:pPr>
    </w:p>
    <w:p w14:paraId="50AC1915" w14:textId="0E283AB2" w:rsidR="00E83D43" w:rsidRPr="00D523EA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D523EA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  <w:r w:rsidR="005D495D" w:rsidRPr="00D523E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754B1A62" w14:textId="6BE833C2" w:rsidR="00E83D43" w:rsidRPr="00D523EA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</w:t>
      </w:r>
      <w:r w:rsidR="00D523EA" w:rsidRPr="00D523EA">
        <w:rPr>
          <w:rFonts w:ascii="Times New Roman" w:eastAsia="Calibri" w:hAnsi="Times New Roman" w:cs="Times New Roman"/>
          <w:sz w:val="24"/>
          <w:szCs w:val="24"/>
        </w:rPr>
        <w:t>Республика Крым, муниципальный округ город-курорт Ялта, село Оползневое, ул. Генерала Острякова, здание 9 корпус 1.</w:t>
      </w:r>
    </w:p>
    <w:p w14:paraId="5D40270C" w14:textId="728AEAA3" w:rsidR="00E83D43" w:rsidRPr="00D523EA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AE6F7F" w:rsidRPr="00D523EA">
        <w:rPr>
          <w:rFonts w:ascii="Times New Roman" w:eastAsia="Calibri" w:hAnsi="Times New Roman" w:cs="Times New Roman"/>
          <w:sz w:val="24"/>
          <w:szCs w:val="24"/>
        </w:rPr>
        <w:t>7 дней</w:t>
      </w:r>
      <w:r w:rsidRPr="00D523EA">
        <w:rPr>
          <w:rFonts w:ascii="Times New Roman" w:eastAsia="Calibri" w:hAnsi="Times New Roman" w:cs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64659A8C" w14:textId="77777777" w:rsidR="00757158" w:rsidRPr="00D523EA" w:rsidRDefault="00757158" w:rsidP="002511D4">
      <w:pPr>
        <w:pStyle w:val="Footnote"/>
        <w:jc w:val="both"/>
        <w:rPr>
          <w:sz w:val="24"/>
          <w:szCs w:val="24"/>
        </w:rPr>
      </w:pPr>
    </w:p>
    <w:p w14:paraId="42E64128" w14:textId="7F159D85" w:rsidR="002511D4" w:rsidRPr="00D523EA" w:rsidRDefault="002511D4" w:rsidP="007571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23EA">
        <w:rPr>
          <w:rFonts w:ascii="Times New Roman" w:hAnsi="Times New Roman" w:cs="Times New Roman"/>
          <w:sz w:val="24"/>
          <w:szCs w:val="24"/>
        </w:rPr>
        <w:t xml:space="preserve"> </w:t>
      </w:r>
      <w:r w:rsidRPr="00D523EA">
        <w:rPr>
          <w:rFonts w:ascii="Times New Roman" w:hAnsi="Times New Roman" w:cs="Times New Roman"/>
          <w:b/>
          <w:sz w:val="24"/>
          <w:szCs w:val="24"/>
        </w:rPr>
        <w:t>Общие сведен</w:t>
      </w:r>
      <w:r w:rsidR="00737443" w:rsidRPr="00D523EA">
        <w:rPr>
          <w:rFonts w:ascii="Times New Roman" w:hAnsi="Times New Roman" w:cs="Times New Roman"/>
          <w:b/>
          <w:sz w:val="24"/>
          <w:szCs w:val="24"/>
        </w:rPr>
        <w:t>и</w:t>
      </w:r>
      <w:r w:rsidRPr="00D523EA">
        <w:rPr>
          <w:rFonts w:ascii="Times New Roman" w:hAnsi="Times New Roman" w:cs="Times New Roman"/>
          <w:b/>
          <w:sz w:val="24"/>
          <w:szCs w:val="24"/>
        </w:rPr>
        <w:t>я</w:t>
      </w:r>
      <w:r w:rsidR="005D495D" w:rsidRPr="00D523EA">
        <w:rPr>
          <w:rFonts w:ascii="Times New Roman" w:hAnsi="Times New Roman" w:cs="Times New Roman"/>
          <w:b/>
          <w:sz w:val="24"/>
          <w:szCs w:val="24"/>
        </w:rPr>
        <w:t>.</w:t>
      </w:r>
    </w:p>
    <w:p w14:paraId="165E6D35" w14:textId="5502E82D" w:rsidR="002511D4" w:rsidRPr="00D523EA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lastRenderedPageBreak/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D523EA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D523EA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2581EC60" w:rsidR="002511D4" w:rsidRPr="00D523EA" w:rsidRDefault="002511D4" w:rsidP="00757158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D523EA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  <w:r w:rsidR="005D495D" w:rsidRPr="00D523E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558FA709" w14:textId="77777777" w:rsidR="002511D4" w:rsidRPr="00D523EA" w:rsidRDefault="002511D4" w:rsidP="00757158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D523EA" w:rsidRDefault="002511D4" w:rsidP="00757158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D523EA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6A9ED764" w:rsidR="002511D4" w:rsidRPr="00D523EA" w:rsidRDefault="002511D4" w:rsidP="00757158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D523EA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D523EA" w:rsidRDefault="002511D4" w:rsidP="00757158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D523EA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59BE0CBF" w:rsidR="002511D4" w:rsidRPr="00D523EA" w:rsidRDefault="002511D4" w:rsidP="00757158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D523EA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D523EA" w:rsidRDefault="002511D4" w:rsidP="00757158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6F73314D" w14:textId="77777777" w:rsidR="002511D4" w:rsidRPr="00D523EA" w:rsidRDefault="002511D4" w:rsidP="002511D4">
      <w:pPr>
        <w:ind w:left="480"/>
        <w:rPr>
          <w:rFonts w:eastAsia="Calibri"/>
        </w:rPr>
      </w:pPr>
    </w:p>
    <w:p w14:paraId="313750CF" w14:textId="6DA9F1D3" w:rsidR="002511D4" w:rsidRPr="00D523EA" w:rsidRDefault="002511D4" w:rsidP="00757158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D523EA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  <w:r w:rsidR="005D495D" w:rsidRPr="00D523E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23DBCF3E" w14:textId="77777777" w:rsidR="002511D4" w:rsidRPr="00D523EA" w:rsidRDefault="002511D4" w:rsidP="00757158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D523EA" w:rsidRDefault="002511D4" w:rsidP="00757158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523EA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D523EA" w:rsidRDefault="002511D4" w:rsidP="002511D4">
      <w:pPr>
        <w:pStyle w:val="a3"/>
        <w:spacing w:after="0" w:line="240" w:lineRule="auto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2802D5B" w14:textId="77777777" w:rsidR="000D109E" w:rsidRPr="00D523EA" w:rsidRDefault="000D109E"/>
    <w:p w14:paraId="709A7D36" w14:textId="77777777" w:rsidR="002A35E8" w:rsidRPr="00D523EA" w:rsidRDefault="002A35E8"/>
    <w:sectPr w:rsidR="002A35E8" w:rsidRPr="00D523EA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B0FAD"/>
    <w:multiLevelType w:val="multilevel"/>
    <w:tmpl w:val="2F38DB3E"/>
    <w:lvl w:ilvl="0">
      <w:start w:val="2"/>
      <w:numFmt w:val="decimal"/>
      <w:lvlText w:val="%1."/>
      <w:lvlJc w:val="left"/>
      <w:pPr>
        <w:ind w:left="1275" w:hanging="708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1467164041">
    <w:abstractNumId w:val="2"/>
  </w:num>
  <w:num w:numId="2" w16cid:durableId="1971401675">
    <w:abstractNumId w:val="3"/>
  </w:num>
  <w:num w:numId="3" w16cid:durableId="1593052444">
    <w:abstractNumId w:val="1"/>
  </w:num>
  <w:num w:numId="4" w16cid:durableId="1755203000">
    <w:abstractNumId w:val="4"/>
  </w:num>
  <w:num w:numId="5" w16cid:durableId="1295335828">
    <w:abstractNumId w:val="0"/>
  </w:num>
  <w:num w:numId="6" w16cid:durableId="16245743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43DF5"/>
    <w:rsid w:val="00077D04"/>
    <w:rsid w:val="000A14B6"/>
    <w:rsid w:val="000D109E"/>
    <w:rsid w:val="00102E7F"/>
    <w:rsid w:val="00122A7C"/>
    <w:rsid w:val="00155787"/>
    <w:rsid w:val="001871A1"/>
    <w:rsid w:val="001C378F"/>
    <w:rsid w:val="001D4D63"/>
    <w:rsid w:val="001E23BB"/>
    <w:rsid w:val="001F7480"/>
    <w:rsid w:val="002511D4"/>
    <w:rsid w:val="002866B6"/>
    <w:rsid w:val="002A35E8"/>
    <w:rsid w:val="002B36F0"/>
    <w:rsid w:val="002E5836"/>
    <w:rsid w:val="00347BE9"/>
    <w:rsid w:val="0035709D"/>
    <w:rsid w:val="00386DF6"/>
    <w:rsid w:val="003A21B2"/>
    <w:rsid w:val="003A27BB"/>
    <w:rsid w:val="003F1E0C"/>
    <w:rsid w:val="003F658C"/>
    <w:rsid w:val="004345F1"/>
    <w:rsid w:val="004432A9"/>
    <w:rsid w:val="00481514"/>
    <w:rsid w:val="00486C37"/>
    <w:rsid w:val="0049583B"/>
    <w:rsid w:val="004C69E8"/>
    <w:rsid w:val="004C7FBF"/>
    <w:rsid w:val="004D09B2"/>
    <w:rsid w:val="004F6BF0"/>
    <w:rsid w:val="005829A5"/>
    <w:rsid w:val="00596C97"/>
    <w:rsid w:val="005A0231"/>
    <w:rsid w:val="005A22CE"/>
    <w:rsid w:val="005B3D14"/>
    <w:rsid w:val="005D495D"/>
    <w:rsid w:val="005F4A6B"/>
    <w:rsid w:val="00606537"/>
    <w:rsid w:val="006215F5"/>
    <w:rsid w:val="006708BA"/>
    <w:rsid w:val="006826CC"/>
    <w:rsid w:val="006838CC"/>
    <w:rsid w:val="006B15B8"/>
    <w:rsid w:val="006C31F1"/>
    <w:rsid w:val="006D404F"/>
    <w:rsid w:val="00707368"/>
    <w:rsid w:val="00732FE3"/>
    <w:rsid w:val="00737443"/>
    <w:rsid w:val="007374D7"/>
    <w:rsid w:val="00746A7E"/>
    <w:rsid w:val="00757158"/>
    <w:rsid w:val="00781CA8"/>
    <w:rsid w:val="007C336A"/>
    <w:rsid w:val="007E0CDC"/>
    <w:rsid w:val="007E5A6C"/>
    <w:rsid w:val="007F0AD8"/>
    <w:rsid w:val="00800244"/>
    <w:rsid w:val="00842E33"/>
    <w:rsid w:val="00896C82"/>
    <w:rsid w:val="008A2EEB"/>
    <w:rsid w:val="008D14BE"/>
    <w:rsid w:val="008D33D0"/>
    <w:rsid w:val="00913367"/>
    <w:rsid w:val="00921FE5"/>
    <w:rsid w:val="00931E56"/>
    <w:rsid w:val="009835B5"/>
    <w:rsid w:val="00995D7C"/>
    <w:rsid w:val="009C0CF0"/>
    <w:rsid w:val="009D2D69"/>
    <w:rsid w:val="009D54AA"/>
    <w:rsid w:val="00A12279"/>
    <w:rsid w:val="00A1665F"/>
    <w:rsid w:val="00A40BDD"/>
    <w:rsid w:val="00A42D7D"/>
    <w:rsid w:val="00A45677"/>
    <w:rsid w:val="00A67AF0"/>
    <w:rsid w:val="00AC055A"/>
    <w:rsid w:val="00AC32F5"/>
    <w:rsid w:val="00AD041A"/>
    <w:rsid w:val="00AD3099"/>
    <w:rsid w:val="00AE6F7F"/>
    <w:rsid w:val="00AF5DB4"/>
    <w:rsid w:val="00AF65BB"/>
    <w:rsid w:val="00B008D9"/>
    <w:rsid w:val="00B443F2"/>
    <w:rsid w:val="00B508CC"/>
    <w:rsid w:val="00B9016D"/>
    <w:rsid w:val="00BC45A3"/>
    <w:rsid w:val="00BF4D8B"/>
    <w:rsid w:val="00BF6BD7"/>
    <w:rsid w:val="00C2429C"/>
    <w:rsid w:val="00C765CD"/>
    <w:rsid w:val="00C819FC"/>
    <w:rsid w:val="00C91882"/>
    <w:rsid w:val="00CB621E"/>
    <w:rsid w:val="00CE5A99"/>
    <w:rsid w:val="00CF518F"/>
    <w:rsid w:val="00CF7989"/>
    <w:rsid w:val="00D209FF"/>
    <w:rsid w:val="00D2636B"/>
    <w:rsid w:val="00D43022"/>
    <w:rsid w:val="00D505B2"/>
    <w:rsid w:val="00D523EA"/>
    <w:rsid w:val="00D67424"/>
    <w:rsid w:val="00DA4EED"/>
    <w:rsid w:val="00DB4F06"/>
    <w:rsid w:val="00DD4638"/>
    <w:rsid w:val="00DE5847"/>
    <w:rsid w:val="00DE5EFF"/>
    <w:rsid w:val="00E007DF"/>
    <w:rsid w:val="00E0559B"/>
    <w:rsid w:val="00E21465"/>
    <w:rsid w:val="00E324D5"/>
    <w:rsid w:val="00E36CC1"/>
    <w:rsid w:val="00E421EF"/>
    <w:rsid w:val="00E70579"/>
    <w:rsid w:val="00E83D43"/>
    <w:rsid w:val="00E90260"/>
    <w:rsid w:val="00EA3CCD"/>
    <w:rsid w:val="00EC3FC6"/>
    <w:rsid w:val="00EC6FB9"/>
    <w:rsid w:val="00ED0113"/>
    <w:rsid w:val="00EE51BC"/>
    <w:rsid w:val="00EF3DA8"/>
    <w:rsid w:val="00F03C5D"/>
    <w:rsid w:val="00F47082"/>
    <w:rsid w:val="00F63B1E"/>
    <w:rsid w:val="00F8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D5C46D25-8E87-4D00-AB1E-954CE69D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0A1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86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2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746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2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76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2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02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8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1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9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8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8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0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3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4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5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7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0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17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2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5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2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7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302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0595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972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277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329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7649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0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502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0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38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6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73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47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728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8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E713B-DEB6-4C76-81A6-D2CB58FD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3611</TotalTime>
  <Pages>1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Zyuz</dc:creator>
  <cp:keywords/>
  <dc:description/>
  <cp:lastModifiedBy>Борисова Татьяна</cp:lastModifiedBy>
  <cp:revision>9</cp:revision>
  <dcterms:created xsi:type="dcterms:W3CDTF">2026-06-04T15:23:00Z</dcterms:created>
  <dcterms:modified xsi:type="dcterms:W3CDTF">2026-07-07T10:19:00Z</dcterms:modified>
</cp:coreProperties>
</file>