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19BF4B">
      <w:pPr>
        <w:spacing w:after="0" w:line="240" w:lineRule="auto"/>
        <w:ind w:left="6237"/>
        <w:jc w:val="right"/>
        <w:rPr>
          <w:rFonts w:ascii="Times New Roman" w:hAnsi="Times New Roman" w:cs="Times New Roman"/>
        </w:rPr>
      </w:pPr>
      <w:r>
        <w:rPr>
          <w:rFonts w:ascii="Times New Roman" w:hAnsi="Times New Roman" w:cs="Times New Roman"/>
        </w:rPr>
        <w:t xml:space="preserve">Приложение № 5 </w:t>
      </w:r>
    </w:p>
    <w:p w14:paraId="1F9BC9CC">
      <w:pPr>
        <w:spacing w:after="0" w:line="240" w:lineRule="auto"/>
        <w:ind w:left="6237"/>
        <w:jc w:val="right"/>
        <w:rPr>
          <w:rFonts w:ascii="Times New Roman" w:hAnsi="Times New Roman" w:cs="Times New Roman"/>
        </w:rPr>
      </w:pPr>
      <w:r>
        <w:rPr>
          <w:rFonts w:ascii="Times New Roman" w:hAnsi="Times New Roman" w:cs="Times New Roman"/>
        </w:rPr>
        <w:t>к извещению об осуществлении закупки</w:t>
      </w:r>
    </w:p>
    <w:p w14:paraId="7A21CECE"/>
    <w:tbl>
      <w:tblPr>
        <w:tblStyle w:val="3"/>
        <w:tblW w:w="14470" w:type="dxa"/>
        <w:tblInd w:w="0" w:type="dxa"/>
        <w:tblLayout w:type="fixed"/>
        <w:tblCellMar>
          <w:top w:w="102" w:type="dxa"/>
          <w:left w:w="62" w:type="dxa"/>
          <w:bottom w:w="102" w:type="dxa"/>
          <w:right w:w="62" w:type="dxa"/>
        </w:tblCellMar>
      </w:tblPr>
      <w:tblGrid>
        <w:gridCol w:w="124"/>
        <w:gridCol w:w="3119"/>
        <w:gridCol w:w="8221"/>
        <w:gridCol w:w="1361"/>
        <w:gridCol w:w="1627"/>
        <w:gridCol w:w="18"/>
      </w:tblGrid>
      <w:tr w14:paraId="5F05BCB8">
        <w:tblPrEx>
          <w:tblCellMar>
            <w:top w:w="102" w:type="dxa"/>
            <w:left w:w="62" w:type="dxa"/>
            <w:bottom w:w="102" w:type="dxa"/>
            <w:right w:w="62" w:type="dxa"/>
          </w:tblCellMar>
        </w:tblPrEx>
        <w:trPr>
          <w:gridAfter w:val="1"/>
          <w:wAfter w:w="18" w:type="dxa"/>
          <w:trHeight w:val="591" w:hRule="atLeast"/>
        </w:trPr>
        <w:tc>
          <w:tcPr>
            <w:tcW w:w="14452" w:type="dxa"/>
            <w:gridSpan w:val="5"/>
            <w:vAlign w:val="bottom"/>
          </w:tcPr>
          <w:p w14:paraId="4602B2A8">
            <w:pPr>
              <w:autoSpaceDE w:val="0"/>
              <w:autoSpaceDN w:val="0"/>
              <w:adjustRightInd w:val="0"/>
              <w:spacing w:after="0" w:line="288" w:lineRule="auto"/>
              <w:jc w:val="center"/>
              <w:rPr>
                <w:rFonts w:ascii="Times New Roman" w:hAnsi="Times New Roman" w:eastAsia="Times New Roman" w:cs="Times New Roman"/>
                <w:b/>
                <w:sz w:val="20"/>
                <w:szCs w:val="20"/>
                <w:lang w:eastAsia="ru-RU"/>
              </w:rPr>
            </w:pPr>
            <w:bookmarkStart w:id="3" w:name="_GoBack"/>
            <w:bookmarkEnd w:id="3"/>
            <w:r>
              <w:rPr>
                <w:rFonts w:ascii="Times New Roman" w:hAnsi="Times New Roman" w:eastAsia="Times New Roman" w:cs="Times New Roman"/>
                <w:b/>
                <w:sz w:val="20"/>
                <w:szCs w:val="20"/>
                <w:lang w:eastAsia="ru-RU"/>
              </w:rPr>
              <w:t>ПОРЯДОК</w:t>
            </w:r>
          </w:p>
          <w:p w14:paraId="708CA794">
            <w:pPr>
              <w:autoSpaceDE w:val="0"/>
              <w:autoSpaceDN w:val="0"/>
              <w:adjustRightInd w:val="0"/>
              <w:spacing w:after="0" w:line="288" w:lineRule="auto"/>
              <w:jc w:val="center"/>
              <w:rPr>
                <w:rFonts w:hint="default" w:ascii="Times New Roman" w:hAnsi="Times New Roman" w:eastAsia="Times New Roman" w:cs="Times New Roman"/>
                <w:b/>
                <w:sz w:val="20"/>
                <w:szCs w:val="20"/>
                <w:lang w:val="en-US" w:eastAsia="ru-RU"/>
              </w:rPr>
            </w:pPr>
            <w:r>
              <w:rPr>
                <w:rFonts w:ascii="Times New Roman" w:hAnsi="Times New Roman" w:eastAsia="Times New Roman" w:cs="Times New Roman"/>
                <w:b/>
                <w:sz w:val="20"/>
                <w:szCs w:val="20"/>
                <w:lang w:eastAsia="ru-RU"/>
              </w:rPr>
              <w:t>рассмотрения и оценки заявок на участие в запросе</w:t>
            </w:r>
            <w:r>
              <w:rPr>
                <w:rFonts w:hint="default" w:ascii="Times New Roman" w:hAnsi="Times New Roman" w:eastAsia="Times New Roman" w:cs="Times New Roman"/>
                <w:b/>
                <w:sz w:val="20"/>
                <w:szCs w:val="20"/>
                <w:lang w:val="en-US" w:eastAsia="ru-RU"/>
              </w:rPr>
              <w:t xml:space="preserve"> предложений</w:t>
            </w:r>
          </w:p>
        </w:tc>
      </w:tr>
      <w:tr w14:paraId="15F6CE8F">
        <w:tblPrEx>
          <w:tblCellMar>
            <w:top w:w="102" w:type="dxa"/>
            <w:left w:w="62" w:type="dxa"/>
            <w:bottom w:w="102" w:type="dxa"/>
            <w:right w:w="62" w:type="dxa"/>
          </w:tblCellMar>
        </w:tblPrEx>
        <w:trPr>
          <w:gridAfter w:val="1"/>
          <w:wAfter w:w="18" w:type="dxa"/>
          <w:trHeight w:val="288" w:hRule="atLeast"/>
        </w:trPr>
        <w:tc>
          <w:tcPr>
            <w:tcW w:w="14452" w:type="dxa"/>
            <w:gridSpan w:val="5"/>
          </w:tcPr>
          <w:p w14:paraId="7A25C4AB">
            <w:pPr>
              <w:autoSpaceDE w:val="0"/>
              <w:autoSpaceDN w:val="0"/>
              <w:adjustRightInd w:val="0"/>
              <w:spacing w:after="0" w:line="288" w:lineRule="auto"/>
              <w:jc w:val="center"/>
              <w:outlineLvl w:val="0"/>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I. Информация о заказчике и закупке товаров, работ, услуг для обеспечения государственных и муниципальных нужд (далее - закупка)</w:t>
            </w:r>
          </w:p>
        </w:tc>
      </w:tr>
      <w:tr w14:paraId="4890B05D">
        <w:tblPrEx>
          <w:tblCellMar>
            <w:top w:w="0" w:type="dxa"/>
            <w:left w:w="108" w:type="dxa"/>
            <w:bottom w:w="0" w:type="dxa"/>
            <w:right w:w="108" w:type="dxa"/>
          </w:tblCellMar>
        </w:tblPrEx>
        <w:trPr>
          <w:gridBefore w:val="1"/>
          <w:wBefore w:w="124" w:type="dxa"/>
        </w:trPr>
        <w:tc>
          <w:tcPr>
            <w:tcW w:w="3119" w:type="dxa"/>
            <w:tcBorders>
              <w:top w:val="nil"/>
              <w:left w:val="nil"/>
              <w:bottom w:val="nil"/>
              <w:right w:val="nil"/>
            </w:tcBorders>
          </w:tcPr>
          <w:p w14:paraId="620C4CCF">
            <w:pPr>
              <w:rPr>
                <w:rFonts w:ascii="Times New Roman" w:hAnsi="Times New Roman" w:eastAsia="Times New Roman" w:cs="Times New Roman"/>
                <w:sz w:val="20"/>
                <w:szCs w:val="20"/>
              </w:rPr>
            </w:pPr>
          </w:p>
        </w:tc>
        <w:tc>
          <w:tcPr>
            <w:tcW w:w="8221" w:type="dxa"/>
            <w:tcBorders>
              <w:top w:val="nil"/>
              <w:left w:val="nil"/>
              <w:bottom w:val="nil"/>
              <w:right w:val="nil"/>
            </w:tcBorders>
          </w:tcPr>
          <w:p w14:paraId="0CEB7A24">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color w:val="000000"/>
                <w:sz w:val="20"/>
                <w:szCs w:val="20"/>
              </w:rPr>
            </w:pPr>
          </w:p>
        </w:tc>
        <w:tc>
          <w:tcPr>
            <w:tcW w:w="1361" w:type="dxa"/>
            <w:tcBorders>
              <w:top w:val="nil"/>
              <w:left w:val="nil"/>
              <w:bottom w:val="nil"/>
              <w:right w:val="single" w:color="000000" w:sz="4" w:space="0"/>
            </w:tcBorders>
          </w:tcPr>
          <w:p w14:paraId="40B981D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color w:val="000000"/>
                <w:sz w:val="20"/>
                <w:szCs w:val="20"/>
              </w:rPr>
            </w:pPr>
          </w:p>
        </w:tc>
        <w:tc>
          <w:tcPr>
            <w:tcW w:w="1645" w:type="dxa"/>
            <w:gridSpan w:val="2"/>
            <w:tcBorders>
              <w:top w:val="single" w:color="000000" w:sz="4" w:space="0"/>
              <w:left w:val="single" w:color="000000" w:sz="4" w:space="0"/>
              <w:bottom w:val="single" w:color="000000" w:sz="4" w:space="0"/>
              <w:right w:val="single" w:color="000000" w:sz="4" w:space="0"/>
            </w:tcBorders>
            <w:vAlign w:val="bottom"/>
          </w:tcPr>
          <w:p w14:paraId="27B7930A">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Коды</w:t>
            </w:r>
          </w:p>
        </w:tc>
      </w:tr>
      <w:tr w14:paraId="729FA3EB">
        <w:tblPrEx>
          <w:tblCellMar>
            <w:top w:w="0" w:type="dxa"/>
            <w:left w:w="108" w:type="dxa"/>
            <w:bottom w:w="0" w:type="dxa"/>
            <w:right w:w="108" w:type="dxa"/>
          </w:tblCellMar>
        </w:tblPrEx>
        <w:trPr>
          <w:gridBefore w:val="1"/>
          <w:wBefore w:w="124" w:type="dxa"/>
        </w:trPr>
        <w:tc>
          <w:tcPr>
            <w:tcW w:w="3119" w:type="dxa"/>
            <w:tcBorders>
              <w:top w:val="nil"/>
              <w:left w:val="nil"/>
              <w:bottom w:val="nil"/>
              <w:right w:val="nil"/>
            </w:tcBorders>
          </w:tcPr>
          <w:p w14:paraId="71CAAF6E">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Полное наименование</w:t>
            </w:r>
          </w:p>
        </w:tc>
        <w:tc>
          <w:tcPr>
            <w:tcW w:w="8221" w:type="dxa"/>
            <w:tcBorders>
              <w:top w:val="nil"/>
              <w:left w:val="nil"/>
              <w:bottom w:val="nil"/>
              <w:right w:val="nil"/>
            </w:tcBorders>
          </w:tcPr>
          <w:p w14:paraId="07B91264">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color w:val="000000"/>
                <w:sz w:val="20"/>
                <w:szCs w:val="20"/>
              </w:rPr>
            </w:pPr>
          </w:p>
        </w:tc>
        <w:tc>
          <w:tcPr>
            <w:tcW w:w="1361" w:type="dxa"/>
            <w:tcBorders>
              <w:top w:val="nil"/>
              <w:left w:val="nil"/>
              <w:bottom w:val="nil"/>
              <w:right w:val="single" w:color="000000" w:sz="4" w:space="0"/>
            </w:tcBorders>
            <w:vAlign w:val="bottom"/>
          </w:tcPr>
          <w:p w14:paraId="62032A84">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ИНН</w:t>
            </w:r>
          </w:p>
        </w:tc>
        <w:tc>
          <w:tcPr>
            <w:tcW w:w="1645" w:type="dxa"/>
            <w:gridSpan w:val="2"/>
            <w:tcBorders>
              <w:top w:val="single" w:color="000000" w:sz="4" w:space="0"/>
              <w:left w:val="single" w:color="000000" w:sz="4" w:space="0"/>
              <w:bottom w:val="single" w:color="000000" w:sz="4" w:space="0"/>
              <w:right w:val="single" w:color="000000" w:sz="4" w:space="0"/>
            </w:tcBorders>
          </w:tcPr>
          <w:p w14:paraId="2E82FFE4">
            <w:pPr>
              <w:rPr>
                <w:rFonts w:ascii="Times New Roman" w:hAnsi="Times New Roman" w:cs="Times New Roman"/>
                <w:sz w:val="20"/>
                <w:szCs w:val="20"/>
              </w:rPr>
            </w:pPr>
          </w:p>
        </w:tc>
      </w:tr>
      <w:tr w14:paraId="65D31AE1">
        <w:tblPrEx>
          <w:tblCellMar>
            <w:top w:w="0" w:type="dxa"/>
            <w:left w:w="108" w:type="dxa"/>
            <w:bottom w:w="0" w:type="dxa"/>
            <w:right w:w="108" w:type="dxa"/>
          </w:tblCellMar>
        </w:tblPrEx>
        <w:trPr>
          <w:gridBefore w:val="1"/>
          <w:wBefore w:w="124" w:type="dxa"/>
        </w:trPr>
        <w:tc>
          <w:tcPr>
            <w:tcW w:w="3119" w:type="dxa"/>
            <w:tcBorders>
              <w:top w:val="nil"/>
              <w:left w:val="nil"/>
              <w:bottom w:val="nil"/>
              <w:right w:val="nil"/>
            </w:tcBorders>
          </w:tcPr>
          <w:p w14:paraId="71606342">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color w:val="000000"/>
                <w:sz w:val="20"/>
                <w:szCs w:val="20"/>
              </w:rPr>
            </w:pPr>
          </w:p>
        </w:tc>
        <w:tc>
          <w:tcPr>
            <w:tcW w:w="8221" w:type="dxa"/>
            <w:tcBorders>
              <w:top w:val="nil"/>
              <w:left w:val="nil"/>
              <w:bottom w:val="single" w:color="000000" w:sz="4" w:space="0"/>
              <w:right w:val="nil"/>
            </w:tcBorders>
          </w:tcPr>
          <w:p w14:paraId="19CCC29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color w:val="000000"/>
                <w:sz w:val="20"/>
                <w:szCs w:val="20"/>
              </w:rPr>
            </w:pPr>
          </w:p>
        </w:tc>
        <w:tc>
          <w:tcPr>
            <w:tcW w:w="1361" w:type="dxa"/>
            <w:tcBorders>
              <w:top w:val="nil"/>
              <w:left w:val="nil"/>
              <w:bottom w:val="nil"/>
              <w:right w:val="single" w:color="000000" w:sz="4" w:space="0"/>
            </w:tcBorders>
            <w:vAlign w:val="bottom"/>
          </w:tcPr>
          <w:p w14:paraId="5F526FE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КПП</w:t>
            </w:r>
          </w:p>
        </w:tc>
        <w:tc>
          <w:tcPr>
            <w:tcW w:w="1645" w:type="dxa"/>
            <w:gridSpan w:val="2"/>
            <w:tcBorders>
              <w:top w:val="single" w:color="000000" w:sz="4" w:space="0"/>
              <w:left w:val="single" w:color="000000" w:sz="4" w:space="0"/>
              <w:bottom w:val="single" w:color="000000" w:sz="4" w:space="0"/>
              <w:right w:val="single" w:color="000000" w:sz="4" w:space="0"/>
            </w:tcBorders>
          </w:tcPr>
          <w:p w14:paraId="789ACDB9">
            <w:pPr>
              <w:rPr>
                <w:rFonts w:ascii="Times New Roman" w:hAnsi="Times New Roman" w:cs="Times New Roman"/>
                <w:sz w:val="20"/>
                <w:szCs w:val="20"/>
              </w:rPr>
            </w:pPr>
          </w:p>
        </w:tc>
      </w:tr>
      <w:tr w14:paraId="607782F5">
        <w:tblPrEx>
          <w:tblCellMar>
            <w:top w:w="0" w:type="dxa"/>
            <w:left w:w="108" w:type="dxa"/>
            <w:bottom w:w="0" w:type="dxa"/>
            <w:right w:w="108" w:type="dxa"/>
          </w:tblCellMar>
        </w:tblPrEx>
        <w:trPr>
          <w:gridBefore w:val="1"/>
          <w:wBefore w:w="124" w:type="dxa"/>
        </w:trPr>
        <w:tc>
          <w:tcPr>
            <w:tcW w:w="3119" w:type="dxa"/>
            <w:tcBorders>
              <w:top w:val="nil"/>
              <w:left w:val="nil"/>
              <w:bottom w:val="nil"/>
              <w:right w:val="nil"/>
            </w:tcBorders>
          </w:tcPr>
          <w:p w14:paraId="6EBB207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Место нахождения, телефон, адрес электронной почты</w:t>
            </w:r>
          </w:p>
        </w:tc>
        <w:tc>
          <w:tcPr>
            <w:tcW w:w="8221" w:type="dxa"/>
            <w:tcBorders>
              <w:top w:val="single" w:color="000000" w:sz="4" w:space="0"/>
              <w:left w:val="nil"/>
              <w:bottom w:val="single" w:color="000000" w:sz="4" w:space="0"/>
              <w:right w:val="nil"/>
            </w:tcBorders>
          </w:tcPr>
          <w:p w14:paraId="1BDAA485">
            <w:pPr>
              <w:widowControl w:val="0"/>
              <w:spacing w:after="0" w:line="240" w:lineRule="auto"/>
              <w:jc w:val="both"/>
              <w:rPr>
                <w:rFonts w:ascii="Times New Roman" w:hAnsi="Times New Roman" w:eastAsia="Times New Roman" w:cs="Times New Roman"/>
                <w:sz w:val="20"/>
                <w:szCs w:val="20"/>
              </w:rPr>
            </w:pPr>
          </w:p>
        </w:tc>
        <w:tc>
          <w:tcPr>
            <w:tcW w:w="1361" w:type="dxa"/>
            <w:tcBorders>
              <w:top w:val="nil"/>
              <w:left w:val="nil"/>
              <w:bottom w:val="nil"/>
              <w:right w:val="single" w:color="000000" w:sz="4" w:space="0"/>
            </w:tcBorders>
            <w:vAlign w:val="bottom"/>
          </w:tcPr>
          <w:p w14:paraId="2DE649E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по ОКТМО</w:t>
            </w:r>
          </w:p>
        </w:tc>
        <w:tc>
          <w:tcPr>
            <w:tcW w:w="1645" w:type="dxa"/>
            <w:gridSpan w:val="2"/>
            <w:tcBorders>
              <w:top w:val="single" w:color="000000" w:sz="4" w:space="0"/>
              <w:left w:val="single" w:color="000000" w:sz="4" w:space="0"/>
              <w:bottom w:val="single" w:color="000000" w:sz="4" w:space="0"/>
              <w:right w:val="single" w:color="000000" w:sz="4" w:space="0"/>
            </w:tcBorders>
          </w:tcPr>
          <w:p w14:paraId="76ACDBC1">
            <w:pPr>
              <w:rPr>
                <w:rFonts w:ascii="Times New Roman" w:hAnsi="Times New Roman" w:cs="Times New Roman"/>
                <w:sz w:val="20"/>
                <w:szCs w:val="20"/>
              </w:rPr>
            </w:pPr>
          </w:p>
        </w:tc>
      </w:tr>
      <w:tr w14:paraId="467FB2AB">
        <w:tblPrEx>
          <w:tblCellMar>
            <w:top w:w="0" w:type="dxa"/>
            <w:left w:w="108" w:type="dxa"/>
            <w:bottom w:w="0" w:type="dxa"/>
            <w:right w:w="108" w:type="dxa"/>
          </w:tblCellMar>
        </w:tblPrEx>
        <w:trPr>
          <w:gridBefore w:val="1"/>
          <w:wBefore w:w="124" w:type="dxa"/>
          <w:trHeight w:val="494" w:hRule="atLeast"/>
        </w:trPr>
        <w:tc>
          <w:tcPr>
            <w:tcW w:w="3119" w:type="dxa"/>
            <w:tcBorders>
              <w:top w:val="nil"/>
              <w:left w:val="nil"/>
              <w:bottom w:val="nil"/>
              <w:right w:val="nil"/>
            </w:tcBorders>
            <w:vAlign w:val="bottom"/>
          </w:tcPr>
          <w:p w14:paraId="63E7D6F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Наименование объекта закупки</w:t>
            </w:r>
          </w:p>
        </w:tc>
        <w:tc>
          <w:tcPr>
            <w:tcW w:w="8221" w:type="dxa"/>
            <w:tcBorders>
              <w:top w:val="single" w:color="000000" w:sz="4" w:space="0"/>
              <w:left w:val="nil"/>
              <w:bottom w:val="single" w:color="000000" w:sz="4" w:space="0"/>
              <w:right w:val="nil"/>
            </w:tcBorders>
          </w:tcPr>
          <w:p w14:paraId="502F3D30">
            <w:pPr>
              <w:widowControl w:val="0"/>
              <w:suppressAutoHyphens/>
              <w:spacing w:after="0" w:line="240" w:lineRule="auto"/>
              <w:rPr>
                <w:rFonts w:ascii="Times New Roman" w:hAnsi="Times New Roman" w:eastAsia="Times New Roman" w:cs="Times New Roman"/>
                <w:color w:val="000000"/>
                <w:sz w:val="20"/>
                <w:szCs w:val="20"/>
                <w:highlight w:val="yellow"/>
              </w:rPr>
            </w:pPr>
          </w:p>
        </w:tc>
        <w:tc>
          <w:tcPr>
            <w:tcW w:w="3006" w:type="dxa"/>
            <w:gridSpan w:val="3"/>
            <w:tcBorders>
              <w:top w:val="single" w:color="000000" w:sz="4" w:space="0"/>
              <w:left w:val="nil"/>
              <w:bottom w:val="single" w:color="000000" w:sz="4" w:space="0"/>
              <w:right w:val="single" w:color="000000" w:sz="4" w:space="0"/>
            </w:tcBorders>
          </w:tcPr>
          <w:p w14:paraId="3F4B4AC1">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color w:val="000000"/>
                <w:sz w:val="20"/>
                <w:szCs w:val="20"/>
              </w:rPr>
            </w:pPr>
          </w:p>
        </w:tc>
      </w:tr>
    </w:tbl>
    <w:p w14:paraId="2BF61AD2">
      <w:pPr>
        <w:keepNext/>
        <w:keepLines/>
        <w:spacing w:after="0" w:line="240" w:lineRule="auto"/>
        <w:ind w:left="-851" w:firstLine="709"/>
        <w:jc w:val="both"/>
        <w:rPr>
          <w:rFonts w:ascii="Times New Roman" w:hAnsi="Times New Roman" w:eastAsia="Times New Roman" w:cs="Times New Roman"/>
          <w:color w:val="000000"/>
          <w:sz w:val="20"/>
          <w:szCs w:val="20"/>
        </w:rPr>
      </w:pPr>
    </w:p>
    <w:p w14:paraId="1B6FB5D2">
      <w:pPr>
        <w:jc w:val="cente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II. Критерии и показатели оценки заявок на участие в закупке</w:t>
      </w:r>
    </w:p>
    <w:p w14:paraId="766FD866">
      <w:pPr>
        <w:autoSpaceDE w:val="0"/>
        <w:autoSpaceDN w:val="0"/>
        <w:adjustRightInd w:val="0"/>
        <w:spacing w:after="0" w:line="288" w:lineRule="auto"/>
        <w:jc w:val="both"/>
        <w:rPr>
          <w:rFonts w:ascii="Times New Roman" w:hAnsi="Times New Roman" w:eastAsia="Times New Roman" w:cs="Times New Roman"/>
          <w:sz w:val="20"/>
          <w:szCs w:val="20"/>
          <w:lang w:eastAsia="ru-RU"/>
        </w:rPr>
      </w:pPr>
    </w:p>
    <w:tbl>
      <w:tblPr>
        <w:tblStyle w:val="3"/>
        <w:tblW w:w="518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02" w:type="dxa"/>
          <w:left w:w="62" w:type="dxa"/>
          <w:bottom w:w="102" w:type="dxa"/>
          <w:right w:w="62" w:type="dxa"/>
        </w:tblCellMar>
      </w:tblPr>
      <w:tblGrid>
        <w:gridCol w:w="353"/>
        <w:gridCol w:w="1663"/>
        <w:gridCol w:w="1322"/>
        <w:gridCol w:w="1651"/>
        <w:gridCol w:w="1322"/>
        <w:gridCol w:w="2080"/>
        <w:gridCol w:w="1965"/>
        <w:gridCol w:w="3944"/>
        <w:gridCol w:w="929"/>
      </w:tblGrid>
      <w:tr w14:paraId="7019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6" w:type="pct"/>
            <w:vAlign w:val="center"/>
          </w:tcPr>
          <w:p w14:paraId="3BCDC8D3">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w:t>
            </w:r>
          </w:p>
        </w:tc>
        <w:tc>
          <w:tcPr>
            <w:tcW w:w="546" w:type="pct"/>
            <w:vAlign w:val="center"/>
          </w:tcPr>
          <w:p w14:paraId="609E2596">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Критерий оценки</w:t>
            </w:r>
          </w:p>
        </w:tc>
        <w:tc>
          <w:tcPr>
            <w:tcW w:w="434" w:type="pct"/>
            <w:vAlign w:val="center"/>
          </w:tcPr>
          <w:p w14:paraId="2E14CAA7">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Значимость критерия оценки, процентов</w:t>
            </w:r>
          </w:p>
        </w:tc>
        <w:tc>
          <w:tcPr>
            <w:tcW w:w="542" w:type="pct"/>
            <w:vAlign w:val="center"/>
          </w:tcPr>
          <w:p w14:paraId="6EAF365E">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Показатель оценки</w:t>
            </w:r>
          </w:p>
        </w:tc>
        <w:tc>
          <w:tcPr>
            <w:tcW w:w="434" w:type="pct"/>
            <w:vAlign w:val="center"/>
          </w:tcPr>
          <w:p w14:paraId="52C59BD9">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Значимость показателя оценки, процентов</w:t>
            </w:r>
          </w:p>
        </w:tc>
        <w:tc>
          <w:tcPr>
            <w:tcW w:w="683" w:type="pct"/>
            <w:vAlign w:val="center"/>
          </w:tcPr>
          <w:p w14:paraId="01F8BCA9">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Показатель оценки, детализирующий показатель оценки</w:t>
            </w:r>
          </w:p>
        </w:tc>
        <w:tc>
          <w:tcPr>
            <w:tcW w:w="645" w:type="pct"/>
            <w:vAlign w:val="center"/>
          </w:tcPr>
          <w:p w14:paraId="3E6A574B">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Значимость показателя, детализирующего показатель оценки, процентов</w:t>
            </w:r>
          </w:p>
        </w:tc>
        <w:tc>
          <w:tcPr>
            <w:tcW w:w="1600" w:type="pct"/>
            <w:gridSpan w:val="2"/>
            <w:vAlign w:val="center"/>
          </w:tcPr>
          <w:p w14:paraId="10A39F0F">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Формула оценки или шкала оценки</w:t>
            </w:r>
          </w:p>
        </w:tc>
      </w:tr>
      <w:tr w14:paraId="61CCE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6" w:type="pct"/>
          </w:tcPr>
          <w:p w14:paraId="26D50638">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1.</w:t>
            </w:r>
          </w:p>
        </w:tc>
        <w:tc>
          <w:tcPr>
            <w:tcW w:w="546" w:type="pct"/>
          </w:tcPr>
          <w:p w14:paraId="555C4F1C">
            <w:pPr>
              <w:autoSpaceDE w:val="0"/>
              <w:autoSpaceDN w:val="0"/>
              <w:adjustRightInd w:val="0"/>
              <w:spacing w:after="0" w:line="288"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Цена контракта</w:t>
            </w:r>
          </w:p>
        </w:tc>
        <w:tc>
          <w:tcPr>
            <w:tcW w:w="434" w:type="pct"/>
          </w:tcPr>
          <w:p w14:paraId="5153CAEC">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60</w:t>
            </w:r>
          </w:p>
        </w:tc>
        <w:tc>
          <w:tcPr>
            <w:tcW w:w="542" w:type="pct"/>
          </w:tcPr>
          <w:p w14:paraId="169CB334">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w:t>
            </w:r>
          </w:p>
        </w:tc>
        <w:tc>
          <w:tcPr>
            <w:tcW w:w="434" w:type="pct"/>
          </w:tcPr>
          <w:p w14:paraId="149381D9">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w:t>
            </w:r>
          </w:p>
        </w:tc>
        <w:tc>
          <w:tcPr>
            <w:tcW w:w="683" w:type="pct"/>
          </w:tcPr>
          <w:p w14:paraId="79E91EE5">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w:t>
            </w:r>
          </w:p>
        </w:tc>
        <w:tc>
          <w:tcPr>
            <w:tcW w:w="645" w:type="pct"/>
          </w:tcPr>
          <w:p w14:paraId="7F5338D0">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w:t>
            </w:r>
          </w:p>
        </w:tc>
        <w:tc>
          <w:tcPr>
            <w:tcW w:w="1600" w:type="pct"/>
            <w:gridSpan w:val="2"/>
          </w:tcPr>
          <w:p w14:paraId="61D6DA2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 xml:space="preserve">    Значение количества баллов по критерию оценки "цена договора, сумма цен единиц товара, работы, услуги", присваиваемое заявке, (БЦi) определяется по одной из следующих формул:</w:t>
            </w:r>
          </w:p>
          <w:p w14:paraId="0A7CA76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000000"/>
                <w:sz w:val="18"/>
                <w:szCs w:val="18"/>
              </w:rPr>
            </w:pPr>
          </w:p>
          <w:p w14:paraId="6B2FA11D">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lang w:eastAsia="ru-RU"/>
              </w:rPr>
              <w:drawing>
                <wp:inline distT="0" distB="0" distL="0" distR="0">
                  <wp:extent cx="2114550" cy="5619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2"/>
                          <a:srcRect/>
                          <a:stretch>
                            <a:fillRect/>
                          </a:stretch>
                        </pic:blipFill>
                        <pic:spPr>
                          <a:xfrm>
                            <a:off x="0" y="0"/>
                            <a:ext cx="2114550" cy="561975"/>
                          </a:xfrm>
                          <a:prstGeom prst="rect">
                            <a:avLst/>
                          </a:prstGeom>
                        </pic:spPr>
                      </pic:pic>
                    </a:graphicData>
                  </a:graphic>
                </wp:inline>
              </w:drawing>
            </w:r>
          </w:p>
          <w:p w14:paraId="1D44CF4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где:</w:t>
            </w:r>
          </w:p>
          <w:p w14:paraId="73D15087">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 xml:space="preserve">Цi - предложение участника закупки о цене </w:t>
            </w:r>
            <w:r>
              <w:rPr>
                <w:rFonts w:ascii="Times New Roman" w:hAnsi="Times New Roman" w:eastAsia="Times New Roman" w:cs="Times New Roman"/>
                <w:color w:val="000000"/>
                <w:sz w:val="18"/>
                <w:szCs w:val="18"/>
                <w:lang w:val="ru-RU"/>
              </w:rPr>
              <w:t>договора</w:t>
            </w:r>
            <w:r>
              <w:rPr>
                <w:rFonts w:ascii="Times New Roman" w:hAnsi="Times New Roman" w:eastAsia="Times New Roman" w:cs="Times New Roman"/>
                <w:color w:val="000000"/>
                <w:sz w:val="18"/>
                <w:szCs w:val="18"/>
              </w:rPr>
              <w:t xml:space="preserve">, или о сумме цен всех </w:t>
            </w:r>
            <w:r>
              <w:rPr>
                <w:rFonts w:ascii="Times New Roman" w:hAnsi="Times New Roman" w:eastAsia="Times New Roman" w:cs="Times New Roman"/>
                <w:color w:val="000000"/>
                <w:sz w:val="18"/>
                <w:szCs w:val="18"/>
                <w:lang w:val="ru-RU"/>
              </w:rPr>
              <w:t>договоров</w:t>
            </w:r>
            <w:r>
              <w:rPr>
                <w:rFonts w:ascii="Times New Roman" w:hAnsi="Times New Roman" w:eastAsia="Times New Roman" w:cs="Times New Roman"/>
                <w:color w:val="000000"/>
                <w:sz w:val="18"/>
                <w:szCs w:val="18"/>
              </w:rPr>
              <w:t>, заключаемых по результатам проведения совме</w:t>
            </w:r>
            <w:r>
              <w:rPr>
                <w:rFonts w:ascii="Times New Roman" w:hAnsi="Times New Roman" w:eastAsia="Times New Roman" w:cs="Times New Roman"/>
                <w:color w:val="000000"/>
                <w:sz w:val="18"/>
                <w:szCs w:val="18"/>
                <w:lang w:val="ru-RU"/>
              </w:rPr>
              <w:t>стного</w:t>
            </w:r>
            <w:r>
              <w:rPr>
                <w:rFonts w:hint="default" w:ascii="Times New Roman" w:hAnsi="Times New Roman" w:eastAsia="Times New Roman" w:cs="Times New Roman"/>
                <w:color w:val="000000"/>
                <w:sz w:val="18"/>
                <w:szCs w:val="18"/>
                <w:lang w:val="ru-RU"/>
              </w:rPr>
              <w:t xml:space="preserve"> конкурса</w:t>
            </w:r>
            <w:r>
              <w:rPr>
                <w:rFonts w:ascii="Times New Roman" w:hAnsi="Times New Roman" w:eastAsia="Times New Roman" w:cs="Times New Roman"/>
                <w:color w:val="000000"/>
                <w:sz w:val="18"/>
                <w:szCs w:val="18"/>
              </w:rPr>
              <w:t xml:space="preserve"> (в случае проведения совместного конкурса), или о сумме цен единиц товара, работы, услуги </w:t>
            </w:r>
          </w:p>
          <w:p w14:paraId="400B348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 xml:space="preserve">Цл - наилучшее ценовое предложение из числа предложенных </w:t>
            </w:r>
          </w:p>
          <w:p w14:paraId="08EB88B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 xml:space="preserve">б) в случае если по результатам применения формулы, при оценке хотя бы одной заявки получено значение, являющееся отрицательным числом, значение количества баллов по критерию оценки "цена </w:t>
            </w:r>
            <w:r>
              <w:rPr>
                <w:rFonts w:ascii="Times New Roman" w:hAnsi="Times New Roman" w:eastAsia="Times New Roman" w:cs="Times New Roman"/>
                <w:color w:val="000000"/>
                <w:sz w:val="18"/>
                <w:szCs w:val="18"/>
                <w:lang w:val="ru-RU"/>
              </w:rPr>
              <w:t>договора</w:t>
            </w:r>
            <w:r>
              <w:rPr>
                <w:rFonts w:ascii="Times New Roman" w:hAnsi="Times New Roman" w:eastAsia="Times New Roman" w:cs="Times New Roman"/>
                <w:color w:val="000000"/>
                <w:sz w:val="18"/>
                <w:szCs w:val="18"/>
              </w:rPr>
              <w:t xml:space="preserve">, сумма цен единиц товара, работы, услуги" всем заявкам, подлежащим в соответствии с Федеральным </w:t>
            </w:r>
            <w:r>
              <w:fldChar w:fldCharType="begin"/>
            </w:r>
            <w:r>
              <w:instrText xml:space="preserve"> HYPERLINK "about:blank" \h </w:instrText>
            </w:r>
            <w:r>
              <w:fldChar w:fldCharType="separate"/>
            </w:r>
            <w:r>
              <w:rPr>
                <w:rFonts w:ascii="Times New Roman" w:hAnsi="Times New Roman" w:eastAsia="Times New Roman" w:cs="Times New Roman"/>
                <w:color w:val="000000"/>
                <w:sz w:val="18"/>
                <w:szCs w:val="18"/>
              </w:rPr>
              <w:t>законом</w:t>
            </w:r>
            <w:r>
              <w:rPr>
                <w:rFonts w:ascii="Times New Roman" w:hAnsi="Times New Roman" w:eastAsia="Times New Roman" w:cs="Times New Roman"/>
                <w:color w:val="000000"/>
                <w:sz w:val="18"/>
                <w:szCs w:val="18"/>
              </w:rPr>
              <w:fldChar w:fldCharType="end"/>
            </w:r>
            <w:r>
              <w:rPr>
                <w:rFonts w:ascii="Times New Roman" w:hAnsi="Times New Roman" w:eastAsia="Times New Roman" w:cs="Times New Roman"/>
                <w:color w:val="000000"/>
                <w:sz w:val="18"/>
                <w:szCs w:val="18"/>
              </w:rPr>
              <w:t xml:space="preserve"> оценке по указанному критерию оценки (БЦi), определяется по формуле:</w:t>
            </w:r>
          </w:p>
          <w:p w14:paraId="4EE9CF78">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lang w:eastAsia="ru-RU"/>
              </w:rPr>
              <w:drawing>
                <wp:inline distT="0" distB="0" distL="0" distR="0">
                  <wp:extent cx="2200275" cy="55245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3" name="image3.png"/>
                          <pic:cNvPicPr preferRelativeResize="0"/>
                        </pic:nvPicPr>
                        <pic:blipFill>
                          <a:blip r:embed="rId13"/>
                          <a:srcRect/>
                          <a:stretch>
                            <a:fillRect/>
                          </a:stretch>
                        </pic:blipFill>
                        <pic:spPr>
                          <a:xfrm>
                            <a:off x="0" y="0"/>
                            <a:ext cx="2200275" cy="552450"/>
                          </a:xfrm>
                          <a:prstGeom prst="rect">
                            <a:avLst/>
                          </a:prstGeom>
                        </pic:spPr>
                      </pic:pic>
                    </a:graphicData>
                  </a:graphic>
                </wp:inline>
              </w:drawing>
            </w:r>
          </w:p>
          <w:p w14:paraId="7AC8FE64">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 xml:space="preserve">где Цнач - начальная (максимальная) цена </w:t>
            </w:r>
            <w:r>
              <w:rPr>
                <w:rFonts w:ascii="Times New Roman" w:hAnsi="Times New Roman" w:eastAsia="Times New Roman" w:cs="Times New Roman"/>
                <w:color w:val="000000"/>
                <w:sz w:val="18"/>
                <w:szCs w:val="18"/>
                <w:lang w:val="ru-RU"/>
              </w:rPr>
              <w:t>договора</w:t>
            </w:r>
            <w:r>
              <w:rPr>
                <w:rFonts w:ascii="Times New Roman" w:hAnsi="Times New Roman" w:eastAsia="Times New Roman" w:cs="Times New Roman"/>
                <w:color w:val="000000"/>
                <w:sz w:val="18"/>
                <w:szCs w:val="18"/>
              </w:rPr>
              <w:t xml:space="preserve">, или сумма начальных (максимальных) цен каждого </w:t>
            </w:r>
            <w:r>
              <w:rPr>
                <w:rFonts w:ascii="Times New Roman" w:hAnsi="Times New Roman" w:eastAsia="Times New Roman" w:cs="Times New Roman"/>
                <w:color w:val="000000"/>
                <w:sz w:val="18"/>
                <w:szCs w:val="18"/>
                <w:lang w:val="ru-RU"/>
              </w:rPr>
              <w:t>договора</w:t>
            </w:r>
            <w:r>
              <w:rPr>
                <w:rFonts w:ascii="Times New Roman" w:hAnsi="Times New Roman" w:eastAsia="Times New Roman" w:cs="Times New Roman"/>
                <w:color w:val="000000"/>
                <w:sz w:val="18"/>
                <w:szCs w:val="18"/>
              </w:rPr>
              <w:t xml:space="preserve">,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w:t>
            </w:r>
          </w:p>
          <w:p w14:paraId="0BD42D54">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 xml:space="preserve">   Если при проведении процедуры подачи предложений о цене контракта либо о сумме цен единиц товара, работы, услуги подано ценовое предложение, предусматривающее снижение таких цены </w:t>
            </w:r>
            <w:r>
              <w:rPr>
                <w:rFonts w:ascii="Times New Roman" w:hAnsi="Times New Roman" w:eastAsia="Times New Roman" w:cs="Times New Roman"/>
                <w:color w:val="000000"/>
                <w:sz w:val="18"/>
                <w:szCs w:val="18"/>
                <w:lang w:val="ru-RU"/>
              </w:rPr>
              <w:t>догговора</w:t>
            </w:r>
            <w:r>
              <w:rPr>
                <w:rFonts w:ascii="Times New Roman" w:hAnsi="Times New Roman" w:eastAsia="Times New Roman" w:cs="Times New Roman"/>
                <w:color w:val="000000"/>
                <w:sz w:val="18"/>
                <w:szCs w:val="18"/>
              </w:rPr>
              <w:t xml:space="preserve"> либо суммы цен ниже нуля, значение количества баллов по критерию оценки "цена </w:t>
            </w:r>
            <w:r>
              <w:rPr>
                <w:rFonts w:ascii="Times New Roman" w:hAnsi="Times New Roman" w:eastAsia="Times New Roman" w:cs="Times New Roman"/>
                <w:color w:val="000000"/>
                <w:sz w:val="18"/>
                <w:szCs w:val="18"/>
                <w:lang w:val="ru-RU"/>
              </w:rPr>
              <w:t>договора</w:t>
            </w:r>
            <w:r>
              <w:rPr>
                <w:rFonts w:ascii="Times New Roman" w:hAnsi="Times New Roman" w:eastAsia="Times New Roman" w:cs="Times New Roman"/>
                <w:color w:val="000000"/>
                <w:sz w:val="18"/>
                <w:szCs w:val="18"/>
              </w:rPr>
              <w:t>, сумма цен единиц товара, работы, услуги" (БЦi) определяется в следующем порядке:</w:t>
            </w:r>
          </w:p>
          <w:p w14:paraId="65DBB1AD">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 xml:space="preserve">а) для подлежащей оценке заявки участника закупки, ценовое предложение которого не предусматривает снижение цены </w:t>
            </w:r>
            <w:r>
              <w:rPr>
                <w:rFonts w:ascii="Times New Roman" w:hAnsi="Times New Roman" w:eastAsia="Times New Roman" w:cs="Times New Roman"/>
                <w:color w:val="000000"/>
                <w:sz w:val="18"/>
                <w:szCs w:val="18"/>
                <w:lang w:val="ru-RU"/>
              </w:rPr>
              <w:t>договора</w:t>
            </w:r>
            <w:r>
              <w:rPr>
                <w:rFonts w:ascii="Times New Roman" w:hAnsi="Times New Roman" w:eastAsia="Times New Roman" w:cs="Times New Roman"/>
                <w:color w:val="000000"/>
                <w:sz w:val="18"/>
                <w:szCs w:val="18"/>
              </w:rPr>
              <w:t xml:space="preserve"> либо суммы цен ниже нуля, по критерию оценки "цена </w:t>
            </w:r>
            <w:r>
              <w:rPr>
                <w:rFonts w:ascii="Times New Roman" w:hAnsi="Times New Roman" w:eastAsia="Times New Roman" w:cs="Times New Roman"/>
                <w:color w:val="000000"/>
                <w:sz w:val="18"/>
                <w:szCs w:val="18"/>
                <w:lang w:val="ru-RU"/>
              </w:rPr>
              <w:t>договора</w:t>
            </w:r>
            <w:r>
              <w:rPr>
                <w:rFonts w:ascii="Times New Roman" w:hAnsi="Times New Roman" w:eastAsia="Times New Roman" w:cs="Times New Roman"/>
                <w:color w:val="000000"/>
                <w:sz w:val="18"/>
                <w:szCs w:val="18"/>
              </w:rPr>
              <w:t>, сумма цен единиц товара, работы, услуги" значение количества баллов по указанному критерию оценки (БЦi) определяется по формуле:</w:t>
            </w:r>
          </w:p>
          <w:p w14:paraId="383C2299">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lang w:eastAsia="ru-RU"/>
              </w:rPr>
              <w:drawing>
                <wp:inline distT="0" distB="0" distL="0" distR="0">
                  <wp:extent cx="2324100" cy="5429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2" name="image2.png"/>
                          <pic:cNvPicPr preferRelativeResize="0"/>
                        </pic:nvPicPr>
                        <pic:blipFill>
                          <a:blip r:embed="rId14"/>
                          <a:srcRect/>
                          <a:stretch>
                            <a:fillRect/>
                          </a:stretch>
                        </pic:blipFill>
                        <pic:spPr>
                          <a:xfrm>
                            <a:off x="0" y="0"/>
                            <a:ext cx="2324100" cy="542925"/>
                          </a:xfrm>
                          <a:prstGeom prst="rect">
                            <a:avLst/>
                          </a:prstGeom>
                        </pic:spPr>
                      </pic:pic>
                    </a:graphicData>
                  </a:graphic>
                </wp:inline>
              </w:drawing>
            </w:r>
          </w:p>
          <w:p w14:paraId="76081ED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 xml:space="preserve">б) для подлежащей оценке заявки участника закупки, ценовое предложение которого предусматривает снижение цены </w:t>
            </w:r>
            <w:r>
              <w:rPr>
                <w:rFonts w:ascii="Times New Roman" w:hAnsi="Times New Roman" w:eastAsia="Times New Roman" w:cs="Times New Roman"/>
                <w:color w:val="000000"/>
                <w:sz w:val="18"/>
                <w:szCs w:val="18"/>
                <w:lang w:val="ru-RU"/>
              </w:rPr>
              <w:t>договора</w:t>
            </w:r>
            <w:r>
              <w:rPr>
                <w:rFonts w:ascii="Times New Roman" w:hAnsi="Times New Roman" w:eastAsia="Times New Roman" w:cs="Times New Roman"/>
                <w:color w:val="000000"/>
                <w:sz w:val="18"/>
                <w:szCs w:val="18"/>
              </w:rPr>
              <w:t xml:space="preserve"> либо суммы цен ниже нуля, по критерию оценки "цена </w:t>
            </w:r>
            <w:r>
              <w:rPr>
                <w:rFonts w:ascii="Times New Roman" w:hAnsi="Times New Roman" w:eastAsia="Times New Roman" w:cs="Times New Roman"/>
                <w:color w:val="000000"/>
                <w:sz w:val="18"/>
                <w:szCs w:val="18"/>
                <w:lang w:val="ru-RU"/>
              </w:rPr>
              <w:t>договора</w:t>
            </w:r>
            <w:r>
              <w:rPr>
                <w:rFonts w:ascii="Times New Roman" w:hAnsi="Times New Roman" w:eastAsia="Times New Roman" w:cs="Times New Roman"/>
                <w:color w:val="000000"/>
                <w:sz w:val="18"/>
                <w:szCs w:val="18"/>
              </w:rPr>
              <w:t>, сумма цен единиц товара, работы, услуги" значение количества баллов по указанному критерию оценки (БЦi) определяется по формуле:</w:t>
            </w:r>
          </w:p>
          <w:p w14:paraId="6B0960A1">
            <w:pPr>
              <w:autoSpaceDE w:val="0"/>
              <w:autoSpaceDN w:val="0"/>
              <w:adjustRightInd w:val="0"/>
              <w:spacing w:after="0" w:line="288" w:lineRule="auto"/>
              <w:jc w:val="both"/>
              <w:rPr>
                <w:rFonts w:ascii="Times New Roman" w:hAnsi="Times New Roman" w:eastAsia="Times New Roman" w:cs="Times New Roman"/>
                <w:sz w:val="18"/>
                <w:szCs w:val="18"/>
                <w:lang w:eastAsia="ru-RU"/>
              </w:rPr>
            </w:pPr>
            <w:r>
              <w:rPr>
                <w:rFonts w:ascii="Times New Roman" w:hAnsi="Times New Roman" w:eastAsia="Times New Roman" w:cs="Times New Roman"/>
                <w:color w:val="000000"/>
                <w:sz w:val="18"/>
                <w:szCs w:val="18"/>
                <w:lang w:eastAsia="ru-RU"/>
              </w:rPr>
              <w:drawing>
                <wp:inline distT="0" distB="0" distL="0" distR="0">
                  <wp:extent cx="2124075" cy="561975"/>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5" name="image5.png"/>
                          <pic:cNvPicPr preferRelativeResize="0"/>
                        </pic:nvPicPr>
                        <pic:blipFill>
                          <a:blip r:embed="rId15"/>
                          <a:srcRect/>
                          <a:stretch>
                            <a:fillRect/>
                          </a:stretch>
                        </pic:blipFill>
                        <pic:spPr>
                          <a:xfrm>
                            <a:off x="0" y="0"/>
                            <a:ext cx="2124075" cy="561975"/>
                          </a:xfrm>
                          <a:prstGeom prst="rect">
                            <a:avLst/>
                          </a:prstGeom>
                        </pic:spPr>
                      </pic:pic>
                    </a:graphicData>
                  </a:graphic>
                </wp:inline>
              </w:drawing>
            </w:r>
          </w:p>
        </w:tc>
      </w:tr>
      <w:tr w14:paraId="72084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6" w:type="pct"/>
          </w:tcPr>
          <w:p w14:paraId="0D75BC85">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2.</w:t>
            </w:r>
          </w:p>
        </w:tc>
        <w:tc>
          <w:tcPr>
            <w:tcW w:w="546" w:type="pct"/>
          </w:tcPr>
          <w:p w14:paraId="78CDFF8C">
            <w:pPr>
              <w:autoSpaceDE w:val="0"/>
              <w:autoSpaceDN w:val="0"/>
              <w:adjustRightInd w:val="0"/>
              <w:spacing w:after="0" w:line="288"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Квалификация участников закупки, в том числе наличия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(квалификация участников закупки)</w:t>
            </w:r>
          </w:p>
        </w:tc>
        <w:tc>
          <w:tcPr>
            <w:tcW w:w="434" w:type="pct"/>
          </w:tcPr>
          <w:p w14:paraId="11D197C5">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40</w:t>
            </w:r>
          </w:p>
        </w:tc>
        <w:tc>
          <w:tcPr>
            <w:tcW w:w="542" w:type="pct"/>
          </w:tcPr>
          <w:p w14:paraId="63B9F927">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наличие у участников закупки опыта поставки товара, выполнения работы, оказания услуги, связанного с предметом контракта</w:t>
            </w:r>
          </w:p>
          <w:p w14:paraId="30B8286D">
            <w:pPr>
              <w:autoSpaceDE w:val="0"/>
              <w:autoSpaceDN w:val="0"/>
              <w:adjustRightInd w:val="0"/>
              <w:spacing w:after="0" w:line="288" w:lineRule="auto"/>
              <w:rPr>
                <w:rFonts w:ascii="Times New Roman" w:hAnsi="Times New Roman" w:eastAsia="Times New Roman" w:cs="Times New Roman"/>
                <w:sz w:val="20"/>
                <w:szCs w:val="20"/>
                <w:lang w:eastAsia="ru-RU"/>
              </w:rPr>
            </w:pPr>
          </w:p>
        </w:tc>
        <w:tc>
          <w:tcPr>
            <w:tcW w:w="434" w:type="pct"/>
          </w:tcPr>
          <w:p w14:paraId="23F3987E">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100</w:t>
            </w:r>
          </w:p>
        </w:tc>
        <w:tc>
          <w:tcPr>
            <w:tcW w:w="683" w:type="pct"/>
          </w:tcPr>
          <w:p w14:paraId="532DEAC5">
            <w:pPr>
              <w:spacing w:after="0" w:line="288" w:lineRule="auto"/>
              <w:jc w:val="center"/>
              <w:rPr>
                <w:rFonts w:ascii="Times New Roman" w:hAnsi="Times New Roman" w:cs="Times New Roman"/>
                <w:sz w:val="20"/>
                <w:szCs w:val="20"/>
              </w:rPr>
            </w:pPr>
            <w:r>
              <w:rPr>
                <w:rFonts w:ascii="Times New Roman" w:hAnsi="Times New Roman" w:cs="Times New Roman"/>
                <w:sz w:val="20"/>
                <w:szCs w:val="20"/>
              </w:rPr>
              <w:t>характеристика квалификации участников закупки (общая цена исполненных участником закупки договоров)</w:t>
            </w:r>
          </w:p>
        </w:tc>
        <w:tc>
          <w:tcPr>
            <w:tcW w:w="645" w:type="pct"/>
          </w:tcPr>
          <w:p w14:paraId="23946EF8">
            <w:pPr>
              <w:pStyle w:val="18"/>
              <w:spacing w:line="288" w:lineRule="auto"/>
              <w:ind w:firstLine="0"/>
              <w:rPr>
                <w:rFonts w:ascii="Times New Roman" w:hAnsi="Times New Roman" w:cs="Times New Roman"/>
                <w:sz w:val="20"/>
                <w:szCs w:val="20"/>
              </w:rPr>
            </w:pPr>
            <w:r>
              <w:rPr>
                <w:rFonts w:ascii="Times New Roman" w:hAnsi="Times New Roman" w:cs="Times New Roman"/>
                <w:sz w:val="20"/>
                <w:szCs w:val="20"/>
              </w:rPr>
              <w:t>100</w:t>
            </w:r>
          </w:p>
        </w:tc>
        <w:tc>
          <w:tcPr>
            <w:tcW w:w="1600" w:type="pct"/>
            <w:gridSpan w:val="2"/>
          </w:tcPr>
          <w:p w14:paraId="37824A2C">
            <w:pPr>
              <w:pStyle w:val="14"/>
              <w:spacing w:before="0" w:beforeAutospacing="0" w:after="0" w:afterAutospacing="0" w:line="288" w:lineRule="atLeast"/>
              <w:ind w:firstLine="540"/>
              <w:jc w:val="both"/>
              <w:rPr>
                <w:sz w:val="18"/>
                <w:szCs w:val="18"/>
              </w:rPr>
            </w:pPr>
            <w:r>
              <w:rPr>
                <w:sz w:val="18"/>
                <w:szCs w:val="18"/>
              </w:rPr>
              <w:t xml:space="preserve">Лучшим является наибольшее значение Характеристики квалификации участников закупки № 1 и установлено предельное максимальное значение </w:t>
            </w:r>
            <w:r>
              <w:t>(</w:t>
            </w:r>
            <w:r>
              <w:rPr>
                <w:rFonts w:eastAsiaTheme="minorHAnsi"/>
                <w:sz w:val="18"/>
                <w:szCs w:val="18"/>
                <w:lang w:eastAsia="en-US"/>
              </w:rPr>
              <w:drawing>
                <wp:inline distT="0" distB="0" distL="0" distR="0">
                  <wp:extent cx="218440" cy="151765"/>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29024" cy="159321"/>
                          </a:xfrm>
                          <a:prstGeom prst="rect">
                            <a:avLst/>
                          </a:prstGeom>
                          <a:noFill/>
                          <a:ln>
                            <a:noFill/>
                          </a:ln>
                        </pic:spPr>
                      </pic:pic>
                    </a:graphicData>
                  </a:graphic>
                </wp:inline>
              </w:drawing>
            </w:r>
            <w:r>
              <w:t xml:space="preserve">) </w:t>
            </w:r>
            <w:r>
              <w:rPr>
                <w:sz w:val="18"/>
                <w:szCs w:val="18"/>
              </w:rPr>
              <w:t>характеристики квалификации участников закупки № 1 - по формуле:</w:t>
            </w:r>
          </w:p>
          <w:p w14:paraId="56C0DCC7">
            <w:pPr>
              <w:spacing w:after="0" w:line="240" w:lineRule="auto"/>
              <w:rPr>
                <w:rFonts w:ascii="Times New Roman" w:hAnsi="Times New Roman" w:eastAsia="Times New Roman" w:cs="Times New Roman"/>
                <w:sz w:val="24"/>
                <w:szCs w:val="24"/>
                <w:lang w:eastAsia="ru-RU"/>
              </w:rPr>
            </w:pPr>
            <w:r>
              <w:rPr>
                <w:rFonts w:ascii="Times New Roman" w:hAnsi="Times New Roman" w:cs="Times New Roman"/>
                <w:sz w:val="18"/>
                <w:szCs w:val="18"/>
              </w:rPr>
              <w:drawing>
                <wp:inline distT="0" distB="0" distL="0" distR="0">
                  <wp:extent cx="143573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446688" cy="316634"/>
                          </a:xfrm>
                          <a:prstGeom prst="rect">
                            <a:avLst/>
                          </a:prstGeom>
                          <a:noFill/>
                          <a:ln>
                            <a:noFill/>
                          </a:ln>
                        </pic:spPr>
                      </pic:pic>
                    </a:graphicData>
                  </a:graphic>
                </wp:inline>
              </w:drawing>
            </w:r>
          </w:p>
          <w:p w14:paraId="4F134148">
            <w:pPr>
              <w:autoSpaceDE w:val="0"/>
              <w:spacing w:after="0" w:line="240" w:lineRule="auto"/>
              <w:ind w:firstLine="31"/>
              <w:jc w:val="both"/>
              <w:rPr>
                <w:rFonts w:ascii="Times New Roman" w:hAnsi="Times New Roman" w:cs="Times New Roman"/>
                <w:sz w:val="18"/>
                <w:szCs w:val="18"/>
              </w:rPr>
            </w:pPr>
            <w:r>
              <w:rPr>
                <w:rFonts w:ascii="Times New Roman" w:hAnsi="Times New Roman" w:cs="Times New Roman"/>
                <w:sz w:val="18"/>
                <w:szCs w:val="18"/>
              </w:rPr>
              <w:t>где:</w:t>
            </w:r>
          </w:p>
          <w:p w14:paraId="30BC4AF6">
            <w:pPr>
              <w:autoSpaceDE w:val="0"/>
              <w:spacing w:after="0" w:line="240" w:lineRule="auto"/>
              <w:ind w:firstLine="31"/>
              <w:jc w:val="both"/>
              <w:rPr>
                <w:rFonts w:ascii="Times New Roman" w:hAnsi="Times New Roman" w:cs="Times New Roman"/>
                <w:sz w:val="18"/>
                <w:szCs w:val="18"/>
              </w:rPr>
            </w:pPr>
            <w:r>
              <w:rPr>
                <w:rFonts w:ascii="Times New Roman" w:hAnsi="Times New Roman" w:cs="Times New Roman"/>
                <w:sz w:val="18"/>
                <w:szCs w:val="18"/>
              </w:rPr>
              <w:t>Х</w:t>
            </w:r>
            <w:r>
              <w:rPr>
                <w:rFonts w:ascii="Times New Roman" w:hAnsi="Times New Roman" w:cs="Times New Roman"/>
                <w:sz w:val="18"/>
                <w:szCs w:val="18"/>
                <w:vertAlign w:val="subscript"/>
              </w:rPr>
              <w:t>i</w:t>
            </w:r>
            <w:r>
              <w:rPr>
                <w:rFonts w:ascii="Times New Roman" w:hAnsi="Times New Roman" w:cs="Times New Roman"/>
                <w:sz w:val="18"/>
                <w:szCs w:val="18"/>
              </w:rPr>
              <w:t xml:space="preserve"> - значение Характеристики квалификации участников закупки № 1, содержащееся в предложении участника закупки, заявка (часть заявки) которого подлежит в соответствии с Федеральным </w:t>
            </w:r>
            <w:r>
              <w:fldChar w:fldCharType="begin"/>
            </w:r>
            <w:r>
              <w:instrText xml:space="preserve"> HYPERLINK "consultantplus://offline/ref=B3C223EEA16C809702B1F50B25F6DEAC2D9B1BCA94925FD717EB04B7D37F30B694608ABEE2F92AC4FB377697B4W9z4H" </w:instrText>
            </w:r>
            <w:r>
              <w:fldChar w:fldCharType="separate"/>
            </w:r>
            <w:r>
              <w:rPr>
                <w:rStyle w:val="6"/>
                <w:rFonts w:ascii="Times New Roman" w:hAnsi="Times New Roman" w:cs="Times New Roman"/>
                <w:sz w:val="18"/>
                <w:szCs w:val="18"/>
              </w:rPr>
              <w:t>законом</w:t>
            </w:r>
            <w:r>
              <w:rPr>
                <w:rStyle w:val="6"/>
                <w:rFonts w:ascii="Times New Roman" w:hAnsi="Times New Roman" w:cs="Times New Roman"/>
                <w:sz w:val="18"/>
                <w:szCs w:val="18"/>
              </w:rPr>
              <w:fldChar w:fldCharType="end"/>
            </w:r>
            <w:r>
              <w:rPr>
                <w:rFonts w:ascii="Times New Roman" w:hAnsi="Times New Roman" w:cs="Times New Roman"/>
                <w:sz w:val="18"/>
                <w:szCs w:val="18"/>
              </w:rPr>
              <w:t xml:space="preserve"> оценке по критерию оценки "Квалификация участников закупки ";</w:t>
            </w:r>
          </w:p>
          <w:p w14:paraId="76BDE490">
            <w:pPr>
              <w:autoSpaceDE w:val="0"/>
              <w:spacing w:after="0" w:line="240" w:lineRule="auto"/>
              <w:ind w:firstLine="31"/>
              <w:jc w:val="both"/>
              <w:rPr>
                <w:rFonts w:ascii="Times New Roman" w:hAnsi="Times New Roman" w:cs="Times New Roman"/>
                <w:sz w:val="18"/>
                <w:szCs w:val="18"/>
              </w:rPr>
            </w:pPr>
            <w:r>
              <w:rPr>
                <w:rFonts w:ascii="Times New Roman" w:hAnsi="Times New Roman" w:cs="Times New Roman"/>
                <w:sz w:val="18"/>
                <w:szCs w:val="18"/>
              </w:rPr>
              <w:t>Х</w:t>
            </w:r>
            <w:r>
              <w:rPr>
                <w:rFonts w:ascii="Times New Roman" w:hAnsi="Times New Roman" w:cs="Times New Roman"/>
                <w:sz w:val="18"/>
                <w:szCs w:val="18"/>
                <w:vertAlign w:val="subscript"/>
              </w:rPr>
              <w:t>max</w:t>
            </w:r>
            <w:r>
              <w:rPr>
                <w:rFonts w:ascii="Times New Roman" w:hAnsi="Times New Roman" w:cs="Times New Roman"/>
                <w:sz w:val="18"/>
                <w:szCs w:val="18"/>
              </w:rPr>
              <w:t xml:space="preserve"> - максимальное значение Характеристики квалификации участников закупки № 1, содержащееся в заявках (частях заявок), подлежащих в соответствии с Федеральным законом оценке по критерию оценки "Квалификация участников закупки"; </w:t>
            </w:r>
          </w:p>
          <w:p w14:paraId="5975DB8C">
            <w:pPr>
              <w:autoSpaceDE w:val="0"/>
              <w:spacing w:after="0" w:line="240" w:lineRule="auto"/>
              <w:ind w:firstLine="31"/>
              <w:jc w:val="both"/>
              <w:rPr>
                <w:rFonts w:ascii="Times New Roman" w:hAnsi="Times New Roman" w:cs="Times New Roman"/>
                <w:sz w:val="18"/>
                <w:szCs w:val="18"/>
              </w:rPr>
            </w:pPr>
            <w:r>
              <w:rPr>
                <w:sz w:val="18"/>
                <w:szCs w:val="18"/>
              </w:rPr>
              <w:drawing>
                <wp:inline distT="0" distB="0" distL="0" distR="0">
                  <wp:extent cx="218440" cy="151765"/>
                  <wp:effectExtent l="0" t="0" r="0"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29024" cy="159321"/>
                          </a:xfrm>
                          <a:prstGeom prst="rect">
                            <a:avLst/>
                          </a:prstGeom>
                          <a:noFill/>
                          <a:ln>
                            <a:noFill/>
                          </a:ln>
                        </pic:spPr>
                      </pic:pic>
                    </a:graphicData>
                  </a:graphic>
                </wp:inline>
              </w:drawing>
            </w:r>
            <w:r>
              <w:rPr>
                <w:rFonts w:ascii="Times New Roman" w:hAnsi="Times New Roman" w:cs="Times New Roman"/>
                <w:sz w:val="18"/>
                <w:szCs w:val="18"/>
              </w:rPr>
              <w:t xml:space="preserve">- предельное максимальное значение Характеристики квалификации участников закупки № 1, установленное заказчиком – </w:t>
            </w:r>
            <w:r>
              <w:rPr>
                <w:rFonts w:hint="default" w:ascii="Times New Roman" w:hAnsi="Times New Roman" w:cs="Times New Roman"/>
                <w:sz w:val="18"/>
                <w:szCs w:val="18"/>
                <w:lang w:val="ru-RU"/>
              </w:rPr>
              <w:t>10</w:t>
            </w:r>
            <w:r>
              <w:rPr>
                <w:rFonts w:ascii="Times New Roman" w:hAnsi="Times New Roman" w:cs="Times New Roman"/>
                <w:sz w:val="18"/>
                <w:szCs w:val="18"/>
              </w:rPr>
              <w:t>0 000 000,00 рублей</w:t>
            </w:r>
          </w:p>
          <w:p w14:paraId="1974638D">
            <w:pPr>
              <w:autoSpaceDE w:val="0"/>
              <w:spacing w:after="0" w:line="240" w:lineRule="auto"/>
              <w:ind w:firstLine="31"/>
              <w:jc w:val="both"/>
              <w:rPr>
                <w:rFonts w:ascii="Times New Roman" w:hAnsi="Times New Roman" w:cs="Times New Roman"/>
                <w:sz w:val="18"/>
                <w:szCs w:val="18"/>
              </w:rPr>
            </w:pPr>
            <w:r>
              <w:rPr>
                <w:rFonts w:ascii="Times New Roman" w:hAnsi="Times New Roman" w:cs="Times New Roman"/>
                <w:sz w:val="18"/>
                <w:szCs w:val="18"/>
              </w:rPr>
              <w:t>Если в предложении участника закупки содержится значение Характеристики квалификации участников закупки № 1, которое выше предельного максимального значения, баллы по детализирующему показателю присваиваются в размере, предусмотренном для соответствующего предельного значения Характеристики квалификации участников закупки № 1.</w:t>
            </w:r>
          </w:p>
          <w:p w14:paraId="211BDBF6">
            <w:pPr>
              <w:autoSpaceDE w:val="0"/>
              <w:spacing w:after="0" w:line="240" w:lineRule="auto"/>
              <w:ind w:firstLine="31"/>
              <w:jc w:val="both"/>
              <w:rPr>
                <w:rFonts w:ascii="Times New Roman" w:hAnsi="Times New Roman" w:cs="Times New Roman"/>
                <w:sz w:val="18"/>
                <w:szCs w:val="18"/>
              </w:rPr>
            </w:pPr>
          </w:p>
          <w:p w14:paraId="0E190CAF">
            <w:pPr>
              <w:pStyle w:val="18"/>
              <w:spacing w:line="288" w:lineRule="auto"/>
              <w:ind w:firstLine="0"/>
              <w:jc w:val="both"/>
              <w:rPr>
                <w:rFonts w:ascii="Times New Roman" w:hAnsi="Times New Roman" w:cs="Times New Roman"/>
                <w:sz w:val="18"/>
                <w:szCs w:val="18"/>
              </w:rPr>
            </w:pPr>
            <w:r>
              <w:rPr>
                <w:rFonts w:ascii="Times New Roman" w:hAnsi="Times New Roman" w:cs="Times New Roman"/>
                <w:sz w:val="18"/>
                <w:szCs w:val="18"/>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r w14:paraId="02304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2" w:type="dxa"/>
            <w:left w:w="62" w:type="dxa"/>
            <w:bottom w:w="102" w:type="dxa"/>
            <w:right w:w="62" w:type="dxa"/>
          </w:tblCellMar>
        </w:tblPrEx>
        <w:trPr>
          <w:gridAfter w:val="1"/>
          <w:wAfter w:w="305" w:type="pct"/>
        </w:trPr>
        <w:tc>
          <w:tcPr>
            <w:tcW w:w="4695" w:type="pct"/>
            <w:gridSpan w:val="8"/>
          </w:tcPr>
          <w:p w14:paraId="36B32A75">
            <w:pPr>
              <w:autoSpaceDE w:val="0"/>
              <w:autoSpaceDN w:val="0"/>
              <w:adjustRightInd w:val="0"/>
              <w:spacing w:after="0" w:line="288" w:lineRule="auto"/>
              <w:jc w:val="center"/>
              <w:outlineLvl w:val="0"/>
              <w:rPr>
                <w:rFonts w:ascii="Times New Roman" w:hAnsi="Times New Roman" w:eastAsia="Times New Roman" w:cs="Times New Roman"/>
                <w:sz w:val="20"/>
                <w:szCs w:val="20"/>
                <w:lang w:eastAsia="ru-RU"/>
              </w:rPr>
            </w:pPr>
          </w:p>
          <w:p w14:paraId="12708879">
            <w:pPr>
              <w:autoSpaceDE w:val="0"/>
              <w:autoSpaceDN w:val="0"/>
              <w:adjustRightInd w:val="0"/>
              <w:spacing w:after="0" w:line="288" w:lineRule="auto"/>
              <w:jc w:val="center"/>
              <w:outlineLvl w:val="0"/>
              <w:rPr>
                <w:rFonts w:ascii="Times New Roman" w:hAnsi="Times New Roman" w:eastAsia="Times New Roman" w:cs="Times New Roman"/>
                <w:b/>
                <w:sz w:val="20"/>
                <w:szCs w:val="20"/>
                <w:lang w:eastAsia="ru-RU"/>
              </w:rPr>
            </w:pPr>
            <w:r>
              <w:rPr>
                <w:rFonts w:ascii="Times New Roman" w:hAnsi="Times New Roman" w:eastAsia="Times New Roman" w:cs="Times New Roman"/>
                <w:sz w:val="20"/>
                <w:szCs w:val="20"/>
                <w:lang w:eastAsia="ru-RU"/>
              </w:rPr>
              <w:tab/>
            </w:r>
            <w:r>
              <w:rPr>
                <w:rFonts w:ascii="Times New Roman" w:hAnsi="Times New Roman" w:eastAsia="Times New Roman" w:cs="Times New Roman"/>
                <w:b/>
                <w:sz w:val="20"/>
                <w:szCs w:val="20"/>
                <w:lang w:eastAsia="ru-RU"/>
              </w:rPr>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r>
              <w:fldChar w:fldCharType="begin"/>
            </w:r>
            <w:r>
              <w:instrText xml:space="preserve"> HYPERLINK \l "Par40" </w:instrText>
            </w:r>
            <w:r>
              <w:fldChar w:fldCharType="separate"/>
            </w:r>
            <w:r>
              <w:rPr>
                <w:rFonts w:ascii="Times New Roman" w:hAnsi="Times New Roman" w:eastAsia="Times New Roman" w:cs="Times New Roman"/>
                <w:b/>
                <w:sz w:val="20"/>
                <w:szCs w:val="20"/>
                <w:lang w:eastAsia="ru-RU"/>
              </w:rPr>
              <w:t>разделом II</w:t>
            </w:r>
            <w:r>
              <w:rPr>
                <w:rFonts w:ascii="Times New Roman" w:hAnsi="Times New Roman" w:eastAsia="Times New Roman" w:cs="Times New Roman"/>
                <w:b/>
                <w:sz w:val="20"/>
                <w:szCs w:val="20"/>
                <w:lang w:eastAsia="ru-RU"/>
              </w:rPr>
              <w:fldChar w:fldCharType="end"/>
            </w:r>
            <w:r>
              <w:rPr>
                <w:rFonts w:ascii="Times New Roman" w:hAnsi="Times New Roman" w:eastAsia="Times New Roman" w:cs="Times New Roman"/>
                <w:b/>
                <w:sz w:val="20"/>
                <w:szCs w:val="20"/>
                <w:lang w:eastAsia="ru-RU"/>
              </w:rPr>
              <w:t xml:space="preserve"> настоящего документа</w:t>
            </w:r>
          </w:p>
        </w:tc>
      </w:tr>
    </w:tbl>
    <w:p w14:paraId="10F0AEA5">
      <w:pPr>
        <w:autoSpaceDE w:val="0"/>
        <w:autoSpaceDN w:val="0"/>
        <w:adjustRightInd w:val="0"/>
        <w:spacing w:after="0" w:line="288" w:lineRule="auto"/>
        <w:jc w:val="both"/>
        <w:rPr>
          <w:rFonts w:ascii="Times New Roman" w:hAnsi="Times New Roman" w:eastAsia="Times New Roman" w:cs="Times New Roman"/>
          <w:b/>
          <w:sz w:val="20"/>
          <w:szCs w:val="20"/>
          <w:lang w:eastAsia="ru-RU"/>
        </w:rPr>
      </w:pPr>
    </w:p>
    <w:tbl>
      <w:tblPr>
        <w:tblStyle w:val="3"/>
        <w:tblW w:w="5182" w:type="pct"/>
        <w:tblInd w:w="0" w:type="dxa"/>
        <w:tblLayout w:type="autofit"/>
        <w:tblCellMar>
          <w:top w:w="102" w:type="dxa"/>
          <w:left w:w="62" w:type="dxa"/>
          <w:bottom w:w="102" w:type="dxa"/>
          <w:right w:w="62" w:type="dxa"/>
        </w:tblCellMar>
      </w:tblPr>
      <w:tblGrid>
        <w:gridCol w:w="612"/>
        <w:gridCol w:w="3561"/>
        <w:gridCol w:w="11056"/>
      </w:tblGrid>
      <w:tr w14:paraId="6462178E">
        <w:tblPrEx>
          <w:tblCellMar>
            <w:top w:w="102" w:type="dxa"/>
            <w:left w:w="62" w:type="dxa"/>
            <w:bottom w:w="102" w:type="dxa"/>
            <w:right w:w="62" w:type="dxa"/>
          </w:tblCellMar>
        </w:tblPrEx>
        <w:tc>
          <w:tcPr>
            <w:tcW w:w="201" w:type="pct"/>
            <w:tcBorders>
              <w:top w:val="single" w:color="auto" w:sz="4" w:space="0"/>
              <w:left w:val="single" w:color="auto" w:sz="4" w:space="0"/>
              <w:bottom w:val="single" w:color="auto" w:sz="4" w:space="0"/>
              <w:right w:val="single" w:color="auto" w:sz="4" w:space="0"/>
            </w:tcBorders>
            <w:vAlign w:val="center"/>
          </w:tcPr>
          <w:p w14:paraId="7C68A5E4">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w:t>
            </w:r>
          </w:p>
        </w:tc>
        <w:tc>
          <w:tcPr>
            <w:tcW w:w="1169" w:type="pct"/>
            <w:tcBorders>
              <w:top w:val="single" w:color="auto" w:sz="4" w:space="0"/>
              <w:left w:val="single" w:color="auto" w:sz="4" w:space="0"/>
              <w:bottom w:val="single" w:color="auto" w:sz="4" w:space="0"/>
              <w:right w:val="single" w:color="auto" w:sz="4" w:space="0"/>
            </w:tcBorders>
            <w:vAlign w:val="center"/>
          </w:tcPr>
          <w:p w14:paraId="55B10447">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r>
              <w:fldChar w:fldCharType="begin"/>
            </w:r>
            <w:r>
              <w:instrText xml:space="preserve"> HYPERLINK \l "Par166" </w:instrText>
            </w:r>
            <w:r>
              <w:fldChar w:fldCharType="separate"/>
            </w:r>
            <w:r>
              <w:rPr>
                <w:rFonts w:ascii="Times New Roman" w:hAnsi="Times New Roman" w:eastAsia="Times New Roman" w:cs="Times New Roman"/>
                <w:sz w:val="20"/>
                <w:szCs w:val="20"/>
                <w:lang w:eastAsia="ru-RU"/>
              </w:rPr>
              <w:t>графой 3</w:t>
            </w:r>
            <w:r>
              <w:rPr>
                <w:rFonts w:ascii="Times New Roman" w:hAnsi="Times New Roman" w:eastAsia="Times New Roman" w:cs="Times New Roman"/>
                <w:sz w:val="20"/>
                <w:szCs w:val="20"/>
                <w:lang w:eastAsia="ru-RU"/>
              </w:rPr>
              <w:fldChar w:fldCharType="end"/>
            </w:r>
          </w:p>
        </w:tc>
        <w:tc>
          <w:tcPr>
            <w:tcW w:w="3630" w:type="pct"/>
            <w:tcBorders>
              <w:top w:val="single" w:color="auto" w:sz="4" w:space="0"/>
              <w:left w:val="single" w:color="auto" w:sz="4" w:space="0"/>
              <w:bottom w:val="single" w:color="auto" w:sz="4" w:space="0"/>
              <w:right w:val="single" w:color="auto" w:sz="4" w:space="0"/>
            </w:tcBorders>
            <w:vAlign w:val="center"/>
          </w:tcPr>
          <w:p w14:paraId="02FDF9BA">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Положение о применения критерия оценки, показателя оценки, показателя оценки, детализирующего показатель оценки</w:t>
            </w:r>
          </w:p>
        </w:tc>
      </w:tr>
      <w:tr w14:paraId="4798D676">
        <w:tblPrEx>
          <w:tblCellMar>
            <w:top w:w="102" w:type="dxa"/>
            <w:left w:w="62" w:type="dxa"/>
            <w:bottom w:w="102" w:type="dxa"/>
            <w:right w:w="62" w:type="dxa"/>
          </w:tblCellMar>
        </w:tblPrEx>
        <w:tc>
          <w:tcPr>
            <w:tcW w:w="201" w:type="pct"/>
            <w:tcBorders>
              <w:top w:val="single" w:color="auto" w:sz="4" w:space="0"/>
              <w:left w:val="single" w:color="auto" w:sz="4" w:space="0"/>
              <w:bottom w:val="single" w:color="auto" w:sz="4" w:space="0"/>
              <w:right w:val="single" w:color="auto" w:sz="4" w:space="0"/>
            </w:tcBorders>
          </w:tcPr>
          <w:p w14:paraId="222E8B44">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1</w:t>
            </w:r>
          </w:p>
        </w:tc>
        <w:tc>
          <w:tcPr>
            <w:tcW w:w="1169" w:type="pct"/>
            <w:tcBorders>
              <w:top w:val="single" w:color="auto" w:sz="4" w:space="0"/>
              <w:left w:val="single" w:color="auto" w:sz="4" w:space="0"/>
              <w:bottom w:val="single" w:color="auto" w:sz="4" w:space="0"/>
              <w:right w:val="single" w:color="auto" w:sz="4" w:space="0"/>
            </w:tcBorders>
          </w:tcPr>
          <w:p w14:paraId="6EA170AA">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2</w:t>
            </w:r>
          </w:p>
        </w:tc>
        <w:tc>
          <w:tcPr>
            <w:tcW w:w="3630" w:type="pct"/>
            <w:tcBorders>
              <w:top w:val="single" w:color="auto" w:sz="4" w:space="0"/>
              <w:left w:val="single" w:color="auto" w:sz="4" w:space="0"/>
              <w:bottom w:val="single" w:color="auto" w:sz="4" w:space="0"/>
              <w:right w:val="single" w:color="auto" w:sz="4" w:space="0"/>
            </w:tcBorders>
          </w:tcPr>
          <w:p w14:paraId="426C161B">
            <w:pPr>
              <w:autoSpaceDE w:val="0"/>
              <w:autoSpaceDN w:val="0"/>
              <w:adjustRightInd w:val="0"/>
              <w:spacing w:after="0" w:line="288" w:lineRule="auto"/>
              <w:jc w:val="center"/>
              <w:rPr>
                <w:rFonts w:ascii="Times New Roman" w:hAnsi="Times New Roman" w:eastAsia="Times New Roman" w:cs="Times New Roman"/>
                <w:sz w:val="20"/>
                <w:szCs w:val="20"/>
                <w:lang w:eastAsia="ru-RU"/>
              </w:rPr>
            </w:pPr>
            <w:bookmarkStart w:id="0" w:name="Par166"/>
            <w:bookmarkEnd w:id="0"/>
            <w:r>
              <w:rPr>
                <w:rFonts w:ascii="Times New Roman" w:hAnsi="Times New Roman" w:eastAsia="Times New Roman" w:cs="Times New Roman"/>
                <w:sz w:val="20"/>
                <w:szCs w:val="20"/>
                <w:lang w:eastAsia="ru-RU"/>
              </w:rPr>
              <w:t>3</w:t>
            </w:r>
          </w:p>
        </w:tc>
      </w:tr>
      <w:tr w14:paraId="54757D06">
        <w:tblPrEx>
          <w:tblCellMar>
            <w:top w:w="102" w:type="dxa"/>
            <w:left w:w="62" w:type="dxa"/>
            <w:bottom w:w="102" w:type="dxa"/>
            <w:right w:w="62" w:type="dxa"/>
          </w:tblCellMar>
        </w:tblPrEx>
        <w:trPr>
          <w:trHeight w:val="340" w:hRule="atLeast"/>
        </w:trPr>
        <w:tc>
          <w:tcPr>
            <w:tcW w:w="201" w:type="pct"/>
            <w:tcBorders>
              <w:top w:val="single" w:color="auto" w:sz="4" w:space="0"/>
              <w:left w:val="single" w:color="auto" w:sz="4" w:space="0"/>
              <w:bottom w:val="single" w:color="auto" w:sz="4" w:space="0"/>
              <w:right w:val="single" w:color="auto" w:sz="4" w:space="0"/>
            </w:tcBorders>
          </w:tcPr>
          <w:p w14:paraId="4D683FBD">
            <w:pPr>
              <w:autoSpaceDE w:val="0"/>
              <w:autoSpaceDN w:val="0"/>
              <w:adjustRightInd w:val="0"/>
              <w:spacing w:after="0" w:line="288"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1</w:t>
            </w:r>
          </w:p>
        </w:tc>
        <w:tc>
          <w:tcPr>
            <w:tcW w:w="1169" w:type="pct"/>
            <w:tcBorders>
              <w:top w:val="single" w:color="auto" w:sz="4" w:space="0"/>
              <w:left w:val="single" w:color="auto" w:sz="4" w:space="0"/>
              <w:bottom w:val="single" w:color="auto" w:sz="4" w:space="0"/>
              <w:right w:val="single" w:color="auto" w:sz="4" w:space="0"/>
            </w:tcBorders>
          </w:tcPr>
          <w:p w14:paraId="33620B74">
            <w:pPr>
              <w:autoSpaceDE w:val="0"/>
              <w:autoSpaceDN w:val="0"/>
              <w:adjustRightInd w:val="0"/>
              <w:spacing w:after="0" w:line="288"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Критерий оценки:</w:t>
            </w:r>
          </w:p>
          <w:p w14:paraId="535E3A28">
            <w:pPr>
              <w:autoSpaceDE w:val="0"/>
              <w:autoSpaceDN w:val="0"/>
              <w:adjustRightInd w:val="0"/>
              <w:spacing w:after="0" w:line="288"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60E9E247">
            <w:pPr>
              <w:autoSpaceDE w:val="0"/>
              <w:autoSpaceDN w:val="0"/>
              <w:adjustRightInd w:val="0"/>
              <w:spacing w:after="0" w:line="288" w:lineRule="auto"/>
              <w:jc w:val="both"/>
              <w:rPr>
                <w:rFonts w:ascii="Times New Roman" w:hAnsi="Times New Roman" w:eastAsia="Times New Roman" w:cs="Times New Roman"/>
                <w:sz w:val="20"/>
                <w:szCs w:val="20"/>
                <w:lang w:eastAsia="ru-RU"/>
              </w:rPr>
            </w:pPr>
          </w:p>
          <w:p w14:paraId="079A9E28">
            <w:pPr>
              <w:autoSpaceDE w:val="0"/>
              <w:autoSpaceDN w:val="0"/>
              <w:adjustRightInd w:val="0"/>
              <w:spacing w:after="0" w:line="288"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 данному критерию установлен показатель оценки:</w:t>
            </w:r>
          </w:p>
          <w:p w14:paraId="51B20845">
            <w:pPr>
              <w:autoSpaceDE w:val="0"/>
              <w:autoSpaceDN w:val="0"/>
              <w:adjustRightInd w:val="0"/>
              <w:spacing w:after="0" w:line="288"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наличие у участников закупки опыта работы, связанного с предметом контракта.</w:t>
            </w:r>
          </w:p>
          <w:p w14:paraId="35F4318F">
            <w:pPr>
              <w:autoSpaceDE w:val="0"/>
              <w:autoSpaceDN w:val="0"/>
              <w:adjustRightInd w:val="0"/>
              <w:spacing w:after="0" w:line="288" w:lineRule="auto"/>
              <w:jc w:val="both"/>
              <w:rPr>
                <w:rFonts w:ascii="Times New Roman" w:hAnsi="Times New Roman" w:eastAsia="Times New Roman" w:cs="Times New Roman"/>
                <w:sz w:val="20"/>
                <w:szCs w:val="20"/>
                <w:lang w:eastAsia="ru-RU"/>
              </w:rPr>
            </w:pPr>
          </w:p>
        </w:tc>
        <w:tc>
          <w:tcPr>
            <w:tcW w:w="3630" w:type="pct"/>
            <w:tcBorders>
              <w:top w:val="single" w:color="auto" w:sz="4" w:space="0"/>
              <w:left w:val="single" w:color="auto" w:sz="4" w:space="0"/>
              <w:bottom w:val="single" w:color="auto" w:sz="4" w:space="0"/>
              <w:right w:val="single" w:color="auto" w:sz="4" w:space="0"/>
            </w:tcBorders>
          </w:tcPr>
          <w:p w14:paraId="0E85A37D">
            <w:pPr>
              <w:spacing w:after="0" w:line="240" w:lineRule="auto"/>
              <w:ind w:firstLine="291"/>
              <w:jc w:val="both"/>
              <w:rPr>
                <w:rFonts w:ascii="Times New Roman" w:hAnsi="Times New Roman"/>
                <w:sz w:val="20"/>
                <w:szCs w:val="20"/>
              </w:rPr>
            </w:pPr>
            <w:r>
              <w:rPr>
                <w:rFonts w:ascii="Times New Roman" w:hAnsi="Times New Roman"/>
                <w:sz w:val="20"/>
                <w:szCs w:val="20"/>
              </w:rPr>
              <w:t>К оценке принимается исключительно исполненный договор, предусматривающий выполнение работ по строительству, реконструкции, капитальному ремонту объекта капитального строительства (за исключением линейного объекта).</w:t>
            </w:r>
          </w:p>
          <w:p w14:paraId="37DDB074">
            <w:pPr>
              <w:spacing w:after="0" w:line="240" w:lineRule="auto"/>
              <w:ind w:firstLine="291"/>
              <w:jc w:val="both"/>
              <w:rPr>
                <w:rFonts w:ascii="Times New Roman" w:hAnsi="Times New Roman"/>
                <w:sz w:val="20"/>
                <w:szCs w:val="20"/>
              </w:rPr>
            </w:pPr>
          </w:p>
          <w:p w14:paraId="4EC714E7">
            <w:pPr>
              <w:spacing w:after="0" w:line="240" w:lineRule="auto"/>
              <w:ind w:firstLine="291"/>
              <w:jc w:val="both"/>
              <w:rPr>
                <w:rFonts w:ascii="Times New Roman" w:hAnsi="Times New Roman"/>
                <w:sz w:val="20"/>
                <w:szCs w:val="20"/>
              </w:rPr>
            </w:pPr>
            <w:r>
              <w:rPr>
                <w:rFonts w:ascii="Times New Roman" w:hAnsi="Times New Roman"/>
                <w:sz w:val="20"/>
                <w:szCs w:val="20"/>
              </w:rPr>
              <w:t>Перечень документов, подтверждающих наличие у участника закупки опыта выполнения работы, связанного с предметом контракта:</w:t>
            </w:r>
          </w:p>
          <w:p w14:paraId="4679B5B0">
            <w:pPr>
              <w:spacing w:after="0" w:line="240" w:lineRule="auto"/>
              <w:ind w:firstLine="291"/>
              <w:jc w:val="both"/>
              <w:rPr>
                <w:rFonts w:ascii="Times New Roman" w:hAnsi="Times New Roman"/>
                <w:sz w:val="20"/>
                <w:szCs w:val="20"/>
              </w:rPr>
            </w:pPr>
            <w:r>
              <w:rPr>
                <w:rFonts w:ascii="Times New Roman" w:hAnsi="Times New Roman"/>
                <w:sz w:val="20"/>
                <w:szCs w:val="20"/>
              </w:rPr>
              <w:t>– исполненный договор (договоры);</w:t>
            </w:r>
          </w:p>
          <w:p w14:paraId="463BFDA0">
            <w:pPr>
              <w:spacing w:after="0" w:line="240" w:lineRule="auto"/>
              <w:ind w:firstLine="291"/>
              <w:jc w:val="both"/>
              <w:rPr>
                <w:rFonts w:ascii="Times New Roman" w:hAnsi="Times New Roman"/>
                <w:sz w:val="20"/>
                <w:szCs w:val="20"/>
              </w:rPr>
            </w:pPr>
            <w:r>
              <w:rPr>
                <w:rFonts w:ascii="Times New Roman" w:hAnsi="Times New Roman"/>
                <w:sz w:val="20"/>
                <w:szCs w:val="20"/>
              </w:rPr>
              <w:t>– акт (акты) выполненных работ, составленные при исполнении такого договора (договоров);</w:t>
            </w:r>
          </w:p>
          <w:p w14:paraId="067DB10E">
            <w:pPr>
              <w:spacing w:after="0" w:line="240" w:lineRule="auto"/>
              <w:ind w:firstLine="291"/>
              <w:jc w:val="both"/>
              <w:rPr>
                <w:rFonts w:ascii="Times New Roman" w:hAnsi="Times New Roman"/>
                <w:sz w:val="20"/>
                <w:szCs w:val="20"/>
              </w:rPr>
            </w:pPr>
            <w:r>
              <w:rPr>
                <w:rFonts w:ascii="Times New Roman" w:hAnsi="Times New Roman"/>
                <w:sz w:val="20"/>
                <w:szCs w:val="20"/>
              </w:rPr>
              <w:t>– разрешение на ввод объекта капитального строительства в эксплуатацию</w:t>
            </w:r>
          </w:p>
          <w:p w14:paraId="1EFE15F8">
            <w:pPr>
              <w:spacing w:after="0" w:line="240" w:lineRule="auto"/>
              <w:ind w:firstLine="291"/>
              <w:jc w:val="both"/>
              <w:rPr>
                <w:rFonts w:ascii="Times New Roman" w:hAnsi="Times New Roman"/>
                <w:sz w:val="20"/>
                <w:szCs w:val="20"/>
              </w:rPr>
            </w:pPr>
            <w:r>
              <w:rPr>
                <w:rFonts w:ascii="Times New Roman" w:hAnsi="Times New Roman"/>
                <w:sz w:val="20"/>
                <w:szCs w:val="20"/>
              </w:rPr>
              <w:t>(за исключением случаев, при которых такое разрешение не выдается в соответствии с законодательством о градостроительной деятельности)</w:t>
            </w:r>
          </w:p>
          <w:p w14:paraId="149D8132">
            <w:pPr>
              <w:spacing w:after="0" w:line="240" w:lineRule="auto"/>
              <w:ind w:firstLine="291"/>
              <w:jc w:val="both"/>
              <w:rPr>
                <w:rFonts w:ascii="Times New Roman" w:hAnsi="Times New Roman"/>
                <w:sz w:val="20"/>
                <w:szCs w:val="20"/>
              </w:rPr>
            </w:pPr>
          </w:p>
          <w:p w14:paraId="7972142E">
            <w:pPr>
              <w:spacing w:after="0" w:line="240" w:lineRule="auto"/>
              <w:ind w:firstLine="291"/>
              <w:jc w:val="both"/>
              <w:rPr>
                <w:rFonts w:ascii="Times New Roman" w:hAnsi="Times New Roman"/>
                <w:sz w:val="20"/>
                <w:szCs w:val="20"/>
              </w:rPr>
            </w:pPr>
            <w:r>
              <w:rPr>
                <w:rFonts w:ascii="Times New Roman" w:hAnsi="Times New Roman"/>
                <w:sz w:val="20"/>
                <w:szCs w:val="20"/>
              </w:rPr>
              <w:t xml:space="preserve">Последний акт, составленный при исполнении договора должен быть подписан не ранее чем за </w:t>
            </w:r>
            <w:r>
              <w:rPr>
                <w:rFonts w:hint="default" w:ascii="Times New Roman" w:hAnsi="Times New Roman"/>
                <w:sz w:val="20"/>
                <w:szCs w:val="20"/>
                <w:lang w:val="ru-RU"/>
              </w:rPr>
              <w:t>4</w:t>
            </w:r>
            <w:r>
              <w:rPr>
                <w:rFonts w:ascii="Times New Roman" w:hAnsi="Times New Roman"/>
                <w:sz w:val="20"/>
                <w:szCs w:val="20"/>
              </w:rPr>
              <w:t xml:space="preserve"> года до даты окончания срока подачи заявок;</w:t>
            </w:r>
          </w:p>
          <w:p w14:paraId="287D31AE">
            <w:pPr>
              <w:spacing w:after="0" w:line="240" w:lineRule="auto"/>
              <w:ind w:firstLine="291"/>
              <w:jc w:val="both"/>
              <w:rPr>
                <w:rFonts w:ascii="Times New Roman" w:hAnsi="Times New Roman"/>
                <w:sz w:val="20"/>
                <w:szCs w:val="20"/>
              </w:rPr>
            </w:pPr>
            <w:r>
              <w:rPr>
                <w:rFonts w:ascii="Times New Roman" w:hAnsi="Times New Roman"/>
                <w:sz w:val="20"/>
                <w:szCs w:val="20"/>
              </w:rPr>
              <w:t>К оценке принимаются исполненные участником закупки с учетом правопреемства (в случае наличия в заявке подтверждающего документа) исключительно контракты, заключенные и исполненные в соответствии с Федеральным  законом «О контрактной системе в сфере закупок товаров, работ, услуг для обеспечения государственных и муниципальных нужд» от 05.04.2013 №44-ФЗ, и договоры, заключенные и исполненные в соответствии с Федеральным законом от 18.07.2011 № 223-ФЗ «О закупках товаров, работ, услуг отдельными видами юридических лиц».</w:t>
            </w:r>
          </w:p>
          <w:p w14:paraId="65E7BB8C">
            <w:pPr>
              <w:spacing w:after="0" w:line="240" w:lineRule="auto"/>
              <w:ind w:firstLine="291"/>
              <w:jc w:val="both"/>
              <w:rPr>
                <w:rFonts w:ascii="Times New Roman" w:hAnsi="Times New Roman"/>
                <w:sz w:val="20"/>
                <w:szCs w:val="20"/>
              </w:rPr>
            </w:pPr>
            <w:r>
              <w:rPr>
                <w:rFonts w:ascii="Times New Roman" w:hAnsi="Times New Roman"/>
                <w:sz w:val="20"/>
                <w:szCs w:val="20"/>
              </w:rPr>
              <w:t>Если документы, подтверждающие наличие у участника закупки опыта выполнения работы,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0612D3D0">
            <w:pPr>
              <w:spacing w:after="0" w:line="240" w:lineRule="auto"/>
              <w:ind w:firstLine="291"/>
              <w:jc w:val="both"/>
              <w:rPr>
                <w:rFonts w:ascii="Times New Roman" w:hAnsi="Times New Roman"/>
                <w:sz w:val="20"/>
                <w:szCs w:val="20"/>
              </w:rPr>
            </w:pPr>
            <w:r>
              <w:rPr>
                <w:rFonts w:ascii="Times New Roman" w:hAnsi="Times New Roman"/>
                <w:sz w:val="20"/>
                <w:szCs w:val="20"/>
              </w:rPr>
              <w:t>К оценке принимаются документы, в случае их представления в заявке в полном объеме и со всеми приложениями, за исключением случаев, если к ним не приложена проектная документация (если проектная документация является приложением к таким документам)</w:t>
            </w:r>
          </w:p>
          <w:p w14:paraId="1B547FE6">
            <w:pPr>
              <w:spacing w:after="0" w:line="240" w:lineRule="auto"/>
              <w:ind w:firstLine="291"/>
              <w:jc w:val="both"/>
              <w:rPr>
                <w:rFonts w:ascii="Times New Roman" w:hAnsi="Times New Roman"/>
                <w:sz w:val="20"/>
                <w:szCs w:val="20"/>
              </w:rPr>
            </w:pPr>
            <w:r>
              <w:rPr>
                <w:rFonts w:ascii="Times New Roman" w:hAnsi="Times New Roman"/>
                <w:sz w:val="20"/>
                <w:szCs w:val="20"/>
              </w:rPr>
              <w:t>Такие документы направляются в форме электронных документов или в форме электронных образов бумажных документов.ми</w:t>
            </w:r>
          </w:p>
          <w:p w14:paraId="32647F54">
            <w:pPr>
              <w:spacing w:after="0" w:line="240" w:lineRule="auto"/>
              <w:ind w:firstLine="291"/>
              <w:jc w:val="both"/>
              <w:rPr>
                <w:rFonts w:ascii="Times New Roman" w:hAnsi="Times New Roman"/>
                <w:sz w:val="20"/>
                <w:szCs w:val="20"/>
              </w:rPr>
            </w:pPr>
            <w:r>
              <w:rPr>
                <w:rFonts w:ascii="Times New Roman" w:hAnsi="Times New Roman"/>
                <w:sz w:val="20"/>
                <w:szCs w:val="20"/>
              </w:rPr>
              <w:t>Информация о предоставляемых участником закупки документах, подтверждающих наличие у участника закупки опыта выполнения работ, может быть систематизирована в прилагаемой к настоящему порядку форме № 1:</w:t>
            </w:r>
          </w:p>
        </w:tc>
      </w:tr>
    </w:tbl>
    <w:p w14:paraId="08721EFA">
      <w:pPr>
        <w:spacing w:after="0" w:line="288" w:lineRule="auto"/>
        <w:jc w:val="both"/>
        <w:rPr>
          <w:rFonts w:ascii="Times New Roman" w:hAnsi="Times New Roman" w:eastAsia="Times New Roman" w:cs="Times New Roman"/>
          <w:sz w:val="20"/>
          <w:szCs w:val="20"/>
          <w:lang w:eastAsia="ru-RU"/>
        </w:rPr>
      </w:pPr>
      <w:bookmarkStart w:id="1" w:name="Par177"/>
      <w:bookmarkEnd w:id="1"/>
      <w:bookmarkStart w:id="2" w:name="Par176"/>
      <w:bookmarkEnd w:id="2"/>
    </w:p>
    <w:p w14:paraId="6521AD3D">
      <w:pPr>
        <w:spacing w:after="0" w:line="288" w:lineRule="auto"/>
        <w:jc w:val="both"/>
        <w:rPr>
          <w:rFonts w:ascii="Times New Roman" w:hAnsi="Times New Roman" w:cs="Times New Roman"/>
        </w:rPr>
      </w:pPr>
    </w:p>
    <w:sectPr>
      <w:headerReference r:id="rId7" w:type="first"/>
      <w:footerReference r:id="rId10" w:type="first"/>
      <w:headerReference r:id="rId5" w:type="default"/>
      <w:footerReference r:id="rId8" w:type="default"/>
      <w:headerReference r:id="rId6" w:type="even"/>
      <w:footerReference r:id="rId9" w:type="even"/>
      <w:pgSz w:w="16838" w:h="11906" w:orient="landscape"/>
      <w:pgMar w:top="567" w:right="1134" w:bottom="426"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DA712">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63ED8">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53D03">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DD998">
    <w:pPr>
      <w:pStyle w:val="1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6A221">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4D46B">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5AA"/>
    <w:rsid w:val="00003129"/>
    <w:rsid w:val="00024355"/>
    <w:rsid w:val="00037BE3"/>
    <w:rsid w:val="00052DF3"/>
    <w:rsid w:val="00055AC8"/>
    <w:rsid w:val="00076D75"/>
    <w:rsid w:val="0007743A"/>
    <w:rsid w:val="00080DA3"/>
    <w:rsid w:val="000A2FA1"/>
    <w:rsid w:val="000C1FE5"/>
    <w:rsid w:val="000D162D"/>
    <w:rsid w:val="00116CF4"/>
    <w:rsid w:val="001266F4"/>
    <w:rsid w:val="0014114F"/>
    <w:rsid w:val="0014311A"/>
    <w:rsid w:val="00176A57"/>
    <w:rsid w:val="001934BA"/>
    <w:rsid w:val="001B4DB0"/>
    <w:rsid w:val="001D40D6"/>
    <w:rsid w:val="001F7982"/>
    <w:rsid w:val="00293E01"/>
    <w:rsid w:val="002A234D"/>
    <w:rsid w:val="002A4C16"/>
    <w:rsid w:val="002B5BEC"/>
    <w:rsid w:val="002C067A"/>
    <w:rsid w:val="002C18DB"/>
    <w:rsid w:val="002D5858"/>
    <w:rsid w:val="00315259"/>
    <w:rsid w:val="00342114"/>
    <w:rsid w:val="003501C3"/>
    <w:rsid w:val="00350847"/>
    <w:rsid w:val="00356FF2"/>
    <w:rsid w:val="003922B3"/>
    <w:rsid w:val="00394F33"/>
    <w:rsid w:val="003A0534"/>
    <w:rsid w:val="003B2BED"/>
    <w:rsid w:val="003C0392"/>
    <w:rsid w:val="00426555"/>
    <w:rsid w:val="00445189"/>
    <w:rsid w:val="004569F2"/>
    <w:rsid w:val="004978DA"/>
    <w:rsid w:val="004A1472"/>
    <w:rsid w:val="0050013E"/>
    <w:rsid w:val="005305B3"/>
    <w:rsid w:val="0054161D"/>
    <w:rsid w:val="005418F5"/>
    <w:rsid w:val="00547FCB"/>
    <w:rsid w:val="005B334C"/>
    <w:rsid w:val="005D2DBD"/>
    <w:rsid w:val="005D4839"/>
    <w:rsid w:val="005D52F6"/>
    <w:rsid w:val="00655A77"/>
    <w:rsid w:val="00702098"/>
    <w:rsid w:val="00712D2C"/>
    <w:rsid w:val="00733866"/>
    <w:rsid w:val="00751D99"/>
    <w:rsid w:val="00790B82"/>
    <w:rsid w:val="007945AA"/>
    <w:rsid w:val="007A33F6"/>
    <w:rsid w:val="007E1715"/>
    <w:rsid w:val="0084734D"/>
    <w:rsid w:val="00892B0D"/>
    <w:rsid w:val="008D779C"/>
    <w:rsid w:val="009158DC"/>
    <w:rsid w:val="00926DA7"/>
    <w:rsid w:val="0093756B"/>
    <w:rsid w:val="00975136"/>
    <w:rsid w:val="00975F45"/>
    <w:rsid w:val="009808A5"/>
    <w:rsid w:val="0098135E"/>
    <w:rsid w:val="009C6736"/>
    <w:rsid w:val="009D757C"/>
    <w:rsid w:val="009F32AA"/>
    <w:rsid w:val="00A66660"/>
    <w:rsid w:val="00A94C44"/>
    <w:rsid w:val="00B203F1"/>
    <w:rsid w:val="00B45181"/>
    <w:rsid w:val="00B70BFC"/>
    <w:rsid w:val="00B830FD"/>
    <w:rsid w:val="00B837E1"/>
    <w:rsid w:val="00BA3269"/>
    <w:rsid w:val="00BD1F39"/>
    <w:rsid w:val="00BF16B5"/>
    <w:rsid w:val="00C361D5"/>
    <w:rsid w:val="00C661E3"/>
    <w:rsid w:val="00C72878"/>
    <w:rsid w:val="00C737BC"/>
    <w:rsid w:val="00C9777C"/>
    <w:rsid w:val="00CE0BFA"/>
    <w:rsid w:val="00D81A67"/>
    <w:rsid w:val="00D929C6"/>
    <w:rsid w:val="00DA02EB"/>
    <w:rsid w:val="00DC2FD5"/>
    <w:rsid w:val="00DD0300"/>
    <w:rsid w:val="00DD3A97"/>
    <w:rsid w:val="00E0637E"/>
    <w:rsid w:val="00E30447"/>
    <w:rsid w:val="00E37E73"/>
    <w:rsid w:val="00E51C0B"/>
    <w:rsid w:val="00EC20D1"/>
    <w:rsid w:val="00EE40A2"/>
    <w:rsid w:val="00EE41C8"/>
    <w:rsid w:val="00EF1636"/>
    <w:rsid w:val="00EF38EF"/>
    <w:rsid w:val="00F016FB"/>
    <w:rsid w:val="00F10FD0"/>
    <w:rsid w:val="00F712F1"/>
    <w:rsid w:val="00FF6F26"/>
    <w:rsid w:val="12CE2963"/>
    <w:rsid w:val="152865F6"/>
    <w:rsid w:val="5153139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0"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annotation reference"/>
    <w:basedOn w:val="2"/>
    <w:semiHidden/>
    <w:unhideWhenUsed/>
    <w:qFormat/>
    <w:uiPriority w:val="99"/>
    <w:rPr>
      <w:sz w:val="16"/>
      <w:szCs w:val="16"/>
    </w:rPr>
  </w:style>
  <w:style w:type="character" w:styleId="5">
    <w:name w:val="Emphasis"/>
    <w:basedOn w:val="2"/>
    <w:qFormat/>
    <w:uiPriority w:val="20"/>
    <w:rPr>
      <w:i/>
      <w:iCs/>
    </w:rPr>
  </w:style>
  <w:style w:type="character" w:styleId="6">
    <w:name w:val="Hyperlink"/>
    <w:unhideWhenUsed/>
    <w:qFormat/>
    <w:uiPriority w:val="99"/>
    <w:rPr>
      <w:color w:val="0000FF"/>
      <w:u w:val="single"/>
    </w:rPr>
  </w:style>
  <w:style w:type="character" w:styleId="7">
    <w:name w:val="Strong"/>
    <w:basedOn w:val="2"/>
    <w:qFormat/>
    <w:uiPriority w:val="22"/>
    <w:rPr>
      <w:b/>
      <w:bCs/>
    </w:rPr>
  </w:style>
  <w:style w:type="paragraph" w:styleId="8">
    <w:name w:val="Balloon Text"/>
    <w:basedOn w:val="1"/>
    <w:link w:val="16"/>
    <w:semiHidden/>
    <w:unhideWhenUsed/>
    <w:qFormat/>
    <w:uiPriority w:val="99"/>
    <w:pPr>
      <w:spacing w:after="0" w:line="240" w:lineRule="auto"/>
    </w:pPr>
    <w:rPr>
      <w:rFonts w:ascii="Tahoma" w:hAnsi="Tahoma" w:cs="Tahoma"/>
      <w:sz w:val="16"/>
      <w:szCs w:val="16"/>
    </w:rPr>
  </w:style>
  <w:style w:type="paragraph" w:styleId="9">
    <w:name w:val="Body Text 2"/>
    <w:basedOn w:val="1"/>
    <w:link w:val="24"/>
    <w:semiHidden/>
    <w:unhideWhenUsed/>
    <w:qFormat/>
    <w:uiPriority w:val="99"/>
    <w:pPr>
      <w:spacing w:after="120" w:line="480" w:lineRule="auto"/>
    </w:pPr>
    <w:rPr>
      <w:rFonts w:ascii="Times New Roman" w:hAnsi="Times New Roman" w:eastAsia="Times New Roman" w:cs="Times New Roman"/>
      <w:sz w:val="24"/>
      <w:szCs w:val="24"/>
      <w:lang w:eastAsia="ru-RU"/>
    </w:rPr>
  </w:style>
  <w:style w:type="paragraph" w:styleId="10">
    <w:name w:val="annotation text"/>
    <w:basedOn w:val="1"/>
    <w:link w:val="27"/>
    <w:semiHidden/>
    <w:unhideWhenUsed/>
    <w:qFormat/>
    <w:uiPriority w:val="99"/>
    <w:pPr>
      <w:spacing w:line="240" w:lineRule="auto"/>
    </w:pPr>
    <w:rPr>
      <w:sz w:val="20"/>
      <w:szCs w:val="20"/>
    </w:rPr>
  </w:style>
  <w:style w:type="paragraph" w:styleId="11">
    <w:name w:val="annotation subject"/>
    <w:basedOn w:val="10"/>
    <w:next w:val="10"/>
    <w:link w:val="28"/>
    <w:semiHidden/>
    <w:unhideWhenUsed/>
    <w:qFormat/>
    <w:uiPriority w:val="99"/>
    <w:rPr>
      <w:b/>
      <w:bCs/>
    </w:rPr>
  </w:style>
  <w:style w:type="paragraph" w:styleId="12">
    <w:name w:val="header"/>
    <w:basedOn w:val="1"/>
    <w:link w:val="19"/>
    <w:unhideWhenUsed/>
    <w:qFormat/>
    <w:uiPriority w:val="99"/>
    <w:pPr>
      <w:tabs>
        <w:tab w:val="center" w:pos="4677"/>
        <w:tab w:val="right" w:pos="9355"/>
      </w:tabs>
      <w:spacing w:after="0" w:line="240" w:lineRule="auto"/>
    </w:pPr>
  </w:style>
  <w:style w:type="paragraph" w:styleId="13">
    <w:name w:val="footer"/>
    <w:basedOn w:val="1"/>
    <w:link w:val="20"/>
    <w:unhideWhenUsed/>
    <w:qFormat/>
    <w:uiPriority w:val="99"/>
    <w:pPr>
      <w:tabs>
        <w:tab w:val="center" w:pos="4677"/>
        <w:tab w:val="right" w:pos="9355"/>
      </w:tabs>
      <w:spacing w:after="0" w:line="240" w:lineRule="auto"/>
    </w:pPr>
  </w:style>
  <w:style w:type="paragraph" w:styleId="14">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15">
    <w:name w:val="Table Grid"/>
    <w:basedOn w:val="3"/>
    <w:qFormat/>
    <w:uiPriority w:val="39"/>
    <w:pPr>
      <w:spacing w:after="0" w:line="240" w:lineRule="auto"/>
    </w:pPr>
    <w:rPr>
      <w:rFonts w:ascii="Calibri" w:hAnsi="Calibri" w:eastAsia="Calibri" w:cs="Calibri"/>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Текст выноски Знак"/>
    <w:basedOn w:val="2"/>
    <w:link w:val="8"/>
    <w:semiHidden/>
    <w:qFormat/>
    <w:uiPriority w:val="99"/>
    <w:rPr>
      <w:rFonts w:ascii="Tahoma" w:hAnsi="Tahoma" w:cs="Tahoma"/>
      <w:sz w:val="16"/>
      <w:szCs w:val="16"/>
    </w:rPr>
  </w:style>
  <w:style w:type="character" w:customStyle="1" w:styleId="17">
    <w:name w:val="ConsPlusNormal Знак"/>
    <w:link w:val="18"/>
    <w:locked/>
    <w:uiPriority w:val="0"/>
    <w:rPr>
      <w:rFonts w:ascii="Arial" w:hAnsi="Arial" w:cs="Arial"/>
    </w:rPr>
  </w:style>
  <w:style w:type="paragraph" w:customStyle="1" w:styleId="18">
    <w:name w:val="ConsPlusNormal"/>
    <w:link w:val="17"/>
    <w:qFormat/>
    <w:uiPriority w:val="0"/>
    <w:pPr>
      <w:widowControl w:val="0"/>
      <w:autoSpaceDE w:val="0"/>
      <w:autoSpaceDN w:val="0"/>
      <w:adjustRightInd w:val="0"/>
      <w:spacing w:after="0" w:line="240" w:lineRule="auto"/>
      <w:ind w:firstLine="720"/>
      <w:jc w:val="center"/>
    </w:pPr>
    <w:rPr>
      <w:rFonts w:ascii="Arial" w:hAnsi="Arial" w:cs="Arial" w:eastAsiaTheme="minorHAnsi"/>
      <w:sz w:val="22"/>
      <w:szCs w:val="22"/>
      <w:lang w:val="ru-RU" w:eastAsia="en-US" w:bidi="ar-SA"/>
    </w:rPr>
  </w:style>
  <w:style w:type="character" w:customStyle="1" w:styleId="19">
    <w:name w:val="Верхний колонтитул Знак"/>
    <w:basedOn w:val="2"/>
    <w:link w:val="12"/>
    <w:qFormat/>
    <w:uiPriority w:val="99"/>
  </w:style>
  <w:style w:type="character" w:customStyle="1" w:styleId="20">
    <w:name w:val="Нижний колонтитул Знак"/>
    <w:basedOn w:val="2"/>
    <w:link w:val="13"/>
    <w:qFormat/>
    <w:uiPriority w:val="99"/>
  </w:style>
  <w:style w:type="paragraph" w:customStyle="1" w:styleId="21">
    <w:name w:val="Абзац списка3"/>
    <w:basedOn w:val="1"/>
    <w:uiPriority w:val="0"/>
    <w:pPr>
      <w:ind w:left="720"/>
    </w:pPr>
    <w:rPr>
      <w:rFonts w:ascii="Calibri" w:hAnsi="Calibri" w:eastAsia="Times New Roman" w:cs="Calibri"/>
    </w:rPr>
  </w:style>
  <w:style w:type="paragraph" w:styleId="22">
    <w:name w:val="List Paragraph"/>
    <w:basedOn w:val="1"/>
    <w:link w:val="23"/>
    <w:qFormat/>
    <w:uiPriority w:val="34"/>
    <w:pPr>
      <w:spacing w:after="0" w:line="240" w:lineRule="auto"/>
      <w:ind w:left="720"/>
      <w:contextualSpacing/>
    </w:pPr>
    <w:rPr>
      <w:rFonts w:ascii="Times New Roman" w:hAnsi="Times New Roman" w:eastAsia="Times New Roman" w:cs="Times New Roman"/>
      <w:sz w:val="24"/>
      <w:szCs w:val="24"/>
      <w:lang w:eastAsia="ru-RU"/>
    </w:rPr>
  </w:style>
  <w:style w:type="character" w:customStyle="1" w:styleId="23">
    <w:name w:val="Абзац списка Знак"/>
    <w:link w:val="22"/>
    <w:qFormat/>
    <w:locked/>
    <w:uiPriority w:val="34"/>
    <w:rPr>
      <w:rFonts w:ascii="Times New Roman" w:hAnsi="Times New Roman" w:eastAsia="Times New Roman" w:cs="Times New Roman"/>
      <w:sz w:val="24"/>
      <w:szCs w:val="24"/>
      <w:lang w:eastAsia="ru-RU"/>
    </w:rPr>
  </w:style>
  <w:style w:type="character" w:customStyle="1" w:styleId="24">
    <w:name w:val="Основной текст 2 Знак"/>
    <w:basedOn w:val="2"/>
    <w:link w:val="9"/>
    <w:semiHidden/>
    <w:qFormat/>
    <w:uiPriority w:val="99"/>
    <w:rPr>
      <w:rFonts w:ascii="Times New Roman" w:hAnsi="Times New Roman" w:eastAsia="Times New Roman" w:cs="Times New Roman"/>
      <w:sz w:val="24"/>
      <w:szCs w:val="24"/>
      <w:lang w:eastAsia="ru-RU"/>
    </w:rPr>
  </w:style>
  <w:style w:type="paragraph" w:customStyle="1" w:styleId="25">
    <w:name w:val="ConsNormal"/>
    <w:link w:val="26"/>
    <w:qFormat/>
    <w:uiPriority w:val="99"/>
    <w:pPr>
      <w:widowControl w:val="0"/>
      <w:autoSpaceDE w:val="0"/>
      <w:autoSpaceDN w:val="0"/>
      <w:adjustRightInd w:val="0"/>
      <w:spacing w:after="0" w:line="240" w:lineRule="auto"/>
      <w:ind w:right="19772" w:firstLine="720"/>
    </w:pPr>
    <w:rPr>
      <w:rFonts w:ascii="Arial" w:hAnsi="Arial" w:eastAsia="Times New Roman" w:cs="Arial"/>
      <w:sz w:val="20"/>
      <w:szCs w:val="20"/>
      <w:lang w:val="ru-RU" w:eastAsia="ru-RU" w:bidi="ar-SA"/>
    </w:rPr>
  </w:style>
  <w:style w:type="character" w:customStyle="1" w:styleId="26">
    <w:name w:val="ConsNormal Знак"/>
    <w:link w:val="25"/>
    <w:qFormat/>
    <w:uiPriority w:val="99"/>
    <w:rPr>
      <w:rFonts w:ascii="Arial" w:hAnsi="Arial" w:eastAsia="Times New Roman" w:cs="Arial"/>
      <w:sz w:val="20"/>
      <w:szCs w:val="20"/>
      <w:lang w:eastAsia="ru-RU"/>
    </w:rPr>
  </w:style>
  <w:style w:type="character" w:customStyle="1" w:styleId="27">
    <w:name w:val="Текст примечания Знак"/>
    <w:basedOn w:val="2"/>
    <w:link w:val="10"/>
    <w:semiHidden/>
    <w:qFormat/>
    <w:uiPriority w:val="99"/>
    <w:rPr>
      <w:sz w:val="20"/>
      <w:szCs w:val="20"/>
    </w:rPr>
  </w:style>
  <w:style w:type="character" w:customStyle="1" w:styleId="28">
    <w:name w:val="Тема примечания Знак"/>
    <w:basedOn w:val="27"/>
    <w:link w:val="11"/>
    <w:semiHidden/>
    <w:qFormat/>
    <w:uiPriority w:val="99"/>
    <w:rPr>
      <w:b/>
      <w:bCs/>
      <w:sz w:val="20"/>
      <w:szCs w:val="20"/>
    </w:rPr>
  </w:style>
  <w:style w:type="paragraph" w:styleId="29">
    <w:name w:val="No Spacing"/>
    <w:qFormat/>
    <w:uiPriority w:val="0"/>
    <w:pPr>
      <w:spacing w:after="0" w:line="240" w:lineRule="auto"/>
    </w:pPr>
    <w:rPr>
      <w:rFonts w:ascii="Calibri" w:hAnsi="Calibri" w:eastAsia="Calibri" w:cs="Times New Roman"/>
      <w:sz w:val="22"/>
      <w:szCs w:val="22"/>
      <w:lang w:val="ru-RU"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315C8-DECA-48EE-B06F-03AA6E4AB4F4}">
  <ds:schemaRefs/>
</ds:datastoreItem>
</file>

<file path=docProps/app.xml><?xml version="1.0" encoding="utf-8"?>
<Properties xmlns="http://schemas.openxmlformats.org/officeDocument/2006/extended-properties" xmlns:vt="http://schemas.openxmlformats.org/officeDocument/2006/docPropsVTypes">
  <Template>Normal</Template>
  <Pages>5</Pages>
  <Words>1072</Words>
  <Characters>7454</Characters>
  <Lines>62</Lines>
  <Paragraphs>17</Paragraphs>
  <TotalTime>10</TotalTime>
  <ScaleCrop>false</ScaleCrop>
  <LinksUpToDate>false</LinksUpToDate>
  <CharactersWithSpaces>8464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2026-07-13T09:50:00Z</dcterms:created>
  <dcterms:modified xsi:type="dcterms:W3CDTF">2026-08-18T19:11:34Z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eyJoZGlkIjoiOGNiNGEzYzcxMGVmNjk5NjkxZDIxM2FjMzlkMmQ4NzYifQ==</vt:lpwstr>
  </property>
  <property fmtid="{D5CDD505-2E9C-101B-9397-08002B2CF9AE}" pid="3" name="KSOProductBuildVer">
    <vt:lpwstr>1049-12.1.0.28032</vt:lpwstr>
  </property>
  <property fmtid="{D5CDD505-2E9C-101B-9397-08002B2CF9AE}" pid="4" name="ICV">
    <vt:lpwstr>B89F0EE8A049410790EAF48F4218FBF1_13</vt:lpwstr>
  </property>
</Properties>
</file>