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 xml:space="preserve">Приложение № 2 к Документации </w:t>
      </w:r>
    </w:p>
    <w:p>
      <w:pPr>
        <w:pStyle w:val="Normal"/>
        <w:jc w:val="right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об аукционе в электронной форме</w:t>
      </w:r>
    </w:p>
    <w:p>
      <w:pPr>
        <w:pStyle w:val="Normal"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</w:r>
    </w:p>
    <w:p>
      <w:pPr>
        <w:pStyle w:val="Normal"/>
        <w:spacing w:lineRule="auto" w:line="300" w:before="0" w:after="40"/>
        <w:jc w:val="center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  <w:tab/>
        <w:tab/>
        <w:tab/>
        <w:tab/>
        <w:t xml:space="preserve">   УТВЕРЖДАЮ</w:t>
      </w:r>
    </w:p>
    <w:p>
      <w:pPr>
        <w:pStyle w:val="Normal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ab/>
        <w:tab/>
        <w:tab/>
        <w:tab/>
        <w:tab/>
        <w:tab/>
        <w:tab/>
        <w:t>И.о. директора</w:t>
      </w:r>
    </w:p>
    <w:p>
      <w:pPr>
        <w:pStyle w:val="Normal"/>
        <w:ind w:left="4956" w:hanging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ab/>
        <w:t>АСУСО «Омский ДИ»</w:t>
      </w:r>
    </w:p>
    <w:p>
      <w:pPr>
        <w:pStyle w:val="Normal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  <w:tab/>
        <w:tab/>
        <w:tab/>
        <w:tab/>
        <w:tab/>
        <w:tab/>
        <w:tab/>
        <w:t>_________ М.Н. Амельченко</w:t>
      </w:r>
    </w:p>
    <w:p>
      <w:pPr>
        <w:pStyle w:val="Normal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jc w:val="center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 xml:space="preserve">ТЕХНИЧЕСКОЕ ЗАДАНИЕ </w:t>
      </w:r>
    </w:p>
    <w:p>
      <w:pPr>
        <w:pStyle w:val="Normal"/>
        <w:jc w:val="center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 xml:space="preserve">на ремонт системы видеонаблюдения в </w:t>
      </w:r>
      <w:r>
        <w:rPr>
          <w:rFonts w:eastAsia="Times New Roman" w:cs="Times New Roman"/>
          <w:b/>
          <w:bCs/>
          <w:color w:val="000000"/>
          <w:sz w:val="24"/>
          <w:szCs w:val="24"/>
        </w:rPr>
        <w:t>автономном стационарном учреждении социального обслуживания Омской области "Омский дом-интернат".</w:t>
      </w:r>
    </w:p>
    <w:p>
      <w:pPr>
        <w:pStyle w:val="Normal"/>
        <w:spacing w:lineRule="auto" w:line="360" w:before="200" w:after="90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1. Общие сведения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1.1. Наименование объекта закупки: р</w:t>
      </w:r>
      <w:r>
        <w:rPr>
          <w:rFonts w:eastAsia="Times New Roman" w:cs="Times New Roman"/>
          <w:color w:val="000000"/>
          <w:sz w:val="24"/>
          <w:szCs w:val="24"/>
        </w:rPr>
        <w:t xml:space="preserve">емонт системы видеонаблюдения для  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Жилого корпуса №2, расположенного по адресу: 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г. Омск, 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п. Северный 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1.2. Заказчик: </w:t>
      </w:r>
      <w:r>
        <w:rPr>
          <w:rFonts w:eastAsia="Times New Roman" w:cs="Times New Roman"/>
          <w:color w:val="000000"/>
          <w:sz w:val="24"/>
          <w:szCs w:val="24"/>
        </w:rPr>
        <w:t xml:space="preserve">автономное стационарное учреждение социального обслуживания Омской области "Омский дом-интернат", </w:t>
      </w:r>
      <w:r>
        <w:rPr>
          <w:rFonts w:eastAsia="Times New Roman" w:cs="Times New Roman"/>
          <w:bCs/>
          <w:color w:val="000000"/>
          <w:sz w:val="24"/>
          <w:szCs w:val="24"/>
        </w:rPr>
        <w:t>расположенно</w:t>
      </w:r>
      <w:r>
        <w:rPr>
          <w:rFonts w:eastAsia="Times New Roman" w:cs="Times New Roman"/>
          <w:bCs/>
          <w:color w:val="000000"/>
          <w:sz w:val="24"/>
          <w:szCs w:val="24"/>
        </w:rPr>
        <w:t>е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 по адресу: 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г. Омск, 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п. Северный 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1.3. Место выполнения работы: </w:t>
      </w:r>
      <w:r>
        <w:rPr>
          <w:rFonts w:eastAsia="Times New Roman" w:cs="Times New Roman"/>
          <w:color w:val="000000"/>
          <w:sz w:val="24"/>
          <w:szCs w:val="24"/>
        </w:rPr>
        <w:t xml:space="preserve">автономное стационарное учреждение социального обслуживания Омской области "Омский дом-интернат", </w:t>
      </w:r>
      <w:r>
        <w:rPr>
          <w:rFonts w:eastAsia="Times New Roman" w:cs="Times New Roman"/>
          <w:bCs/>
          <w:color w:val="000000"/>
          <w:sz w:val="24"/>
          <w:szCs w:val="24"/>
        </w:rPr>
        <w:t>расположенно</w:t>
      </w:r>
      <w:r>
        <w:rPr>
          <w:rFonts w:eastAsia="Times New Roman" w:cs="Times New Roman"/>
          <w:bCs/>
          <w:color w:val="000000"/>
          <w:sz w:val="24"/>
          <w:szCs w:val="24"/>
        </w:rPr>
        <w:t>е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 по адресу: </w:t>
      </w:r>
      <w:r>
        <w:rPr>
          <w:rFonts w:eastAsia="Times New Roman" w:cs="Times New Roman"/>
          <w:bCs/>
          <w:color w:val="000000"/>
          <w:sz w:val="24"/>
          <w:szCs w:val="24"/>
        </w:rPr>
        <w:t xml:space="preserve">г. Омск, </w:t>
      </w:r>
      <w:r>
        <w:rPr>
          <w:rFonts w:eastAsia="Times New Roman" w:cs="Times New Roman"/>
          <w:bCs/>
          <w:color w:val="000000"/>
          <w:sz w:val="24"/>
          <w:szCs w:val="24"/>
        </w:rPr>
        <w:t>п. Северный.</w:t>
      </w:r>
    </w:p>
    <w:p>
      <w:pPr>
        <w:pStyle w:val="Normal"/>
        <w:spacing w:lineRule="auto" w:line="360" w:before="50" w:after="50"/>
        <w:ind w:firstLine="567"/>
        <w:jc w:val="both"/>
        <w:rPr>
          <w:b/>
          <w:bCs/>
          <w:sz w:val="22"/>
          <w:szCs w:val="22"/>
        </w:rPr>
      </w:pPr>
      <w:r>
        <w:rPr>
          <w:rFonts w:eastAsia="Times New Roman" w:cs="Times New Roman"/>
          <w:sz w:val="24"/>
          <w:szCs w:val="24"/>
          <w:highlight w:val="yellow"/>
        </w:rPr>
        <w:t xml:space="preserve">1.4. Код ОКПД 2: </w:t>
      </w:r>
      <w:r>
        <w:rPr>
          <w:b/>
          <w:bCs/>
          <w:sz w:val="22"/>
          <w:szCs w:val="22"/>
          <w:highlight w:val="yellow"/>
        </w:rPr>
        <w:t>95.21.10.120</w:t>
      </w:r>
      <w:r>
        <w:rPr>
          <w:highlight w:val="yellow"/>
        </w:rPr>
        <w:t xml:space="preserve"> </w:t>
      </w:r>
      <w:r>
        <w:rPr>
          <w:rFonts w:eastAsia="Times New Roman" w:cs="Times New Roman"/>
          <w:sz w:val="24"/>
          <w:szCs w:val="24"/>
          <w:highlight w:val="yellow"/>
        </w:rPr>
        <w:t xml:space="preserve">- </w:t>
      </w:r>
      <w:r>
        <w:rPr>
          <w:b/>
          <w:bCs/>
          <w:sz w:val="22"/>
          <w:szCs w:val="22"/>
          <w:highlight w:val="yellow"/>
        </w:rPr>
        <w:t>Услуги по ремонту видеозаписывающей аппаратуры.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1.5. Начальная (максимальная) цена контракта определена на основании локального сметного расчёта № 02-01-01, составленного ресурсно-индексным методом в соответствии с Методикой, утверждённой приказом Минстроя России от 04.08.2020 № 421/пр, в текущем уровне цен 3 квартала 2025 года.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1.6. Работы выполняются на действующем объекте - в стационарном учреждении социального обслуживания с круглосуточным пребыванием граждан пожилого возраста и инвалидов, без прекращения его функционирования.</w:t>
      </w:r>
    </w:p>
    <w:p>
      <w:pPr>
        <w:pStyle w:val="Normal"/>
        <w:spacing w:lineRule="auto" w:line="360" w:before="200" w:after="90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2. Состав и объём работ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2.1. Подрядчик выполняет комплекс работ по ремонту системы видеонаблюдения, включающий поставку оборудования и материалов, монтажные и пусконаладочные работы, а также объединение существующей и вновь монтируемой систем видеонаблюдения в единую систему с выводом изображения на пост наблюдения.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2.2. Перечень поставляемого оборудования и материалов приведён в Таблице 1.</w:t>
      </w:r>
    </w:p>
    <w:p>
      <w:pPr>
        <w:pStyle w:val="Normal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 w:before="0" w:after="70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Таблица 1. Оборудование и материалы</w:t>
      </w:r>
    </w:p>
    <w:tbl>
      <w:tblPr>
        <w:tblW w:w="7600" w:type="dxa"/>
        <w:jc w:val="left"/>
        <w:tblInd w:w="95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/>
      </w:tblPr>
      <w:tblGrid>
        <w:gridCol w:w="500"/>
        <w:gridCol w:w="5200"/>
        <w:gridCol w:w="1000"/>
        <w:gridCol w:w="899"/>
      </w:tblGrid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Наименование оборудования (материала)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Нейросетевой IP-видеорегистратор TRASSIR NeuroStation CT1 8800R/128-A5 (или эквивалент)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Жёсткий диск 3,5" 6 Тбайт Seagate SkyHawk ST6000VX009 (или эквивалент)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IP-видеокамера TRASSIR TR-D2121IR3 v6 (R) 2.8 (или эквивалент)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IP-видеокамера TRASSIR TR-D3121IR2 v6 (R) 2.8 (или эквивалент)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31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Телевизор 55" Xiaomi TV A 55 2025, 4K UltraHD (или эквивалент)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Кронштейн для телевизора ONKRON M4 (или эквивалент)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</w:tbl>
    <w:p>
      <w:pPr>
        <w:pStyle w:val="Normal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2.3. Перечень и объёмы работ приведены в Таблице 2 и соответствуют локальному сметному расчёту № 02-01-01.</w:t>
      </w:r>
    </w:p>
    <w:p>
      <w:pPr>
        <w:pStyle w:val="Normal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 w:before="0" w:after="70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Таблица 2. Объёмы работ</w:t>
      </w:r>
    </w:p>
    <w:tbl>
      <w:tblPr>
        <w:tblW w:w="8100" w:type="dxa"/>
        <w:jc w:val="left"/>
        <w:tblInd w:w="95" w:type="dxa"/>
        <w:tblLayout w:type="fixed"/>
        <w:tblCellMar>
          <w:top w:w="50" w:type="dxa"/>
          <w:left w:w="90" w:type="dxa"/>
          <w:bottom w:w="50" w:type="dxa"/>
          <w:right w:w="90" w:type="dxa"/>
        </w:tblCellMar>
        <w:tblLook w:val="04a0"/>
      </w:tblPr>
      <w:tblGrid>
        <w:gridCol w:w="498"/>
        <w:gridCol w:w="4200"/>
        <w:gridCol w:w="1901"/>
        <w:gridCol w:w="801"/>
        <w:gridCol w:w="700"/>
      </w:tblGrid>
      <w:tr>
        <w:trPr/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Обоснование (ГЭСН)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</w:tr>
      <w:tr>
        <w:trPr/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Монтаж устройства цифровой регистрации (видеорегистратора)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ГЭСНм10-04-087-14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устройство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Установка съёмных и выдвижных блоков массой до 5 кг (жёстких дисков)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ГЭСНм11-04-008-01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</w:tr>
      <w:tr>
        <w:trPr/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Монтаж камер видеонаблюдения наружных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ГЭСНм10-10-001-02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 шт.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3,7</w:t>
            </w:r>
          </w:p>
        </w:tc>
      </w:tr>
      <w:tr>
        <w:trPr/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Монтаж устройств видеоконтрольных (мониторов поста наблюдения)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ГЭСНм10-04-067-23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Установка конструкций для установки приборов массой до 1 кг (кронштейнов)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ГЭСНм11-01-001-01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Инсталляция и базовая настройка общего и специального программного обеспечения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ГЭСНп02-02-001-01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  <w:tr>
        <w:trPr/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Функциональная настройка общего программного обеспечения автоматизированной системы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ГЭСНп02-02-002-01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76" w:before="20" w:after="2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</w:tr>
    </w:tbl>
    <w:p>
      <w:pPr>
        <w:pStyle w:val="Normal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2.4. Общее количество монтируемых IP-видеокамер - 37 штук.</w:t>
      </w:r>
    </w:p>
    <w:p>
      <w:pPr>
        <w:pStyle w:val="Normal"/>
        <w:spacing w:lineRule="auto" w:line="360" w:before="200" w:after="90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3. Требования к оборудованию и материалам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3.1. Поставляемое оборудование должно быть новым, не бывшим в употреблении, не восстановленным, свободным от прав третьих лиц, в заводской упаковке, с технической документацией на русском языке.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3.2. Видеорегистратор должен обеспечивать: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подключение и запись не менее 128 IP-видеокамер;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работу под управлением операционной системы, включённой в единый реестр российских программ для электронных вычислительных машин и баз данных;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установку не менее 8 жёстких дисков форм-фактора 3,5";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подключение не менее 2 мониторов, наличие видеовыходов HDMI и DisplayPort с разрешением до 4K;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не менее 2 сетевых интерфейсов RJ-45 10/100/1000 Мбит/с;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полную программную совместимость с существующей системой видеонаблюдения Заказчика и возможность объединения серверов в единую систему;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монтаж в стойку 19", высота не более 2U.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3.3. Жёсткие диски должны быть предназначены для непрерывной круглосуточной работы в системах видеонаблюдения, объём каждого - не менее 6 Тбайт, интерфейс SATA, форм-фактор 3,5". Суммарный объём дискового массива - не менее 48 Тбайт.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3.4. IP-видеокамеры должны быть совместимы с системой видеонаблюдения Заказчика, иметь ИК-подсветку и обеспечивать работу в составе единой системы без применения дополнительного программного обеспечения сторонних производителей.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3.5. Оборудование должно соответствовать требованиям технических регламентов Таможенного союза ТР ТС 004/2011 «О безопасности низковольтного оборудования» и ТР ТС 020/2011 «Электромагнитная совместимость технических средств».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3.6. При поставке эквивалента предлагаемое оборудование должно обеспечивать полную функциональную и программную совместимость с существующей системой видеонаблюдения Заказчика, работающей под управлением программного обеспечения TRASSIR, включая возможность объединения в единую систему и централизованного управления.</w:t>
      </w:r>
    </w:p>
    <w:p>
      <w:pPr>
        <w:pStyle w:val="Normal"/>
        <w:spacing w:lineRule="auto" w:line="360" w:before="200" w:after="90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4. Требования к выполнению монтажных работ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4.1. До начала работ Подрядчик обследует объект, уточняет места установки видеокамер, трассы прокладки кабельных линий и место размещения оборудования поста наблюдения, согласует их с Заказчиком.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4.2. Монтаж видеокамер выполняется в местах, обеспечивающих требуемые зоны обзора, с учётом исключения зон, в которых видеонаблюдение не допускается (жилые комнаты проживающих, санитарно-гигиенические помещения, медицинские кабинеты).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4.3. Крепление видеокамер выполняется на несущие конструкции с применением крепежа, обеспечивающего надёжную фиксацию и исключающего произвольное изменение положения камеры.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4.4. Кабельные линии прокладываются скрыто либо в кабель-каналах и гофрированных трубах, с маркировкой обоих концов каждой линии. Пересечение с электрическими сетями выполняется в соответствии с требованиями ПУЭ.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4.5. Монтаж видеорегистратора выполняется в существующую телекоммуникационную стойку (шкаф) Заказчика. Установка жёстких дисков производится в дисковые отсеки видеорегистратора с последующей инициализацией дискового массива.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4.6. Монтаж мониторов поста наблюдения выполняется на кронштейны с креплением к несущей конструкции стены, с обеспечением углов обзора для оператора поста.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4.7. Все работы выполняются с соблюдением требований охраны труда, электробезопасности и пожарной безопасности. Работы на высоте выполняются работниками, имеющими соответствующую квалификацию и допуск.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4.8. Подрядчик несёт ответственность за повреждение имущества, конструкций и отделки помещений Заказчика, допущенное при выполнении работ, и устраняет такие повреждения за свой счёт.</w:t>
      </w:r>
    </w:p>
    <w:p>
      <w:pPr>
        <w:pStyle w:val="Normal"/>
        <w:spacing w:lineRule="auto" w:line="360" w:before="200" w:after="90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5. Требования к пусконаладочным работам, обновлению программного обеспечения и объединению систем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5.1. Пусконаладочные работы включают инсталляцию и базовую настройку общего и специального программного обеспечения, а также функциональную настройку программного обеспечения автоматизированной системы в объёме, предусмотренном Таблицей 2 настоящего Технического задания.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5.2. </w:t>
      </w:r>
      <w:r>
        <w:rPr>
          <w:rFonts w:eastAsia="Times New Roman" w:cs="Times New Roman"/>
          <w:b/>
          <w:bCs/>
          <w:sz w:val="24"/>
          <w:szCs w:val="24"/>
        </w:rPr>
        <w:t>Обновление программного обеспечения существующей системы.</w:t>
      </w:r>
      <w:r>
        <w:rPr>
          <w:rFonts w:eastAsia="Times New Roman" w:cs="Times New Roman"/>
          <w:sz w:val="24"/>
          <w:szCs w:val="24"/>
        </w:rPr>
        <w:t xml:space="preserve"> Подрядчик выполняет обновление программного обеспечения существующей системы видеонаблюдения Заказчика до версии, обеспечивающей совместную работу с поставляемым видеорегистратором и вновь монтируемыми видеокамерами, включая: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проверку текущей версии программного обеспечения и её совместимости с поставляемым оборудованием;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резервное копирование конфигурации существующей системы (настройки серверов, камер, пользователей, прав доступа, расписаний и правил записи) до начала обновления;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обновление программного обеспечения существующего сервера (серверов) видеонаблюдения до актуальной версии;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восстановление и проверку работоспособности ранее установленных настроек после обновления;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проверку сохранности и доступности ранее записанного видеоархива существующей системы.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5.3. Обновление программного обеспечения выполняется в согласованное с Заказчиком время. Суммарное время перерыва в работе существующей системы видеонаблюдения не должно превышать 4 часов. В случае невозможности обеспечения работоспособности системы после обновления Подрядчик обязан выполнить откат к предыдущей версии с восстановлением сохранённой конфигурации.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5.4. </w:t>
      </w:r>
      <w:r>
        <w:rPr>
          <w:rFonts w:eastAsia="Times New Roman" w:cs="Times New Roman"/>
          <w:b/>
          <w:bCs/>
          <w:sz w:val="24"/>
          <w:szCs w:val="24"/>
        </w:rPr>
        <w:t>Объединение систем видеонаблюдения.</w:t>
      </w:r>
      <w:r>
        <w:rPr>
          <w:rFonts w:eastAsia="Times New Roman" w:cs="Times New Roman"/>
          <w:sz w:val="24"/>
          <w:szCs w:val="24"/>
        </w:rPr>
        <w:t xml:space="preserve"> Подрядчик выполняет объединение существующей и вновь монтируемой систем видеонаблюдения в единую систему, включая: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настройку сетевого взаимодействия между существующим и поставляемым серверами видеонаблюдения;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настройку режима совместной работы серверов, обеспечивающего централизованное управление, единую базу пользователей и единый интерфейс доступа к видеоархиву обоих серверов;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подключение 37 вновь монтируемых видеокамер к поставляемому видеорегистратору;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настройку параметров записи (разрешение, частота кадров, глубина архива) по согласованию с Заказчиком;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настройку прав доступа пользователей к камерам существующей и новой систем.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5.5. </w:t>
      </w:r>
      <w:r>
        <w:rPr>
          <w:rFonts w:eastAsia="Times New Roman" w:cs="Times New Roman"/>
          <w:b/>
          <w:bCs/>
          <w:sz w:val="24"/>
          <w:szCs w:val="24"/>
        </w:rPr>
        <w:t>Пост наблюдения.</w:t>
      </w:r>
      <w:r>
        <w:rPr>
          <w:rFonts w:eastAsia="Times New Roman" w:cs="Times New Roman"/>
          <w:sz w:val="24"/>
          <w:szCs w:val="24"/>
        </w:rPr>
        <w:t xml:space="preserve"> Подрядчик обеспечивает вывод изображения с видеокамер существующей и вновь монтируемой систем на мониторы поста наблюдения, включая: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подключение мониторов поста наблюдения к видеовыходам оборудования;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формирование раскладок (мультиэкранов) отображения видеокамер, согласованных с Заказчиком;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настройку отображения видеокамер обеих систем в едином интерфейсе оператора;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настройку переключения раскладок и просмотра видеоархива с рабочего места оператора.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5.6. Лицензии, необходимые для подключения видеокамер к системе видеонаблюдения, если такие лицензии не входят в комплект поставки видеорегистратора, предоставляются Заказчиком. Подрядчик обеспечивает их активацию и настройку в составе пусконаладочных работ.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5.7. По завершении пусконаладочных работ Подрядчик проводит инструктаж работников Заказчика (не менее 2 человек) по эксплуатации системы: просмотр видео в реальном времени, работа с видеоархивом, экспорт видеозаписей, действия при нештатных ситуациях.</w:t>
      </w:r>
    </w:p>
    <w:p>
      <w:pPr>
        <w:pStyle w:val="Normal"/>
        <w:spacing w:lineRule="auto" w:line="360" w:before="200" w:after="90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6. Условия производства работ на действующем объекте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6.1. Работы выполняются без прекращения функционирования учреждения и без нарушения условий проживания граждан.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6.2. График производства работ согласовывается с Заказчиком до начала работ. Работы, сопровождающиеся повышенным шумом, выполняются в согласованные с Заказчиком часы.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6.3. Работники Подрядчика соблюдают установленный на объекте пропускной и внутренний режим. Список работников с указанием фамилии, имени, отчества и должности представляется Заказчику до начала работ.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6.4. Не допускается загромождение путей эвакуации, а также оставление инструмента, материалов и оборудования в местах, доступных для проживающих.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6.5. Ежедневно по окончании работ Подрядчик обеспечивает уборку рабочих мест и вывоз строительного мусора.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6.6. Подрядчик обеспечивает неразглашение сведений о проживающих и работниках учреждения, ставших известными при выполнении работ, а также сведений, содержащихся в видеоархиве системы видеонаблюдения.</w:t>
      </w:r>
    </w:p>
    <w:p>
      <w:pPr>
        <w:pStyle w:val="Normal"/>
        <w:spacing w:lineRule="auto" w:line="360" w:before="200" w:after="90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7. Требования к качеству работ и применяемые нормативные документы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7.1. Работы выполняются в соответствии с требованиями: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Правил устройства электроустановок (ПУЭ);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СП 76.13330.2016 «Электротехнические устройства»;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СП 134.13330.2012 «Системы электросвязи зданий и сооружений. Основные положения проектирования»;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ГОСТ Р 59638-2021 «Технические средства охраны. Системы охранные телевизионные. Классификация. Общие технические требования. Методы испытаний»;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технической документации изготовителей применяемого оборудования.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7.2. Применяемые материалы и оборудование должны иметь документы, подтверждающие их соответствие (сертификаты, декларации о соответствии), предоставляемые Заказчику при приёмке.</w:t>
      </w:r>
    </w:p>
    <w:p>
      <w:pPr>
        <w:pStyle w:val="Normal"/>
        <w:spacing w:lineRule="auto" w:line="360" w:before="200" w:after="90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8. Сроки выполнения работ</w:t>
      </w:r>
    </w:p>
    <w:p>
      <w:pPr>
        <w:pStyle w:val="Normal"/>
        <w:widowControl w:val="false"/>
        <w:ind w:firstLine="567"/>
        <w:jc w:val="both"/>
        <w:rPr>
          <w:rFonts w:cs="Times New Roman"/>
        </w:rPr>
      </w:pPr>
      <w:r>
        <w:rPr>
          <w:rFonts w:eastAsia="Times New Roman" w:cs="Times New Roman"/>
          <w:sz w:val="24"/>
          <w:szCs w:val="24"/>
        </w:rPr>
        <w:t xml:space="preserve">8.1. Срок выполнения работ: </w:t>
      </w:r>
      <w:r>
        <w:rPr>
          <w:rFonts w:cs="Times New Roman"/>
          <w:b/>
          <w:sz w:val="24"/>
          <w:szCs w:val="24"/>
          <w:highlight w:val="yellow"/>
        </w:rPr>
        <w:t>в</w:t>
      </w:r>
      <w:r>
        <w:rPr>
          <w:rFonts w:cs="Times New Roman"/>
          <w:sz w:val="24"/>
          <w:szCs w:val="24"/>
          <w:highlight w:val="yellow"/>
        </w:rPr>
        <w:t xml:space="preserve"> </w:t>
      </w:r>
      <w:r>
        <w:rPr>
          <w:rFonts w:cs="Times New Roman"/>
          <w:b/>
          <w:sz w:val="24"/>
          <w:szCs w:val="24"/>
          <w:highlight w:val="yellow"/>
        </w:rPr>
        <w:t>течение 45 рабочих дней</w:t>
      </w:r>
      <w:r>
        <w:rPr>
          <w:rFonts w:cs="Times New Roman"/>
          <w:sz w:val="24"/>
          <w:szCs w:val="24"/>
          <w:highlight w:val="yellow"/>
        </w:rPr>
        <w:t xml:space="preserve"> </w:t>
      </w:r>
      <w:r>
        <w:rPr>
          <w:rFonts w:cs="Times New Roman"/>
          <w:b/>
          <w:sz w:val="24"/>
          <w:szCs w:val="24"/>
          <w:highlight w:val="yellow"/>
        </w:rPr>
        <w:t>с момента заключения договора</w:t>
      </w:r>
      <w:r>
        <w:rPr>
          <w:rFonts w:cs="Times New Roman"/>
          <w:b/>
          <w:sz w:val="24"/>
          <w:szCs w:val="24"/>
        </w:rPr>
        <w:t>.</w:t>
      </w:r>
      <w:r>
        <w:rPr>
          <w:rFonts w:cs="Times New Roman"/>
          <w:sz w:val="24"/>
          <w:szCs w:val="24"/>
        </w:rPr>
        <w:t xml:space="preserve"> 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8.2. Обследование объекта и согласование мест установки оборудования выполняются в течение 5 рабочих дней с даты заключения контракта.</w:t>
      </w:r>
    </w:p>
    <w:p>
      <w:pPr>
        <w:pStyle w:val="Normal"/>
        <w:spacing w:lineRule="auto" w:line="360" w:before="200" w:after="90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9. Гарантийные обязательства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9.1. Гарантийный срок на выполненные работы составляет 24 месяца с даты подписания документа о приёмке выполненных работ.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9.2. Гарантийный срок на поставленное оборудование составляет не менее гарантийного срока, установленного изготовителем, но не менее 24 месяцев с даты подписания документа о приёмке.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9.3. Выявленные в течение гарантийного срока недостатки, возникшие по вине Подрядчика, устраняются Подрядчиком за свой счёт. Срок прибытия представителя Подрядчика на объект - не более 3 рабочих дней с момента получения уведомления Заказчика, срок устранения недостатков - не более 10 рабочих дней, если иной срок не согласован сторонами.</w:t>
      </w:r>
    </w:p>
    <w:p>
      <w:pPr>
        <w:pStyle w:val="Normal"/>
        <w:spacing w:lineRule="auto" w:line="360" w:before="200" w:after="90"/>
        <w:rPr>
          <w:rFonts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10. Приёмка работ и отчётная документация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10.1. Приёмка выполненных работ производится после завершения монтажных и пусконаладочных работ и проверки работоспособности системы в целом.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10.2. При приёмке проверяются: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соответствие количества и характеристик смонтированного оборудования настоящему Техническому заданию;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работоспособность каждой из 37 вновь смонтированных видеокамер (наличие изображения, запись в архив, качество изображения в дневном и ночном режимах);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работоспособность существующих видеокамер после обновления программного обеспечения;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отображение видеокамер существующей и новой систем в едином интерфейсе на посту наблюдения;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доступность видеоархива обеих систем, включая архив, записанный до выполнения работ;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работа системы в непрерывном режиме в течение не менее 24 часов без сбоев.</w:t>
      </w:r>
    </w:p>
    <w:p>
      <w:pPr>
        <w:pStyle w:val="Normal"/>
        <w:spacing w:lineRule="auto" w:line="360" w:before="50" w:after="50"/>
        <w:ind w:firstLine="567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10.3. По завершении работ Подрядчик передаёт Заказчику: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акт о приёмке выполненных работ и справку о стоимости выполненных работ и затрат;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исполнительную схему размещения видеокамер с указанием зон обзора и трасс кабельных линий;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перечень смонтированного оборудования с указанием серийных номеров и мест установки;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перечень IP-адресов и параметров настройки видеокамер и серверов;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акт проведения пусконаладочных работ с подтверждением работоспособности системы;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копии документов о соответствии на оборудование, гарантийные талоны;</w:t>
      </w:r>
    </w:p>
    <w:p>
      <w:pPr>
        <w:pStyle w:val="Normal"/>
        <w:spacing w:lineRule="auto" w:line="360" w:before="30" w:after="30"/>
        <w:ind w:left="851" w:hanging="284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- инструкцию оператора поста наблюдения.</w:t>
      </w:r>
    </w:p>
    <w:p>
      <w:pPr>
        <w:pStyle w:val="Normal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rmal"/>
        <w:spacing w:lineRule="auto" w:line="360" w:before="50" w:after="50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Техническое задание составил: _________________ /_______________/</w:t>
      </w:r>
    </w:p>
    <w:p>
      <w:pPr>
        <w:pStyle w:val="Normal"/>
        <w:spacing w:lineRule="atLeast" w:line="238"/>
        <w:jc w:val="both"/>
        <w:rPr>
          <w:rFonts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/>
          <w:color w:val="000000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993" w:right="708" w:gutter="0" w:header="0" w:top="709" w:footer="0" w:bottom="709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Verdana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b6bdd"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eastAsia="ru-RU" w:val="ru-RU" w:bidi="ar-SA"/>
    </w:rPr>
  </w:style>
  <w:style w:type="paragraph" w:styleId="1" w:customStyle="1">
    <w:name w:val="Heading 1"/>
    <w:basedOn w:val="Normal"/>
    <w:uiPriority w:val="9"/>
    <w:qFormat/>
    <w:rsid w:val="00eb6bdd"/>
    <w:pPr>
      <w:keepNext w:val="true"/>
      <w:spacing w:lineRule="auto" w:line="216"/>
      <w:jc w:val="center"/>
      <w:outlineLvl w:val="0"/>
    </w:pPr>
    <w:rPr>
      <w:rFonts w:ascii="Cambria" w:hAnsi="Cambria"/>
      <w:b/>
      <w:bCs/>
      <w:sz w:val="32"/>
      <w:szCs w:val="32"/>
      <w:lang w:val="en-US" w:eastAsia="en-US"/>
    </w:rPr>
  </w:style>
  <w:style w:type="paragraph" w:styleId="2" w:customStyle="1">
    <w:name w:val="Heading 2"/>
    <w:basedOn w:val="Normal"/>
    <w:uiPriority w:val="9"/>
    <w:qFormat/>
    <w:rsid w:val="00eb6bdd"/>
    <w:pPr>
      <w:keepNext w:val="true"/>
      <w:tabs>
        <w:tab w:val="clear" w:pos="709"/>
        <w:tab w:val="left" w:pos="3290" w:leader="none"/>
      </w:tabs>
      <w:spacing w:lineRule="auto" w:line="360" w:before="240" w:after="0"/>
      <w:ind w:left="709" w:right="-1" w:hanging="0"/>
      <w:jc w:val="both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 w:customStyle="1">
    <w:name w:val="Heading 3"/>
    <w:basedOn w:val="Normal"/>
    <w:uiPriority w:val="9"/>
    <w:qFormat/>
    <w:rsid w:val="00eb6bdd"/>
    <w:pPr>
      <w:keepNext w:val="true"/>
      <w:jc w:val="both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paragraph" w:styleId="4" w:customStyle="1">
    <w:name w:val="Heading 4"/>
    <w:basedOn w:val="Normal"/>
    <w:uiPriority w:val="9"/>
    <w:qFormat/>
    <w:rsid w:val="00eb6bdd"/>
    <w:pPr>
      <w:keepNext w:val="true"/>
      <w:spacing w:before="240" w:after="0"/>
      <w:ind w:firstLine="709"/>
      <w:jc w:val="both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5" w:customStyle="1">
    <w:name w:val="Heading 5"/>
    <w:basedOn w:val="Normal"/>
    <w:uiPriority w:val="9"/>
    <w:qFormat/>
    <w:rsid w:val="00eb6bdd"/>
    <w:pPr>
      <w:keepNext w:val="true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6" w:customStyle="1">
    <w:name w:val="Heading 6"/>
    <w:basedOn w:val="Normal"/>
    <w:uiPriority w:val="9"/>
    <w:qFormat/>
    <w:rsid w:val="00eb6bdd"/>
    <w:pPr>
      <w:spacing w:before="240" w:after="60"/>
      <w:outlineLvl w:val="5"/>
    </w:pPr>
    <w:rPr>
      <w:rFonts w:ascii="Calibri" w:hAnsi="Calibri"/>
      <w:b/>
      <w:bCs/>
      <w:lang w:val="en-US" w:eastAsia="en-US"/>
    </w:rPr>
  </w:style>
  <w:style w:type="paragraph" w:styleId="7" w:customStyle="1">
    <w:name w:val="Heading 7"/>
    <w:basedOn w:val="Normal"/>
    <w:uiPriority w:val="9"/>
    <w:unhideWhenUsed/>
    <w:qFormat/>
    <w:rsid w:val="00eb6bdd"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 w:customStyle="1">
    <w:name w:val="Heading 8"/>
    <w:basedOn w:val="Normal"/>
    <w:uiPriority w:val="9"/>
    <w:unhideWhenUsed/>
    <w:qFormat/>
    <w:rsid w:val="00eb6bdd"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 w:customStyle="1">
    <w:name w:val="Heading 9"/>
    <w:basedOn w:val="Normal"/>
    <w:uiPriority w:val="9"/>
    <w:unhideWhenUsed/>
    <w:qFormat/>
    <w:rsid w:val="00eb6bdd"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uiPriority w:val="9"/>
    <w:qFormat/>
    <w:rsid w:val="00eb6bdd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uiPriority w:val="9"/>
    <w:qFormat/>
    <w:rsid w:val="00eb6bdd"/>
    <w:rPr>
      <w:rFonts w:ascii="Arial" w:hAnsi="Arial" w:eastAsia="Arial" w:cs="Arial"/>
      <w:sz w:val="34"/>
    </w:rPr>
  </w:style>
  <w:style w:type="character" w:styleId="Heading3Char" w:customStyle="1">
    <w:name w:val="Heading 3 Char"/>
    <w:uiPriority w:val="9"/>
    <w:qFormat/>
    <w:rsid w:val="00eb6bdd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uiPriority w:val="9"/>
    <w:qFormat/>
    <w:rsid w:val="00eb6bdd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uiPriority w:val="9"/>
    <w:qFormat/>
    <w:rsid w:val="00eb6bdd"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uiPriority w:val="9"/>
    <w:qFormat/>
    <w:rsid w:val="00eb6bdd"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uiPriority w:val="9"/>
    <w:qFormat/>
    <w:rsid w:val="00eb6bdd"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uiPriority w:val="9"/>
    <w:qFormat/>
    <w:rsid w:val="00eb6bdd"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uiPriority w:val="9"/>
    <w:qFormat/>
    <w:rsid w:val="00eb6bdd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uiPriority w:val="10"/>
    <w:qFormat/>
    <w:rsid w:val="00eb6bdd"/>
    <w:rPr>
      <w:sz w:val="48"/>
      <w:szCs w:val="48"/>
    </w:rPr>
  </w:style>
  <w:style w:type="character" w:styleId="SubtitleChar" w:customStyle="1">
    <w:name w:val="Subtitle Char"/>
    <w:uiPriority w:val="11"/>
    <w:qFormat/>
    <w:rsid w:val="00eb6bdd"/>
    <w:rPr>
      <w:sz w:val="24"/>
      <w:szCs w:val="24"/>
    </w:rPr>
  </w:style>
  <w:style w:type="character" w:styleId="QuoteChar" w:customStyle="1">
    <w:name w:val="Quote Char"/>
    <w:uiPriority w:val="29"/>
    <w:qFormat/>
    <w:rsid w:val="00eb6bdd"/>
    <w:rPr>
      <w:i/>
    </w:rPr>
  </w:style>
  <w:style w:type="character" w:styleId="IntenseQuoteChar" w:customStyle="1">
    <w:name w:val="Intense Quote Char"/>
    <w:uiPriority w:val="30"/>
    <w:qFormat/>
    <w:rsid w:val="00eb6bdd"/>
    <w:rPr>
      <w:i/>
    </w:rPr>
  </w:style>
  <w:style w:type="character" w:styleId="HeaderChar" w:customStyle="1">
    <w:name w:val="Header Char"/>
    <w:uiPriority w:val="99"/>
    <w:qFormat/>
    <w:rsid w:val="00eb6bdd"/>
    <w:rPr/>
  </w:style>
  <w:style w:type="character" w:styleId="FooterChar" w:customStyle="1">
    <w:name w:val="Footer Char"/>
    <w:uiPriority w:val="99"/>
    <w:qFormat/>
    <w:rsid w:val="00eb6bdd"/>
    <w:rPr/>
  </w:style>
  <w:style w:type="character" w:styleId="CaptionChar" w:customStyle="1">
    <w:name w:val="Caption Char"/>
    <w:uiPriority w:val="99"/>
    <w:qFormat/>
    <w:rsid w:val="00eb6bdd"/>
    <w:rPr/>
  </w:style>
  <w:style w:type="character" w:styleId="-">
    <w:name w:val="Hyperlink"/>
    <w:uiPriority w:val="99"/>
    <w:qFormat/>
    <w:rsid w:val="00eb6bdd"/>
    <w:rPr>
      <w:color w:val="0000FF"/>
      <w:u w:val="single"/>
    </w:rPr>
  </w:style>
  <w:style w:type="character" w:styleId="FootnoteTextChar" w:customStyle="1">
    <w:name w:val="Footnote Text Char"/>
    <w:uiPriority w:val="99"/>
    <w:qFormat/>
    <w:rsid w:val="00eb6bdd"/>
    <w:rPr>
      <w:sz w:val="18"/>
    </w:rPr>
  </w:style>
  <w:style w:type="character" w:styleId="Style5" w:customStyle="1">
    <w:name w:val="Символ сноски"/>
    <w:qFormat/>
    <w:rsid w:val="00eb6bdd"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 w:customStyle="1">
    <w:name w:val="Endnote Text Char"/>
    <w:uiPriority w:val="99"/>
    <w:qFormat/>
    <w:rsid w:val="00eb6bdd"/>
    <w:rPr>
      <w:sz w:val="20"/>
    </w:rPr>
  </w:style>
  <w:style w:type="character" w:styleId="Style7" w:customStyle="1">
    <w:name w:val="Символ концевой сноски"/>
    <w:qFormat/>
    <w:rsid w:val="00eb6bdd"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11" w:customStyle="1">
    <w:name w:val="Заголовок 1 Знак"/>
    <w:uiPriority w:val="9"/>
    <w:qFormat/>
    <w:rsid w:val="00eb6bdd"/>
    <w:rPr>
      <w:rFonts w:ascii="Cambria" w:hAnsi="Cambria" w:eastAsia="Times New Roman" w:cs="Times New Roman"/>
      <w:b/>
      <w:bCs/>
      <w:sz w:val="32"/>
      <w:szCs w:val="32"/>
    </w:rPr>
  </w:style>
  <w:style w:type="character" w:styleId="21" w:customStyle="1">
    <w:name w:val="Заголовок 2 Знак"/>
    <w:uiPriority w:val="9"/>
    <w:qFormat/>
    <w:rsid w:val="00eb6bdd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31" w:customStyle="1">
    <w:name w:val="Заголовок 3 Знак"/>
    <w:uiPriority w:val="9"/>
    <w:qFormat/>
    <w:rsid w:val="00eb6bdd"/>
    <w:rPr>
      <w:rFonts w:ascii="Cambria" w:hAnsi="Cambria" w:eastAsia="Times New Roman" w:cs="Times New Roman"/>
      <w:b/>
      <w:bCs/>
      <w:sz w:val="26"/>
      <w:szCs w:val="26"/>
    </w:rPr>
  </w:style>
  <w:style w:type="character" w:styleId="41" w:customStyle="1">
    <w:name w:val="Заголовок 4 Знак"/>
    <w:uiPriority w:val="9"/>
    <w:qFormat/>
    <w:rsid w:val="00eb6bdd"/>
    <w:rPr>
      <w:rFonts w:ascii="Calibri" w:hAnsi="Calibri" w:eastAsia="Times New Roman" w:cs="Times New Roman"/>
      <w:b/>
      <w:bCs/>
      <w:sz w:val="28"/>
      <w:szCs w:val="28"/>
    </w:rPr>
  </w:style>
  <w:style w:type="character" w:styleId="Style9" w:customStyle="1">
    <w:name w:val="Основной шрифт"/>
    <w:uiPriority w:val="99"/>
    <w:qFormat/>
    <w:rsid w:val="00eb6bdd"/>
    <w:rPr/>
  </w:style>
  <w:style w:type="character" w:styleId="Style10" w:customStyle="1">
    <w:name w:val="Верхний колонтитул Знак"/>
    <w:uiPriority w:val="99"/>
    <w:qFormat/>
    <w:rsid w:val="00eb6bdd"/>
    <w:rPr>
      <w:sz w:val="20"/>
      <w:szCs w:val="20"/>
    </w:rPr>
  </w:style>
  <w:style w:type="character" w:styleId="Style11" w:customStyle="1">
    <w:name w:val="Нижний колонтитул Знак"/>
    <w:uiPriority w:val="99"/>
    <w:qFormat/>
    <w:rsid w:val="00eb6bdd"/>
    <w:rPr>
      <w:sz w:val="20"/>
      <w:szCs w:val="20"/>
    </w:rPr>
  </w:style>
  <w:style w:type="character" w:styleId="22" w:customStyle="1">
    <w:name w:val="Основной текст 2 Знак"/>
    <w:uiPriority w:val="99"/>
    <w:qFormat/>
    <w:rsid w:val="00eb6bdd"/>
    <w:rPr>
      <w:sz w:val="20"/>
      <w:szCs w:val="20"/>
    </w:rPr>
  </w:style>
  <w:style w:type="character" w:styleId="Style12" w:customStyle="1">
    <w:name w:val="Основной текст Знак"/>
    <w:uiPriority w:val="99"/>
    <w:qFormat/>
    <w:rsid w:val="00eb6bdd"/>
    <w:rPr>
      <w:sz w:val="20"/>
      <w:szCs w:val="20"/>
    </w:rPr>
  </w:style>
  <w:style w:type="character" w:styleId="Style13" w:customStyle="1">
    <w:name w:val="Название Знак"/>
    <w:uiPriority w:val="10"/>
    <w:qFormat/>
    <w:rsid w:val="00eb6bdd"/>
    <w:rPr>
      <w:rFonts w:ascii="Cambria" w:hAnsi="Cambria" w:eastAsia="Times New Roman" w:cs="Times New Roman"/>
      <w:b/>
      <w:bCs/>
      <w:sz w:val="32"/>
      <w:szCs w:val="32"/>
    </w:rPr>
  </w:style>
  <w:style w:type="character" w:styleId="23" w:customStyle="1">
    <w:name w:val="Основной текст с отступом 2 Знак"/>
    <w:uiPriority w:val="99"/>
    <w:qFormat/>
    <w:rsid w:val="00eb6bdd"/>
    <w:rPr>
      <w:sz w:val="20"/>
      <w:szCs w:val="20"/>
    </w:rPr>
  </w:style>
  <w:style w:type="character" w:styleId="32" w:customStyle="1">
    <w:name w:val="Основной текст 3 Знак"/>
    <w:uiPriority w:val="99"/>
    <w:qFormat/>
    <w:rsid w:val="00eb6bdd"/>
    <w:rPr>
      <w:sz w:val="16"/>
      <w:szCs w:val="16"/>
    </w:rPr>
  </w:style>
  <w:style w:type="character" w:styleId="Style14" w:customStyle="1">
    <w:name w:val="Основной текст с отступом Знак"/>
    <w:uiPriority w:val="99"/>
    <w:qFormat/>
    <w:rsid w:val="00eb6bdd"/>
    <w:rPr>
      <w:sz w:val="20"/>
      <w:szCs w:val="20"/>
    </w:rPr>
  </w:style>
  <w:style w:type="character" w:styleId="Style41" w:customStyle="1">
    <w:name w:val="style41"/>
    <w:uiPriority w:val="99"/>
    <w:qFormat/>
    <w:rsid w:val="00eb6bdd"/>
    <w:rPr>
      <w:rFonts w:ascii="Verdana" w:hAnsi="Verdana" w:cs="Verdana"/>
      <w:b/>
      <w:bCs/>
      <w:sz w:val="24"/>
      <w:szCs w:val="24"/>
    </w:rPr>
  </w:style>
  <w:style w:type="character" w:styleId="Style15" w:customStyle="1">
    <w:name w:val="Текст выноски Знак"/>
    <w:uiPriority w:val="99"/>
    <w:semiHidden/>
    <w:qFormat/>
    <w:rsid w:val="00eb6bdd"/>
    <w:rPr>
      <w:rFonts w:ascii="Tahoma" w:hAnsi="Tahoma" w:cs="Tahoma"/>
      <w:sz w:val="16"/>
      <w:szCs w:val="16"/>
    </w:rPr>
  </w:style>
  <w:style w:type="character" w:styleId="FontStyle14" w:customStyle="1">
    <w:name w:val="Font Style14"/>
    <w:qFormat/>
    <w:rsid w:val="00eb6bdd"/>
    <w:rPr>
      <w:rFonts w:ascii="Times New Roman" w:hAnsi="Times New Roman" w:cs="Times New Roman"/>
      <w:sz w:val="26"/>
      <w:szCs w:val="26"/>
    </w:rPr>
  </w:style>
  <w:style w:type="paragraph" w:styleId="Style16" w:customStyle="1">
    <w:name w:val="Заголовок"/>
    <w:basedOn w:val="Normal"/>
    <w:next w:val="Style17"/>
    <w:qFormat/>
    <w:rsid w:val="00eb6bdd"/>
    <w:pPr>
      <w:keepNext w:val="true"/>
      <w:spacing w:before="240" w:after="120"/>
    </w:pPr>
    <w:rPr>
      <w:rFonts w:ascii="PT Astra Serif" w:hAnsi="PT Astra Serif"/>
      <w:sz w:val="28"/>
      <w:szCs w:val="28"/>
    </w:rPr>
  </w:style>
  <w:style w:type="paragraph" w:styleId="Style17">
    <w:name w:val="Body Text"/>
    <w:basedOn w:val="Normal"/>
    <w:uiPriority w:val="99"/>
    <w:rsid w:val="00eb6bdd"/>
    <w:pPr>
      <w:jc w:val="both"/>
    </w:pPr>
    <w:rPr>
      <w:lang w:val="en-US" w:eastAsia="en-US"/>
    </w:rPr>
  </w:style>
  <w:style w:type="paragraph" w:styleId="Style18">
    <w:name w:val="List"/>
    <w:basedOn w:val="Style17"/>
    <w:uiPriority w:val="99"/>
    <w:rsid w:val="00eb6bdd"/>
    <w:pPr>
      <w:spacing w:before="0" w:after="120"/>
    </w:pPr>
    <w:rPr>
      <w:rFonts w:ascii="Arial" w:hAnsi="Arial" w:cs="Tahoma"/>
      <w:sz w:val="24"/>
      <w:szCs w:val="24"/>
      <w:lang w:val="ru-RU" w:eastAsia="ar-SA"/>
    </w:rPr>
  </w:style>
  <w:style w:type="paragraph" w:styleId="Style19" w:customStyle="1">
    <w:name w:val="Caption"/>
    <w:basedOn w:val="Normal"/>
    <w:qFormat/>
    <w:rsid w:val="00eb6bdd"/>
    <w:pPr>
      <w:suppressLineNumbers/>
      <w:spacing w:before="120" w:after="120"/>
    </w:pPr>
    <w:rPr>
      <w:rFonts w:ascii="PT Astra Serif" w:hAnsi="PT Astra Serif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12" w:customStyle="1">
    <w:name w:val="Указатель1"/>
    <w:basedOn w:val="Normal"/>
    <w:qFormat/>
    <w:rsid w:val="00eb6bdd"/>
    <w:pPr>
      <w:suppressLineNumbers/>
    </w:pPr>
    <w:rPr>
      <w:rFonts w:ascii="PT Astra Serif" w:hAnsi="PT Astra Serif"/>
    </w:rPr>
  </w:style>
  <w:style w:type="paragraph" w:styleId="Style21">
    <w:name w:val="Title"/>
    <w:basedOn w:val="Normal"/>
    <w:next w:val="Style17"/>
    <w:uiPriority w:val="10"/>
    <w:qFormat/>
    <w:rsid w:val="00eb6bdd"/>
    <w:pPr>
      <w:spacing w:before="300" w:after="200"/>
      <w:contextualSpacing/>
    </w:pPr>
    <w:rPr>
      <w:sz w:val="48"/>
      <w:szCs w:val="48"/>
    </w:rPr>
  </w:style>
  <w:style w:type="paragraph" w:styleId="Caption">
    <w:name w:val="caption"/>
    <w:basedOn w:val="Normal"/>
    <w:uiPriority w:val="10"/>
    <w:qFormat/>
    <w:rsid w:val="00eb6bdd"/>
    <w:pPr>
      <w:jc w:val="center"/>
    </w:pPr>
    <w:rPr>
      <w:rFonts w:ascii="Cambria" w:hAnsi="Cambria"/>
      <w:b/>
      <w:bCs/>
      <w:sz w:val="32"/>
      <w:szCs w:val="32"/>
      <w:lang w:val="en-US" w:eastAsia="en-US"/>
    </w:rPr>
  </w:style>
  <w:style w:type="paragraph" w:styleId="Indexheading">
    <w:name w:val="index heading"/>
    <w:basedOn w:val="Style21"/>
    <w:qFormat/>
    <w:rsid w:val="00eb6bdd"/>
    <w:pPr/>
    <w:rPr/>
  </w:style>
  <w:style w:type="paragraph" w:styleId="51" w:customStyle="1">
    <w:name w:val="TOC 5"/>
    <w:basedOn w:val="Normal"/>
    <w:next w:val="Normal"/>
    <w:uiPriority w:val="39"/>
    <w:unhideWhenUsed/>
    <w:rsid w:val="00eb6bdd"/>
    <w:pPr>
      <w:spacing w:before="0" w:after="57"/>
      <w:ind w:left="1134" w:hanging="0"/>
    </w:pPr>
    <w:rPr/>
  </w:style>
  <w:style w:type="paragraph" w:styleId="61" w:customStyle="1">
    <w:name w:val="TOC 6"/>
    <w:basedOn w:val="Normal"/>
    <w:next w:val="Normal"/>
    <w:uiPriority w:val="39"/>
    <w:unhideWhenUsed/>
    <w:rsid w:val="00eb6bdd"/>
    <w:pPr>
      <w:spacing w:before="0" w:after="57"/>
      <w:ind w:left="1417" w:hanging="0"/>
    </w:pPr>
    <w:rPr/>
  </w:style>
  <w:style w:type="paragraph" w:styleId="71" w:customStyle="1">
    <w:name w:val="TOC 7"/>
    <w:basedOn w:val="Normal"/>
    <w:next w:val="Normal"/>
    <w:uiPriority w:val="39"/>
    <w:unhideWhenUsed/>
    <w:rsid w:val="00eb6bdd"/>
    <w:pPr>
      <w:spacing w:before="0" w:after="57"/>
      <w:ind w:left="1701" w:hanging="0"/>
    </w:pPr>
    <w:rPr/>
  </w:style>
  <w:style w:type="paragraph" w:styleId="81" w:customStyle="1">
    <w:name w:val="TOC 8"/>
    <w:basedOn w:val="Normal"/>
    <w:next w:val="Normal"/>
    <w:uiPriority w:val="39"/>
    <w:unhideWhenUsed/>
    <w:rsid w:val="00eb6bdd"/>
    <w:pPr>
      <w:spacing w:before="0" w:after="57"/>
      <w:ind w:left="1984" w:hanging="0"/>
    </w:pPr>
    <w:rPr/>
  </w:style>
  <w:style w:type="paragraph" w:styleId="91" w:customStyle="1">
    <w:name w:val="TOC 9"/>
    <w:basedOn w:val="Normal"/>
    <w:next w:val="Normal"/>
    <w:uiPriority w:val="39"/>
    <w:unhideWhenUsed/>
    <w:rsid w:val="00eb6bdd"/>
    <w:pPr>
      <w:spacing w:before="0" w:after="57"/>
      <w:ind w:left="2268" w:hanging="0"/>
    </w:pPr>
    <w:rPr/>
  </w:style>
  <w:style w:type="paragraph" w:styleId="NoSpacing">
    <w:name w:val="No Spacing"/>
    <w:uiPriority w:val="1"/>
    <w:qFormat/>
    <w:rsid w:val="00eb6bd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ar-SA"/>
    </w:rPr>
  </w:style>
  <w:style w:type="paragraph" w:styleId="Style22">
    <w:name w:val="Subtitle"/>
    <w:basedOn w:val="Normal"/>
    <w:uiPriority w:val="11"/>
    <w:qFormat/>
    <w:rsid w:val="00eb6bdd"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rsid w:val="00eb6bdd"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rsid w:val="00eb6bd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3" w:customStyle="1">
    <w:name w:val="Колонтитул"/>
    <w:basedOn w:val="Normal"/>
    <w:qFormat/>
    <w:rsid w:val="00eb6bdd"/>
    <w:pPr/>
    <w:rPr/>
  </w:style>
  <w:style w:type="paragraph" w:styleId="Style24" w:customStyle="1">
    <w:name w:val="Колонтитулы"/>
    <w:basedOn w:val="Normal"/>
    <w:qFormat/>
    <w:rsid w:val="00eb6bdd"/>
    <w:pPr/>
    <w:rPr/>
  </w:style>
  <w:style w:type="paragraph" w:styleId="Style25" w:customStyle="1">
    <w:name w:val="Header"/>
    <w:basedOn w:val="Normal"/>
    <w:uiPriority w:val="99"/>
    <w:rsid w:val="00eb6bdd"/>
    <w:pPr>
      <w:tabs>
        <w:tab w:val="clear" w:pos="709"/>
        <w:tab w:val="center" w:pos="4536" w:leader="none"/>
        <w:tab w:val="right" w:pos="9072" w:leader="none"/>
      </w:tabs>
    </w:pPr>
    <w:rPr>
      <w:lang w:val="en-US" w:eastAsia="en-US"/>
    </w:rPr>
  </w:style>
  <w:style w:type="paragraph" w:styleId="Style26" w:customStyle="1">
    <w:name w:val="Footer"/>
    <w:basedOn w:val="Normal"/>
    <w:uiPriority w:val="99"/>
    <w:rsid w:val="00eb6bdd"/>
    <w:pPr>
      <w:tabs>
        <w:tab w:val="clear" w:pos="709"/>
        <w:tab w:val="center" w:pos="4536" w:leader="none"/>
        <w:tab w:val="right" w:pos="9072" w:leader="none"/>
      </w:tabs>
    </w:pPr>
    <w:rPr>
      <w:lang w:val="en-US" w:eastAsia="en-US"/>
    </w:rPr>
  </w:style>
  <w:style w:type="paragraph" w:styleId="Style27" w:customStyle="1">
    <w:name w:val="Footnote Text"/>
    <w:basedOn w:val="Normal"/>
    <w:uiPriority w:val="99"/>
    <w:semiHidden/>
    <w:unhideWhenUsed/>
    <w:rsid w:val="00eb6bdd"/>
    <w:pPr>
      <w:spacing w:before="0" w:after="40"/>
    </w:pPr>
    <w:rPr>
      <w:sz w:val="18"/>
    </w:rPr>
  </w:style>
  <w:style w:type="paragraph" w:styleId="Style28" w:customStyle="1">
    <w:name w:val="Endnote Text"/>
    <w:basedOn w:val="Normal"/>
    <w:uiPriority w:val="99"/>
    <w:semiHidden/>
    <w:unhideWhenUsed/>
    <w:rsid w:val="00eb6bdd"/>
    <w:pPr/>
    <w:rPr/>
  </w:style>
  <w:style w:type="paragraph" w:styleId="13" w:customStyle="1">
    <w:name w:val="TOC 1"/>
    <w:basedOn w:val="Normal"/>
    <w:uiPriority w:val="39"/>
    <w:unhideWhenUsed/>
    <w:rsid w:val="00eb6bdd"/>
    <w:pPr>
      <w:spacing w:before="0" w:after="57"/>
    </w:pPr>
    <w:rPr/>
  </w:style>
  <w:style w:type="paragraph" w:styleId="24" w:customStyle="1">
    <w:name w:val="TOC 2"/>
    <w:basedOn w:val="Normal"/>
    <w:uiPriority w:val="39"/>
    <w:unhideWhenUsed/>
    <w:rsid w:val="00eb6bdd"/>
    <w:pPr>
      <w:spacing w:before="0" w:after="57"/>
      <w:ind w:left="283" w:hanging="0"/>
    </w:pPr>
    <w:rPr/>
  </w:style>
  <w:style w:type="paragraph" w:styleId="33" w:customStyle="1">
    <w:name w:val="TOC 3"/>
    <w:basedOn w:val="Normal"/>
    <w:uiPriority w:val="39"/>
    <w:unhideWhenUsed/>
    <w:rsid w:val="00eb6bdd"/>
    <w:pPr>
      <w:spacing w:before="0" w:after="57"/>
      <w:ind w:left="567" w:hanging="0"/>
    </w:pPr>
    <w:rPr/>
  </w:style>
  <w:style w:type="paragraph" w:styleId="42" w:customStyle="1">
    <w:name w:val="TOC 4"/>
    <w:basedOn w:val="Normal"/>
    <w:uiPriority w:val="39"/>
    <w:unhideWhenUsed/>
    <w:rsid w:val="00eb6bdd"/>
    <w:pPr>
      <w:spacing w:before="0" w:after="57"/>
      <w:ind w:left="850" w:hanging="0"/>
    </w:pPr>
    <w:rPr/>
  </w:style>
  <w:style w:type="paragraph" w:styleId="Style29" w:customStyle="1">
    <w:name w:val="Index Heading"/>
    <w:basedOn w:val="Style16"/>
    <w:rsid w:val="00eb6bdd"/>
    <w:pPr/>
    <w:rPr/>
  </w:style>
  <w:style w:type="paragraph" w:styleId="Style30">
    <w:name w:val="TOC Heading"/>
    <w:uiPriority w:val="39"/>
    <w:unhideWhenUsed/>
    <w:qFormat/>
    <w:rsid w:val="00eb6bd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ahoma" w:cs="Noto Sans Devanagari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uiPriority w:val="99"/>
    <w:unhideWhenUsed/>
    <w:qFormat/>
    <w:rsid w:val="00eb6bdd"/>
    <w:pPr/>
    <w:rPr/>
  </w:style>
  <w:style w:type="paragraph" w:styleId="14" w:customStyle="1">
    <w:name w:val="заголовок 1"/>
    <w:basedOn w:val="Normal"/>
    <w:uiPriority w:val="99"/>
    <w:qFormat/>
    <w:rsid w:val="00eb6bdd"/>
    <w:pPr>
      <w:keepNext w:val="true"/>
      <w:jc w:val="right"/>
      <w:outlineLvl w:val="0"/>
    </w:pPr>
    <w:rPr>
      <w:b/>
      <w:bCs/>
      <w:sz w:val="24"/>
      <w:szCs w:val="24"/>
    </w:rPr>
  </w:style>
  <w:style w:type="paragraph" w:styleId="25" w:customStyle="1">
    <w:name w:val="заголовок 2"/>
    <w:basedOn w:val="Normal"/>
    <w:uiPriority w:val="99"/>
    <w:qFormat/>
    <w:rsid w:val="00eb6bdd"/>
    <w:pPr>
      <w:keepNext w:val="true"/>
      <w:outlineLvl w:val="1"/>
    </w:pPr>
    <w:rPr>
      <w:sz w:val="28"/>
      <w:szCs w:val="28"/>
    </w:rPr>
  </w:style>
  <w:style w:type="paragraph" w:styleId="BodyText2">
    <w:name w:val="Body Text 2"/>
    <w:basedOn w:val="Normal"/>
    <w:uiPriority w:val="99"/>
    <w:qFormat/>
    <w:rsid w:val="00eb6bdd"/>
    <w:pPr>
      <w:ind w:firstLine="900"/>
      <w:jc w:val="both"/>
    </w:pPr>
    <w:rPr>
      <w:lang w:val="en-US" w:eastAsia="en-US"/>
    </w:rPr>
  </w:style>
  <w:style w:type="paragraph" w:styleId="BodyTextIndent2">
    <w:name w:val="Body Text Indent 2"/>
    <w:basedOn w:val="Normal"/>
    <w:uiPriority w:val="99"/>
    <w:qFormat/>
    <w:rsid w:val="00eb6bdd"/>
    <w:pPr>
      <w:spacing w:lineRule="auto" w:line="360"/>
      <w:ind w:firstLine="709"/>
    </w:pPr>
    <w:rPr>
      <w:lang w:val="en-US" w:eastAsia="en-US"/>
    </w:rPr>
  </w:style>
  <w:style w:type="paragraph" w:styleId="BodyText3">
    <w:name w:val="Body Text 3"/>
    <w:basedOn w:val="Normal"/>
    <w:uiPriority w:val="99"/>
    <w:qFormat/>
    <w:rsid w:val="00eb6bdd"/>
    <w:pPr>
      <w:spacing w:before="0" w:after="120"/>
    </w:pPr>
    <w:rPr>
      <w:sz w:val="16"/>
      <w:szCs w:val="16"/>
      <w:lang w:val="en-US" w:eastAsia="en-US"/>
    </w:rPr>
  </w:style>
  <w:style w:type="paragraph" w:styleId="Style31">
    <w:name w:val="Body Text Indent"/>
    <w:basedOn w:val="Normal"/>
    <w:uiPriority w:val="99"/>
    <w:rsid w:val="00eb6bdd"/>
    <w:pPr>
      <w:spacing w:before="0" w:after="120"/>
      <w:ind w:left="283" w:hanging="0"/>
    </w:pPr>
    <w:rPr>
      <w:lang w:val="en-US" w:eastAsia="en-US"/>
    </w:rPr>
  </w:style>
  <w:style w:type="paragraph" w:styleId="BalloonText">
    <w:name w:val="Balloon Text"/>
    <w:basedOn w:val="Normal"/>
    <w:uiPriority w:val="99"/>
    <w:semiHidden/>
    <w:qFormat/>
    <w:rsid w:val="00eb6bdd"/>
    <w:pPr/>
    <w:rPr>
      <w:rFonts w:ascii="Tahoma" w:hAnsi="Tahoma"/>
      <w:sz w:val="16"/>
      <w:szCs w:val="16"/>
      <w:lang w:val="en-US" w:eastAsia="en-US"/>
    </w:rPr>
  </w:style>
  <w:style w:type="paragraph" w:styleId="15" w:customStyle="1">
    <w:name w:val="Знак Знак1 Знак"/>
    <w:basedOn w:val="Normal"/>
    <w:qFormat/>
    <w:rsid w:val="00eb6bdd"/>
    <w:pPr>
      <w:widowControl w:val="false"/>
      <w:spacing w:lineRule="exact" w:line="240" w:before="0" w:after="160"/>
      <w:jc w:val="right"/>
    </w:pPr>
    <w:rPr>
      <w:lang w:val="en-GB" w:eastAsia="en-US"/>
    </w:rPr>
  </w:style>
  <w:style w:type="paragraph" w:styleId="ListParagraph">
    <w:name w:val="List Paragraph"/>
    <w:basedOn w:val="Normal"/>
    <w:uiPriority w:val="34"/>
    <w:qFormat/>
    <w:rsid w:val="00eb6bdd"/>
    <w:pPr>
      <w:widowControl w:val="false"/>
      <w:spacing w:before="0" w:after="0"/>
      <w:ind w:left="720" w:hanging="0"/>
      <w:contextualSpacing/>
    </w:pPr>
    <w:rPr>
      <w:rFonts w:eastAsia="Times New Roman"/>
      <w:lang w:eastAsia="ar-SA"/>
    </w:rPr>
  </w:style>
  <w:style w:type="paragraph" w:styleId="Style110" w:customStyle="1">
    <w:name w:val="Style1"/>
    <w:basedOn w:val="Normal"/>
    <w:qFormat/>
    <w:rsid w:val="00eb6bdd"/>
    <w:pPr>
      <w:widowControl w:val="false"/>
    </w:pPr>
    <w:rPr>
      <w:sz w:val="24"/>
      <w:szCs w:val="24"/>
    </w:rPr>
  </w:style>
  <w:style w:type="paragraph" w:styleId="Style210" w:customStyle="1">
    <w:name w:val="Style2"/>
    <w:basedOn w:val="Normal"/>
    <w:qFormat/>
    <w:rsid w:val="00eb6bdd"/>
    <w:pPr>
      <w:widowControl w:val="false"/>
    </w:pPr>
    <w:rPr>
      <w:sz w:val="24"/>
      <w:szCs w:val="24"/>
    </w:rPr>
  </w:style>
  <w:style w:type="paragraph" w:styleId="Style42" w:customStyle="1">
    <w:name w:val="Style4"/>
    <w:basedOn w:val="Normal"/>
    <w:qFormat/>
    <w:rsid w:val="00eb6bdd"/>
    <w:pPr>
      <w:widowControl w:val="false"/>
    </w:pPr>
    <w:rPr>
      <w:sz w:val="24"/>
      <w:szCs w:val="24"/>
    </w:rPr>
  </w:style>
  <w:style w:type="paragraph" w:styleId="Style51" w:customStyle="1">
    <w:name w:val="Style5"/>
    <w:basedOn w:val="Normal"/>
    <w:qFormat/>
    <w:rsid w:val="00eb6bdd"/>
    <w:pPr>
      <w:widowControl w:val="false"/>
      <w:spacing w:lineRule="exact" w:line="323"/>
      <w:ind w:firstLine="485"/>
      <w:jc w:val="both"/>
    </w:pPr>
    <w:rPr>
      <w:sz w:val="24"/>
      <w:szCs w:val="24"/>
    </w:rPr>
  </w:style>
  <w:style w:type="paragraph" w:styleId="Style32" w:customStyle="1">
    <w:name w:val="Пункт"/>
    <w:basedOn w:val="Normal"/>
    <w:qFormat/>
    <w:rsid w:val="00eb6bdd"/>
    <w:pPr>
      <w:tabs>
        <w:tab w:val="clear" w:pos="709"/>
        <w:tab w:val="left" w:pos="1980" w:leader="none"/>
      </w:tabs>
      <w:ind w:left="1404" w:hanging="504"/>
      <w:jc w:val="both"/>
    </w:pPr>
    <w:rPr>
      <w:sz w:val="24"/>
      <w:szCs w:val="28"/>
    </w:rPr>
  </w:style>
  <w:style w:type="paragraph" w:styleId="Style33" w:customStyle="1">
    <w:name w:val="Содержимое таблицы"/>
    <w:basedOn w:val="Normal"/>
    <w:qFormat/>
    <w:rsid w:val="00eb6bdd"/>
    <w:pPr>
      <w:suppressLineNumbers/>
    </w:pPr>
    <w:rPr>
      <w:sz w:val="28"/>
      <w:szCs w:val="28"/>
      <w:lang w:eastAsia="ar-SA"/>
    </w:rPr>
  </w:style>
  <w:style w:type="paragraph" w:styleId="Style34" w:customStyle="1">
    <w:name w:val="Заголовок таблицы"/>
    <w:basedOn w:val="Style33"/>
    <w:qFormat/>
    <w:rsid w:val="00eb6bdd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Style35" w:customStyle="1">
    <w:name w:val="Без списка"/>
    <w:uiPriority w:val="99"/>
    <w:semiHidden/>
    <w:unhideWhenUsed/>
    <w:qFormat/>
    <w:rsid w:val="00eb6bdd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Table Grid"/>
    <w:uiPriority w:val="59"/>
    <w:rsid w:val="00eb6bdd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eb6bdd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eb6bdd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FFFFF" w:themeFill="text1" w:themeFillTint="0"/>
      </w:tcPr>
    </w:tblStylePr>
    <w:tblStylePr w:type="band1Horz">
      <w:tblPr/>
      <w:tcPr>
        <w:shd w:val="clear" w:color="FFFFFF" w:fill="FFFFFF" w:themeFill="text1" w:themeFillTint="0"/>
      </w:tcPr>
    </w:tblStylePr>
  </w:style>
  <w:style w:type="table" w:customStyle="1" w:styleId="PlainTable2">
    <w:name w:val="Plain Table 2"/>
    <w:uiPriority w:val="59"/>
    <w:rsid w:val="00eb6bdd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PlainTable3">
    <w:name w:val="Plain Table 3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PlainTable4">
    <w:name w:val="Plain Table 4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PlainTable5">
    <w:name w:val="Plain Table 5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GridTable1Light">
    <w:name w:val="Grid Table 1 Light"/>
    <w:uiPriority w:val="99"/>
    <w:rsid w:val="00eb6bdd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uiPriority w:val="99"/>
    <w:rsid w:val="00eb6bdd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GridTable1Light-Accent2">
    <w:name w:val="Grid Table 1 Light - Accent 2"/>
    <w:uiPriority w:val="99"/>
    <w:rsid w:val="00eb6bdd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GridTable1Light-Accent3">
    <w:name w:val="Grid Table 1 Light - Accent 3"/>
    <w:uiPriority w:val="99"/>
    <w:rsid w:val="00eb6bdd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GridTable1Light-Accent4">
    <w:name w:val="Grid Table 1 Light - Accent 4"/>
    <w:uiPriority w:val="99"/>
    <w:rsid w:val="00eb6bdd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GridTable1Light-Accent5">
    <w:name w:val="Grid Table 1 Light - Accent 5"/>
    <w:uiPriority w:val="99"/>
    <w:rsid w:val="00eb6bdd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GridTable1Light-Accent6">
    <w:name w:val="Grid Table 1 Light - Accent 6"/>
    <w:uiPriority w:val="99"/>
    <w:rsid w:val="00eb6bdd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  <w:style w:type="table" w:customStyle="1" w:styleId="GridTable2">
    <w:name w:val="Grid Table 2"/>
    <w:uiPriority w:val="99"/>
    <w:rsid w:val="00eb6bdd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eb6bdd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eb6bdd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eb6bdd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eb6bdd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eb6bdd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eb6bdd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3">
    <w:name w:val="Grid Table 3"/>
    <w:uiPriority w:val="99"/>
    <w:rsid w:val="00eb6bdd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eb6bdd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eb6bdd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eb6bdd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eb6bdd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eb6bdd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eb6bdd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4">
    <w:name w:val="Grid Table 4"/>
    <w:uiPriority w:val="59"/>
    <w:rsid w:val="00eb6bdd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eb6bdd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eb6bdd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eb6bdd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eb6bdd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eb6bdd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eb6bdd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GridTable5Dark">
    <w:name w:val="Grid Table 5 Dark"/>
    <w:uiPriority w:val="99"/>
    <w:rsid w:val="00eb6bdd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eb6bdd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eb6bdd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eb6bdd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eb6bdd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eb6bdd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eb6bdd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eb6bdd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val="7F7F7F" w:themeColor="text1" w:themeTint="80" w:themeShade="95"/>
      </w:rPr>
      <w:tblPr/>
    </w:tblStylePr>
    <w:tblStylePr w:type="firstCol">
      <w:rPr>
        <w:b/>
        <w:color w:val="7F7F7F" w:themeColor="text1" w:themeTint="80" w:themeShade="95"/>
      </w:rPr>
      <w:tblPr/>
    </w:tblStylePr>
    <w:tblStylePr w:type="lastCol">
      <w:rPr>
        <w:b/>
        <w:color w:val="7F7F7F"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uiPriority w:val="99"/>
    <w:rsid w:val="00eb6bdd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b/>
        <w:color w:val="A6BFDD" w:themeColor="accent1" w:themeTint="80" w:themeShade="95"/>
      </w:rPr>
      <w:tblPr/>
    </w:tblStylePr>
    <w:tblStylePr w:type="firstCol">
      <w:rPr>
        <w:b/>
        <w:color w:val="A6BFDD" w:themeColor="accent1" w:themeTint="80" w:themeShade="95"/>
      </w:rPr>
      <w:tblPr/>
    </w:tblStylePr>
    <w:tblStylePr w:type="lastCol">
      <w:rPr>
        <w:b/>
        <w:color w:val="A6BFDD" w:themeColor="accent1" w:themeTint="80" w:themeShade="95"/>
      </w:rPr>
      <w:tblPr/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uiPriority w:val="99"/>
    <w:rsid w:val="00eb6bdd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b/>
        <w:color w:val="D99695" w:themeColor="accent2" w:themeTint="97" w:themeShade="95"/>
      </w:rPr>
      <w:tblPr/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uiPriority w:val="99"/>
    <w:rsid w:val="00eb6bdd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b/>
        <w:color w:val="9ABB59" w:themeColor="accent3" w:themeTint="fe" w:themeShade="95"/>
      </w:rPr>
      <w:tblPr/>
    </w:tblStylePr>
    <w:tblStylePr w:type="firstCol">
      <w:rPr>
        <w:b/>
        <w:color w:val="9ABB59" w:themeColor="accent3" w:themeTint="fe" w:themeShade="95"/>
      </w:rPr>
      <w:tblPr/>
    </w:tblStylePr>
    <w:tblStylePr w:type="lastCol">
      <w:rPr>
        <w:b/>
        <w:color w:val="9ABB59" w:themeColor="accent3" w:themeTint="fe" w:themeShade="95"/>
      </w:rPr>
      <w:tblPr/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uiPriority w:val="99"/>
    <w:rsid w:val="00eb6bdd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b/>
        <w:color w:val="B2A1C6" w:themeColor="accent4" w:themeTint="9a" w:themeShade="95"/>
      </w:rPr>
      <w:tblPr/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uiPriority w:val="99"/>
    <w:rsid w:val="00eb6bdd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uiPriority w:val="99"/>
    <w:rsid w:val="00eb6bdd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  <w:tblPr/>
    </w:tblStylePr>
    <w:tblStylePr w:type="firstCol">
      <w:rPr>
        <w:b/>
        <w:color w:val="266779" w:themeColor="accent5" w:themeShade="95"/>
      </w:rPr>
      <w:tblPr/>
    </w:tblStylePr>
    <w:tblStylePr w:type="lastCol">
      <w:rPr>
        <w:b/>
        <w:color w:val="266779" w:themeColor="accent5" w:themeShade="95"/>
      </w:rPr>
      <w:tblPr/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">
    <w:name w:val="Grid Table 7 Colorful"/>
    <w:uiPriority w:val="99"/>
    <w:rsid w:val="00eb6bdd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FFF" w:themeFill="text1" w:themeFillTint="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FFFFF" w:themeFill="text1" w:themeFillTint="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uiPriority w:val="99"/>
    <w:rsid w:val="00eb6bdd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uiPriority w:val="99"/>
    <w:rsid w:val="00eb6bdd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uiPriority w:val="99"/>
    <w:rsid w:val="00eb6bdd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uiPriority w:val="99"/>
    <w:rsid w:val="00eb6bdd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uiPriority w:val="99"/>
    <w:rsid w:val="00eb6bdd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uiPriority w:val="99"/>
    <w:rsid w:val="00eb6bdd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  <w:tblPr/>
    </w:tblStylePr>
  </w:style>
  <w:style w:type="table" w:customStyle="1" w:styleId="ListTable1Light">
    <w:name w:val="List Table 1 Light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ListTable2">
    <w:name w:val="List Table 2"/>
    <w:uiPriority w:val="99"/>
    <w:rsid w:val="00eb6bdd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eb6bdd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eb6bdd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eb6bdd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eb6bdd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eb6bdd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eb6bdd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3">
    <w:name w:val="List Table 3"/>
    <w:uiPriority w:val="99"/>
    <w:rsid w:val="00eb6bdd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uiPriority w:val="99"/>
    <w:rsid w:val="00eb6bdd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uiPriority w:val="99"/>
    <w:rsid w:val="00eb6bdd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</w:style>
  <w:style w:type="table" w:customStyle="1" w:styleId="ListTable3-Accent3">
    <w:name w:val="List Table 3 - Accent 3"/>
    <w:uiPriority w:val="99"/>
    <w:rsid w:val="00eb6bdd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</w:style>
  <w:style w:type="table" w:customStyle="1" w:styleId="ListTable3-Accent4">
    <w:name w:val="List Table 3 - Accent 4"/>
    <w:uiPriority w:val="99"/>
    <w:rsid w:val="00eb6bdd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</w:style>
  <w:style w:type="table" w:customStyle="1" w:styleId="ListTable3-Accent5">
    <w:name w:val="List Table 3 - Accent 5"/>
    <w:uiPriority w:val="99"/>
    <w:rsid w:val="00eb6bdd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</w:style>
  <w:style w:type="table" w:customStyle="1" w:styleId="ListTable3-Accent6">
    <w:name w:val="List Table 3 - Accent 6"/>
    <w:uiPriority w:val="99"/>
    <w:rsid w:val="00eb6bdd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</w:style>
  <w:style w:type="table" w:customStyle="1" w:styleId="ListTable4">
    <w:name w:val="List Table 4"/>
    <w:uiPriority w:val="99"/>
    <w:rsid w:val="00eb6bdd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eb6bdd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eb6bdd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eb6bdd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eb6bdd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eb6bdd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eb6bdd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ListTable5Dark">
    <w:name w:val="List Table 5 Dark"/>
    <w:uiPriority w:val="99"/>
    <w:rsid w:val="00eb6bdd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eb6bdd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uiPriority w:val="99"/>
    <w:rsid w:val="00eb6bdd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C0504D" w:themeColor="accent2" w:sz="32" w:space="0"/>
          <w:bottom w:val="single" w:color="FFFFFF" w:themeColor="light1" w:sz="12" w:space="0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eb6bdd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9BBB59" w:themeColor="accent3" w:sz="32" w:space="0"/>
          <w:bottom w:val="single" w:color="FFFFFF" w:themeColor="light1" w:sz="12" w:space="0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eb6bdd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8064A2" w:themeColor="accent4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eb6bdd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4BACC6" w:themeColor="accent5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eb6bdd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color="F79646" w:themeColor="accent6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eb6bdd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ListTable6Colorful-Accent1">
    <w:name w:val="List Table 6 Colorful - Accent 1"/>
    <w:uiPriority w:val="99"/>
    <w:rsid w:val="00eb6bdd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  <w:tblPr/>
    </w:tblStylePr>
    <w:tblStylePr w:type="lastCol">
      <w:rPr>
        <w:b/>
        <w:color w:val="2A4A71" w:themeColor="accent1" w:themeShade="95"/>
      </w:rPr>
      <w:tblPr/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uiPriority w:val="99"/>
    <w:rsid w:val="00eb6bdd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color="C0504D" w:themeColor="accent2" w:sz="4" w:space="0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color="C0504D" w:themeColor="accent2" w:sz="4" w:space="0"/>
        </w:tcBorders>
      </w:tcPr>
    </w:tblStylePr>
    <w:tblStylePr w:type="firstCol">
      <w:rPr>
        <w:b/>
        <w:color w:val="D99695" w:themeColor="accent2" w:themeTint="97" w:themeShade="95"/>
      </w:rPr>
      <w:tblPr/>
    </w:tblStylePr>
    <w:tblStylePr w:type="lastCol">
      <w:rPr>
        <w:b/>
        <w:color w:val="D99695" w:themeColor="accent2" w:themeTint="97" w:themeShade="95"/>
      </w:rPr>
      <w:tblPr/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uiPriority w:val="99"/>
    <w:rsid w:val="00eb6bdd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color="9BBB59" w:themeColor="accent3" w:sz="4" w:space="0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color="9BBB59" w:themeColor="accent3" w:sz="4" w:space="0"/>
        </w:tcBorders>
      </w:tcPr>
    </w:tblStylePr>
    <w:tblStylePr w:type="firstCol">
      <w:rPr>
        <w:b/>
        <w:color w:val="C3D69B" w:themeColor="accent3" w:themeTint="98" w:themeShade="95"/>
      </w:rPr>
      <w:tblPr/>
    </w:tblStylePr>
    <w:tblStylePr w:type="lastCol">
      <w:rPr>
        <w:b/>
        <w:color w:val="C3D69B" w:themeColor="accent3" w:themeTint="98" w:themeShade="95"/>
      </w:rPr>
      <w:tblPr/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uiPriority w:val="99"/>
    <w:rsid w:val="00eb6bdd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color="8064A2" w:themeColor="accent4" w:sz="4" w:space="0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color="8064A2" w:themeColor="accent4" w:sz="4" w:space="0"/>
        </w:tcBorders>
      </w:tcPr>
    </w:tblStylePr>
    <w:tblStylePr w:type="firstCol">
      <w:rPr>
        <w:b/>
        <w:color w:val="B2A1C6" w:themeColor="accent4" w:themeTint="9a" w:themeShade="95"/>
      </w:rPr>
      <w:tblPr/>
    </w:tblStylePr>
    <w:tblStylePr w:type="lastCol">
      <w:rPr>
        <w:b/>
        <w:color w:val="B2A1C6" w:themeColor="accent4" w:themeTint="9a" w:themeShade="95"/>
      </w:rPr>
      <w:tblPr/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uiPriority w:val="99"/>
    <w:rsid w:val="00eb6bdd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color="4BACC6" w:themeColor="accent5" w:sz="4" w:space="0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92CCDC" w:themeColor="accent5" w:themeTint="9a" w:themeShade="95"/>
      </w:rPr>
      <w:tblPr/>
    </w:tblStylePr>
    <w:tblStylePr w:type="lastCol">
      <w:rPr>
        <w:b/>
        <w:color w:val="92CCDC" w:themeColor="accent5" w:themeTint="9a" w:themeShade="95"/>
      </w:rPr>
      <w:tblPr/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uiPriority w:val="99"/>
    <w:rsid w:val="00eb6bdd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color="F79646" w:themeColor="accent6" w:sz="4" w:space="0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FAC090" w:themeColor="accent6" w:themeTint="98" w:themeShade="95"/>
      </w:rPr>
      <w:tblPr/>
    </w:tblStylePr>
    <w:tblStylePr w:type="lastCol">
      <w:rPr>
        <w:b/>
        <w:color w:val="FAC090" w:themeColor="accent6" w:themeTint="98" w:themeShade="95"/>
      </w:rPr>
      <w:tblPr/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stTable7Colorful">
    <w:name w:val="List Table 7 Colorful"/>
    <w:uiPriority w:val="99"/>
    <w:rsid w:val="00eb6bdd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uiPriority w:val="99"/>
    <w:rsid w:val="00eb6bdd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uiPriority w:val="99"/>
    <w:rsid w:val="00eb6bdd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4" w:space="0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color="000000" w:sz="4" w:space="0"/>
          <w:left w:val="single" w:color="C0504D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uiPriority w:val="99"/>
    <w:rsid w:val="00eb6bdd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4" w:space="0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color="000000" w:sz="4" w:space="0"/>
          <w:left w:val="single" w:color="9B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uiPriority w:val="99"/>
    <w:rsid w:val="00eb6bdd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4" w:space="0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color="000000" w:sz="4" w:space="0"/>
          <w:left w:val="single" w:color="8064A2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uiPriority w:val="99"/>
    <w:rsid w:val="00eb6bdd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4" w:space="0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color="000000" w:sz="4" w:space="0"/>
          <w:left w:val="single" w:color="4BACC6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uiPriority w:val="99"/>
    <w:rsid w:val="00eb6bdd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4" w:space="0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color="000000" w:sz="4" w:space="0"/>
          <w:left w:val="single" w:color="F7964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  <w:tblPr/>
    </w:tblStylePr>
  </w:style>
  <w:style w:type="table" w:customStyle="1" w:styleId="Lined-Accent">
    <w:name w:val="Lined - Accent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Lined-Accent1">
    <w:name w:val="Lined - Accent 1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uiPriority w:val="99"/>
    <w:rsid w:val="00eb6bdd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eb6bdd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FFF" w:themeFill="text1" w:themeFillTint="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FFF" w:themeFill="text1" w:themeFillTint="0"/>
      </w:tcPr>
    </w:tblStylePr>
  </w:style>
  <w:style w:type="table" w:customStyle="1" w:styleId="BorderedLined-Accent1">
    <w:name w:val="Bordered &amp; Lined - Accent 1"/>
    <w:uiPriority w:val="99"/>
    <w:rsid w:val="00eb6bdd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eb6bdd"/>
    <w:tblPr>
      <w:tblStyleRowBandSize w:val="1"/>
      <w:tblStyleColBandSize w:val="1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eb6bdd"/>
    <w:tblPr>
      <w:tblStyleRowBandSize w:val="1"/>
      <w:tblStyleColBandSize w:val="1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eb6bdd"/>
    <w:tblPr>
      <w:tblStyleRowBandSize w:val="1"/>
      <w:tblStyleColBandSize w:val="1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eb6bdd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eb6bdd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uiPriority w:val="99"/>
    <w:rsid w:val="00eb6bdd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uiPriority w:val="99"/>
    <w:rsid w:val="00eb6bdd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</w:style>
  <w:style w:type="table" w:customStyle="1" w:styleId="Bordered-Accent2">
    <w:name w:val="Bordered - Accent 2"/>
    <w:uiPriority w:val="99"/>
    <w:rsid w:val="00eb6bdd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C0504D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C0504D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0504D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</w:style>
  <w:style w:type="table" w:customStyle="1" w:styleId="Bordered-Accent3">
    <w:name w:val="Bordered - Accent 3"/>
    <w:uiPriority w:val="99"/>
    <w:rsid w:val="00eb6bdd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9BBB5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9BBB5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BBB5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</w:style>
  <w:style w:type="table" w:customStyle="1" w:styleId="Bordered-Accent4">
    <w:name w:val="Bordered - Accent 4"/>
    <w:uiPriority w:val="99"/>
    <w:rsid w:val="00eb6bdd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8064A2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8064A2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8064A2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</w:style>
  <w:style w:type="table" w:customStyle="1" w:styleId="Bordered-Accent5">
    <w:name w:val="Bordered - Accent 5"/>
    <w:uiPriority w:val="99"/>
    <w:rsid w:val="00eb6bdd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BACC6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BACC6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</w:style>
  <w:style w:type="table" w:customStyle="1" w:styleId="Bordered-Accent6">
    <w:name w:val="Bordered - Accent 6"/>
    <w:uiPriority w:val="99"/>
    <w:rsid w:val="00eb6bdd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79646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79646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Application>LibreOffice/7.5.6.2$Linux_X86_64 LibreOffice_project/50$Build-2</Application>
  <AppVersion>15.0000</AppVersion>
  <Pages>7</Pages>
  <Words>1724</Words>
  <Characters>12311</Characters>
  <CharactersWithSpaces>13892</CharactersWithSpaces>
  <Paragraphs>175</Paragraphs>
  <Company>Administration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2016-03-01T11:05:00Z</dcterms:created>
  <dc:creator>Tanja Vasilieva</dc:creator>
  <dc:description/>
  <dc:language>ru-RU</dc:language>
  <cp:lastModifiedBy/>
  <dcterms:modified xsi:type="dcterms:W3CDTF">2026-08-24T10:49:50Z</dcterms:modified>
  <cp:revision>245</cp:revision>
  <dc:subject/>
  <dc:title>Центральная  избирательная  комиссия</dc:title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