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pStyle w:val="8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ПОРЯДОК</w:t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рассмотрения и оценки заявок на участие в конкурсе</w:t>
      </w:r>
      <w:r>
        <w:rPr>
          <w:rFonts w:ascii="Times New Roman" w:hAnsi="Times New Roman"/>
          <w:b/>
          <w:bCs/>
          <w:highlight w:val="none"/>
        </w:rPr>
      </w:r>
      <w:r>
        <w:rPr>
          <w:rFonts w:ascii="Times New Roman" w:hAnsi="Times New Roman"/>
          <w:b/>
          <w:bCs/>
        </w:rPr>
      </w:r>
    </w:p>
    <w:p>
      <w:pPr>
        <w:pStyle w:val="836"/>
        <w:jc w:val="center"/>
        <w:rPr>
          <w:rFonts w:ascii="Times New Roman" w:hAnsi="Times New Roman"/>
          <w:b/>
          <w:bCs/>
          <w:highlight w:val="none"/>
        </w:rPr>
      </w:pPr>
      <w:r>
        <w:rPr>
          <w:rFonts w:ascii="Times New Roman" w:hAnsi="Times New Roman"/>
          <w:b/>
        </w:rPr>
        <w:t xml:space="preserve"> Критерии и показатели оценки заявок на участие в закупке</w:t>
      </w:r>
      <w:r>
        <w:rPr>
          <w:rFonts w:ascii="Times New Roman" w:hAnsi="Times New Roman"/>
          <w:b/>
          <w:bCs/>
          <w:highlight w:val="none"/>
        </w:rPr>
      </w:r>
      <w:r>
        <w:rPr>
          <w:rFonts w:ascii="Times New Roman" w:hAnsi="Times New Roman"/>
          <w:b/>
          <w:bCs/>
          <w:highlight w:val="none"/>
        </w:rPr>
      </w:r>
    </w:p>
    <w:tbl>
      <w:tblPr>
        <w:tblW w:w="15032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3"/>
        <w:gridCol w:w="1914"/>
        <w:gridCol w:w="1382"/>
        <w:gridCol w:w="1813"/>
        <w:gridCol w:w="1232"/>
        <w:gridCol w:w="2261"/>
        <w:gridCol w:w="1290"/>
        <w:gridCol w:w="443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703" w:type="dxa"/>
            <w:vAlign w:val="top"/>
            <w:textDirection w:val="lrTb"/>
            <w:noWrap w:val="false"/>
          </w:tcPr>
          <w:p>
            <w:pPr>
              <w:pStyle w:val="836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  <w:tc>
          <w:tcPr>
            <w:tcW w:w="1914" w:type="dxa"/>
            <w:vAlign w:val="top"/>
            <w:textDirection w:val="lrTb"/>
            <w:noWrap w:val="false"/>
          </w:tcPr>
          <w:p>
            <w:pPr>
              <w:pStyle w:val="836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Критерий оценки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  <w:tc>
          <w:tcPr>
            <w:tcW w:w="1382" w:type="dxa"/>
            <w:vAlign w:val="top"/>
            <w:textDirection w:val="lrTb"/>
            <w:noWrap w:val="false"/>
          </w:tcPr>
          <w:p>
            <w:pPr>
              <w:pStyle w:val="836"/>
              <w:ind w:right="-78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Значимость критерия оценки, процентов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  <w:tc>
          <w:tcPr>
            <w:tcW w:w="1813" w:type="dxa"/>
            <w:vAlign w:val="top"/>
            <w:textDirection w:val="lrTb"/>
            <w:noWrap w:val="false"/>
          </w:tcPr>
          <w:p>
            <w:pPr>
              <w:pStyle w:val="836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Показатель оценки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  <w:tc>
          <w:tcPr>
            <w:tcW w:w="1232" w:type="dxa"/>
            <w:vAlign w:val="top"/>
            <w:textDirection w:val="lrTb"/>
            <w:noWrap w:val="false"/>
          </w:tcPr>
          <w:p>
            <w:pPr>
              <w:pStyle w:val="836"/>
              <w:ind w:left="-158" w:right="-102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Значимость показателя оценки, процентов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  <w:tc>
          <w:tcPr>
            <w:tcW w:w="2261" w:type="dxa"/>
            <w:vAlign w:val="top"/>
            <w:textDirection w:val="lrTb"/>
            <w:noWrap w:val="false"/>
          </w:tcPr>
          <w:p>
            <w:pPr>
              <w:pStyle w:val="836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Показатель оценки, детализирующий показатель оценки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  <w:tc>
          <w:tcPr>
            <w:tcW w:w="1290" w:type="dxa"/>
            <w:vAlign w:val="top"/>
            <w:textDirection w:val="lrTb"/>
            <w:noWrap w:val="false"/>
          </w:tcPr>
          <w:p>
            <w:pPr>
              <w:pStyle w:val="836"/>
              <w:ind w:left="-107" w:right="-95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Значимость показателя, детализирующего показатель оценки, процентов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  <w:tc>
          <w:tcPr>
            <w:tcW w:w="4437" w:type="dxa"/>
            <w:vAlign w:val="top"/>
            <w:textDirection w:val="lrTb"/>
            <w:noWrap w:val="false"/>
          </w:tcPr>
          <w:p>
            <w:pPr>
              <w:pStyle w:val="836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Формула оценки или шкала оценки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703" w:type="dxa"/>
            <w:vAlign w:val="top"/>
            <w:textDirection w:val="lrTb"/>
            <w:noWrap w:val="false"/>
          </w:tcPr>
          <w:p>
            <w:pPr>
              <w:pStyle w:val="836"/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  <w:tc>
          <w:tcPr>
            <w:tcW w:w="1914" w:type="dxa"/>
            <w:vAlign w:val="top"/>
            <w:textDirection w:val="lrTb"/>
            <w:noWrap w:val="false"/>
          </w:tcPr>
          <w:p>
            <w:pPr>
              <w:pStyle w:val="836"/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  <w:tc>
          <w:tcPr>
            <w:tcW w:w="1382" w:type="dxa"/>
            <w:vAlign w:val="top"/>
            <w:textDirection w:val="lrTb"/>
            <w:noWrap w:val="false"/>
          </w:tcPr>
          <w:p>
            <w:pPr>
              <w:pStyle w:val="836"/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  <w:tc>
          <w:tcPr>
            <w:tcW w:w="1813" w:type="dxa"/>
            <w:vAlign w:val="top"/>
            <w:textDirection w:val="lrTb"/>
            <w:noWrap w:val="false"/>
          </w:tcPr>
          <w:p>
            <w:pPr>
              <w:pStyle w:val="836"/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  <w:tc>
          <w:tcPr>
            <w:tcW w:w="1232" w:type="dxa"/>
            <w:vAlign w:val="top"/>
            <w:textDirection w:val="lrTb"/>
            <w:noWrap w:val="false"/>
          </w:tcPr>
          <w:p>
            <w:pPr>
              <w:pStyle w:val="836"/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  <w:tc>
          <w:tcPr>
            <w:tcW w:w="2261" w:type="dxa"/>
            <w:vAlign w:val="top"/>
            <w:textDirection w:val="lrTb"/>
            <w:noWrap w:val="false"/>
          </w:tcPr>
          <w:p>
            <w:pPr>
              <w:pStyle w:val="836"/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  <w:tc>
          <w:tcPr>
            <w:tcW w:w="1290" w:type="dxa"/>
            <w:vAlign w:val="top"/>
            <w:textDirection w:val="lrTb"/>
            <w:noWrap w:val="false"/>
          </w:tcPr>
          <w:p>
            <w:pPr>
              <w:pStyle w:val="836"/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  <w:tc>
          <w:tcPr>
            <w:tcW w:w="4437" w:type="dxa"/>
            <w:vAlign w:val="top"/>
            <w:textDirection w:val="lrTb"/>
            <w:noWrap w:val="false"/>
          </w:tcPr>
          <w:p>
            <w:pPr>
              <w:pStyle w:val="836"/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259"/>
        </w:trPr>
        <w:tc>
          <w:tcPr>
            <w:tcW w:w="703" w:type="dxa"/>
            <w:vAlign w:val="top"/>
            <w:textDirection w:val="lrTb"/>
            <w:noWrap w:val="false"/>
          </w:tcPr>
          <w:p>
            <w:pPr>
              <w:pStyle w:val="836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/>
            <w:bookmarkStart w:id="1" w:name="sub_1201"/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1.</w:t>
            </w:r>
            <w:bookmarkEnd w:id="1"/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  <w:tc>
          <w:tcPr>
            <w:tcW w:w="1914" w:type="dxa"/>
            <w:vAlign w:val="top"/>
            <w:textDirection w:val="lrTb"/>
            <w:noWrap w:val="false"/>
          </w:tcPr>
          <w:p>
            <w:pPr>
              <w:pStyle w:val="836"/>
              <w:spacing w:after="0" w:line="240" w:lineRule="auto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Цена договора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  <w:tc>
          <w:tcPr>
            <w:tcW w:w="1382" w:type="dxa"/>
            <w:vAlign w:val="top"/>
            <w:textDirection w:val="lrTb"/>
            <w:noWrap w:val="false"/>
          </w:tcPr>
          <w:p>
            <w:pPr>
              <w:pStyle w:val="836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60</w:t>
            </w:r>
            <w:r>
              <w:rPr>
                <w:rFonts w:ascii="Times New Roman" w:hAnsi="Times New Roman" w:eastAsia="Times New Roman"/>
                <w:sz w:val="24"/>
                <w:szCs w:val="24"/>
                <w:vertAlign w:val="superscript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  <w:tc>
          <w:tcPr>
            <w:tcW w:w="1813" w:type="dxa"/>
            <w:vAlign w:val="top"/>
            <w:textDirection w:val="lrTb"/>
            <w:noWrap w:val="false"/>
          </w:tcPr>
          <w:p>
            <w:pPr>
              <w:pStyle w:val="836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  <w:tc>
          <w:tcPr>
            <w:tcW w:w="1232" w:type="dxa"/>
            <w:vAlign w:val="top"/>
            <w:textDirection w:val="lrTb"/>
            <w:noWrap w:val="false"/>
          </w:tcPr>
          <w:p>
            <w:pPr>
              <w:pStyle w:val="836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  <w:tc>
          <w:tcPr>
            <w:tcW w:w="2261" w:type="dxa"/>
            <w:vAlign w:val="top"/>
            <w:textDirection w:val="lrTb"/>
            <w:noWrap w:val="false"/>
          </w:tcPr>
          <w:p>
            <w:pPr>
              <w:pStyle w:val="836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  <w:tc>
          <w:tcPr>
            <w:tcW w:w="1290" w:type="dxa"/>
            <w:vAlign w:val="top"/>
            <w:textDirection w:val="lrTb"/>
            <w:noWrap w:val="false"/>
          </w:tcPr>
          <w:p>
            <w:pPr>
              <w:pStyle w:val="836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  <w:tc>
          <w:tcPr>
            <w:tcW w:w="4437" w:type="dxa"/>
            <w:vAlign w:val="top"/>
            <w:textDirection w:val="lrTb"/>
            <w:noWrap w:val="false"/>
          </w:tcPr>
          <w:p>
            <w:pPr>
              <w:pStyle w:val="8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Оценка заявок осуществляется по формулам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</w:t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564942" cy="748389"/>
                      <wp:effectExtent l="0" t="0" r="0" b="0"/>
                      <wp:docPr id="1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034081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9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2564942" cy="748388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201.96pt;height:58.93pt;mso-wrap-distance-left:0.00pt;mso-wrap-distance-top:0.00pt;mso-wrap-distance-right:0.00pt;mso-wrap-distance-bottom:0.00pt;" stroked="false">
                      <v:path textboxrect="0,0,0,0"/>
                      <v:imagedata r:id="rId9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где: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Цi - предложение участника закупки о цене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заявка (часть заявки) которого подлежит  оценке по критерию оценки "цена договора" (далее - ценовое предложение);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36"/>
              <w:ind w:firstLine="20"/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Цл - наилучшее ценовое предложение из числа предложенных участниками закупки, заявки (части заявки) которых подлежат оценке по критерию оценки "цена договора".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ind w:firstLine="20"/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ind w:firstLine="20"/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ind w:firstLine="20"/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ind w:firstLine="20"/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ind w:firstLine="20"/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ind w:firstLine="20"/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ind w:firstLine="20"/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ind w:firstLine="20"/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703" w:type="dxa"/>
            <w:vAlign w:val="top"/>
            <w:vMerge w:val="restart"/>
            <w:textDirection w:val="lrTb"/>
            <w:noWrap w:val="false"/>
          </w:tcPr>
          <w:p>
            <w:pPr>
              <w:pStyle w:val="836"/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  <w:tc>
          <w:tcPr>
            <w:tcW w:w="1914" w:type="dxa"/>
            <w:vAlign w:val="top"/>
            <w:vMerge w:val="restart"/>
            <w:textDirection w:val="lrTb"/>
            <w:noWrap w:val="false"/>
          </w:tcPr>
          <w:p>
            <w:pPr>
              <w:pStyle w:val="836"/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Квалификация участников закупки,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в том числе наличие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у них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опыта работы, связанного с предметом договора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  <w:tc>
          <w:tcPr>
            <w:tcW w:w="1382" w:type="dxa"/>
            <w:vAlign w:val="top"/>
            <w:textDirection w:val="lrTb"/>
            <w:noWrap w:val="false"/>
          </w:tcPr>
          <w:p>
            <w:pPr>
              <w:pStyle w:val="836"/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40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  <w:tc>
          <w:tcPr>
            <w:tcW w:w="1813" w:type="dxa"/>
            <w:vAlign w:val="top"/>
            <w:textDirection w:val="lrTb"/>
            <w:noWrap w:val="false"/>
          </w:tcPr>
          <w:p>
            <w:pPr>
              <w:pStyle w:val="836"/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наличие у участников закупки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опыта работы,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связанного с предметом договора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  <w:tc>
          <w:tcPr>
            <w:tcW w:w="1232" w:type="dxa"/>
            <w:vAlign w:val="top"/>
            <w:textDirection w:val="lrTb"/>
            <w:noWrap w:val="false"/>
          </w:tcPr>
          <w:p>
            <w:pPr>
              <w:pStyle w:val="836"/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100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  <w:tc>
          <w:tcPr>
            <w:tcW w:w="2261" w:type="dxa"/>
            <w:vAlign w:val="top"/>
            <w:textDirection w:val="lrTb"/>
            <w:noWrap w:val="false"/>
          </w:tcPr>
          <w:p>
            <w:pPr>
              <w:pStyle w:val="836"/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Показатель № 1</w:t>
            </w: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общее количество исполненных участником закупки договоров</w:t>
            </w: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  <w:highlight w:val="none"/>
              </w:rPr>
            </w:r>
          </w:p>
        </w:tc>
        <w:tc>
          <w:tcPr>
            <w:tcW w:w="1290" w:type="dxa"/>
            <w:vAlign w:val="top"/>
            <w:textDirection w:val="lrTb"/>
            <w:noWrap w:val="false"/>
          </w:tcPr>
          <w:p>
            <w:pPr>
              <w:pStyle w:val="836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  <w:lang w:eastAsia="ru-RU"/>
              </w:rPr>
              <w:t xml:space="preserve">50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  <w:tc>
          <w:tcPr>
            <w:tcW w:w="4437" w:type="dxa"/>
            <w:vAlign w:val="top"/>
            <w:textDirection w:val="lrTb"/>
            <w:noWrap w:val="false"/>
          </w:tcPr>
          <w:p>
            <w:pPr>
              <w:pStyle w:val="836"/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  <w:p>
            <w:pPr>
              <w:pStyle w:val="836"/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57475" cy="771525"/>
                      <wp:effectExtent l="0" t="0" r="0" b="0"/>
                      <wp:docPr id="2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942067099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57474" cy="77152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width:209.25pt;height:60.75pt;mso-wrap-distance-left:0.00pt;mso-wrap-distance-top:0.00pt;mso-wrap-distance-right:0.00pt;mso-wrap-distance-bottom:0.00pt;" stroked="false">
                      <v:path textboxrect="0,0,0,0"/>
                      <v:imagedata r:id="rId10" o:title=""/>
                    </v:shape>
                  </w:pict>
                </mc:Fallback>
              </mc:AlternateContent>
            </w:r>
            <w:r/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  <w:lang w:eastAsia="ru-RU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  <w:lang w:eastAsia="ru-RU"/>
              </w:rPr>
              <w:t xml:space="preserve">Где </w:t>
            </w:r>
            <w:r/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  <w:lang w:eastAsia="ru-RU"/>
              </w:rPr>
            </w:r>
            <w:r/>
            <w:r/>
            <w:r/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  <w:p>
            <w:pPr>
              <w:pStyle w:val="836"/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</w:t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600075" cy="342900"/>
                      <wp:effectExtent l="0" t="0" r="0" b="0"/>
                      <wp:docPr id="3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10629344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600075" cy="342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width:47.25pt;height:27.00pt;mso-wrap-distance-left:0.00pt;mso-wrap-distance-top:0.00pt;mso-wrap-distance-right:0.00pt;mso-wrap-distance-bottom:0.00pt;" stroked="false">
                      <v:path textboxrect="0,0,0,0"/>
                      <v:imagedata r:id="rId11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- максимальное значение (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 xml:space="preserve">общее количество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исполненных договоров), содержащееся в заявках (частях заявок), подлежащих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оценке по критерию оценки "квалификация участников закупки ";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  <w:p>
            <w:pPr>
              <w:pStyle w:val="836"/>
              <w:jc w:val="both"/>
              <w:spacing w:before="220"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42900" cy="219075"/>
                      <wp:effectExtent l="0" t="0" r="0" b="0"/>
                      <wp:docPr id="4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23618805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42900" cy="21907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width:27.00pt;height:17.25pt;mso-wrap-distance-left:0.00pt;mso-wrap-distance-top:0.00pt;mso-wrap-distance-right:0.00pt;mso-wrap-distance-bottom:0.0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- значение (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 xml:space="preserve">общее количество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 xml:space="preserve">исполненных договоров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), содержащееся в предложении участника закупки, заявка (часть заявки) которого подлежит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оценке по критерию оценки "квалификация участников закупки ";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  <w:p>
            <w:pPr>
              <w:pStyle w:val="836"/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95300" cy="314325"/>
                      <wp:effectExtent l="0" t="0" r="0" b="0"/>
                      <wp:docPr id="5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210006148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95299" cy="31432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width:39.00pt;height:24.75pt;mso-wrap-distance-left:0.00pt;mso-wrap-distance-top:0.00pt;mso-wrap-distance-right:0.00pt;mso-wrap-distance-bottom:0.0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- минимальное значение (</w:t>
            </w:r>
            <w:r>
              <w:rPr>
                <w:rFonts w:ascii="Times New Roman" w:hAnsi="Times New Roman" w:eastAsia="Times New Roman"/>
                <w:b/>
                <w:sz w:val="24"/>
                <w:szCs w:val="24"/>
                <w:lang w:eastAsia="ru-RU"/>
              </w:rPr>
              <w:t xml:space="preserve">общее количество исполненных договоров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), содержащееся в заявках (частях заявок), подлежащих  оценке по критерию оценки "квалификация участников закупки "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  <w:p>
            <w:pPr>
              <w:pStyle w:val="836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характеристика квалификации участников закупки N 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pStyle w:val="836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703" w:type="dxa"/>
            <w:vAlign w:val="top"/>
            <w:vMerge w:val="continue"/>
            <w:textDirection w:val="lrTb"/>
            <w:noWrap w:val="false"/>
          </w:tcPr>
          <w:p>
            <w:pPr>
              <w:pStyle w:val="836"/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  <w:tc>
          <w:tcPr>
            <w:tcW w:w="1914" w:type="dxa"/>
            <w:vAlign w:val="top"/>
            <w:vMerge w:val="continue"/>
            <w:textDirection w:val="lrTb"/>
            <w:noWrap w:val="false"/>
          </w:tcPr>
          <w:p>
            <w:pPr>
              <w:pStyle w:val="836"/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  <w:tc>
          <w:tcPr>
            <w:tcW w:w="1382" w:type="dxa"/>
            <w:vAlign w:val="top"/>
            <w:textDirection w:val="lrTb"/>
            <w:noWrap w:val="false"/>
          </w:tcPr>
          <w:p>
            <w:pPr>
              <w:pStyle w:val="836"/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  <w:tc>
          <w:tcPr>
            <w:tcW w:w="1813" w:type="dxa"/>
            <w:vAlign w:val="top"/>
            <w:textDirection w:val="lrTb"/>
            <w:noWrap w:val="false"/>
          </w:tcPr>
          <w:p>
            <w:pPr>
              <w:pStyle w:val="836"/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  <w:tc>
          <w:tcPr>
            <w:tcW w:w="1232" w:type="dxa"/>
            <w:vAlign w:val="top"/>
            <w:textDirection w:val="lrTb"/>
            <w:noWrap w:val="false"/>
          </w:tcPr>
          <w:p>
            <w:pPr>
              <w:pStyle w:val="836"/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  <w:tc>
          <w:tcPr>
            <w:tcW w:w="2261" w:type="dxa"/>
            <w:vAlign w:val="top"/>
            <w:textDirection w:val="lrTb"/>
            <w:noWrap w:val="false"/>
          </w:tcPr>
          <w:p>
            <w:pPr>
              <w:pStyle w:val="836"/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Показатель  N 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2 </w:t>
            </w:r>
            <w:r>
              <w:rPr>
                <w:rFonts w:ascii="Times New Roman" w:hAnsi="Times New Roman"/>
                <w:b/>
                <w:bCs/>
                <w:i/>
              </w:rPr>
              <w:t xml:space="preserve">(общая цена  исполненных участником закупки договоров)</w:t>
            </w:r>
            <w:r>
              <w:rPr>
                <w:rFonts w:ascii="Times New Roman" w:hAnsi="Times New Roman"/>
                <w:b/>
                <w:bCs/>
                <w:i/>
              </w:rPr>
            </w:r>
            <w:r>
              <w:rPr>
                <w:rFonts w:ascii="Times New Roman" w:hAnsi="Times New Roman"/>
                <w:b/>
                <w:bCs/>
                <w:i/>
              </w:rPr>
            </w:r>
          </w:p>
          <w:p>
            <w:pPr>
              <w:pStyle w:val="836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  <w:tc>
          <w:tcPr>
            <w:tcW w:w="1290" w:type="dxa"/>
            <w:vAlign w:val="top"/>
            <w:textDirection w:val="lrTb"/>
            <w:noWrap w:val="false"/>
          </w:tcPr>
          <w:p>
            <w:pPr>
              <w:pStyle w:val="836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  <w:lang w:eastAsia="ru-RU"/>
              </w:rPr>
              <w:t xml:space="preserve">0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  <w:tc>
          <w:tcPr>
            <w:tcW w:w="4437" w:type="dxa"/>
            <w:vAlign w:val="top"/>
            <w:textDirection w:val="lrTb"/>
            <w:noWrap w:val="false"/>
          </w:tcPr>
          <w:p>
            <w:pPr>
              <w:pStyle w:val="836"/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  <w:p>
            <w:pPr>
              <w:pStyle w:val="836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57475" cy="771525"/>
                      <wp:effectExtent l="0" t="0" r="0" b="0"/>
                      <wp:docPr id="6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116818161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 rot="0" flipH="0" flipV="0">
                                <a:off x="0" y="0"/>
                                <a:ext cx="2657474" cy="77152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width:209.25pt;height:60.75pt;mso-wrap-distance-left:0.00pt;mso-wrap-distance-top:0.00pt;mso-wrap-distance-right:0.00pt;mso-wrap-distance-bottom:0.00pt;rotation:0;" stroked="false">
                      <v:path textboxrect="0,0,0,0"/>
                      <v:imagedata r:id="rId10" o:title=""/>
                    </v:shape>
                  </w:pict>
                </mc:Fallback>
              </mc:AlternateContent>
            </w:r>
            <w:r/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;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  <w:p>
            <w:pPr>
              <w:pStyle w:val="836"/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где: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  <w:p>
            <w:pPr>
              <w:pStyle w:val="836"/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600075" cy="342900"/>
                      <wp:effectExtent l="0" t="0" r="0" b="0"/>
                      <wp:docPr id="7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774358331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 rot="0" flipH="0" flipV="0">
                                <a:off x="0" y="0"/>
                                <a:ext cx="600075" cy="342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width:47.25pt;height:27.00pt;mso-wrap-distance-left:0.00pt;mso-wrap-distance-top:0.00pt;mso-wrap-distance-right:0.00pt;mso-wrap-distance-bottom:0.00pt;rotation:0;" stroked="false">
                      <v:path textboxrect="0,0,0,0"/>
                      <v:imagedata r:id="rId11" o:title=""/>
                    </v:shape>
                  </w:pict>
                </mc:Fallback>
              </mc:AlternateContent>
            </w:r>
            <w:r/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- максимальное значение (общая</w:t>
            </w:r>
            <w:r>
              <w:rPr>
                <w:rFonts w:ascii="Times New Roman" w:hAnsi="Times New Roman"/>
                <w:b/>
                <w:bCs/>
              </w:rPr>
              <w:t xml:space="preserve"> цена исполненных участником закупки договоров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) показателя, содержащееся в заявках (частях заявок), подлежащих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оценке по критерию оценки "квалификация участников закупки ";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  <w:p>
            <w:pPr>
              <w:pStyle w:val="836"/>
              <w:jc w:val="both"/>
              <w:spacing w:before="220"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42900" cy="219075"/>
                      <wp:effectExtent l="0" t="0" r="0" b="0"/>
                      <wp:docPr id="8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73654466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 rot="0" flipH="0" flipV="0">
                                <a:off x="0" y="0"/>
                                <a:ext cx="342900" cy="21907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width:27.00pt;height:17.25pt;mso-wrap-distance-left:0.00pt;mso-wrap-distance-top:0.00pt;mso-wrap-distance-right:0.00pt;mso-wrap-distance-bottom:0.00pt;rotation:0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- значение (общая</w:t>
            </w:r>
            <w:r>
              <w:rPr>
                <w:rFonts w:ascii="Times New Roman" w:hAnsi="Times New Roman"/>
                <w:b/>
                <w:bCs/>
              </w:rPr>
              <w:t xml:space="preserve"> цена исполненных участником закупки договоров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), содержащееся в предложении участника закупки, заявка (часть заявки) которого подлежит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оценке по критерию оценки "квалификация участников закупки ";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  <w:p>
            <w:pPr>
              <w:pStyle w:val="836"/>
              <w:jc w:val="both"/>
              <w:spacing w:after="0" w:line="240" w:lineRule="auto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95300" cy="314325"/>
                      <wp:effectExtent l="0" t="0" r="0" b="0"/>
                      <wp:docPr id="9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917666252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 rot="0" flipH="0" flipV="0">
                                <a:off x="0" y="0"/>
                                <a:ext cx="495299" cy="31432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width:39.00pt;height:24.75pt;mso-wrap-distance-left:0.00pt;mso-wrap-distance-top:0.00pt;mso-wrap-distance-right:0.00pt;mso-wrap-distance-bottom:0.00pt;rotation:0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- минимальное значение (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общая</w:t>
            </w:r>
            <w:r>
              <w:rPr>
                <w:rFonts w:ascii="Times New Roman" w:hAnsi="Times New Roman"/>
                <w:b/>
                <w:bCs/>
              </w:rPr>
              <w:t xml:space="preserve"> цена исполненных участником закупки договоров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), содержащееся в заявках (частях заявок), подлежащих оценке по критерию оценки "квалификация участников закупки "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  <w:p>
            <w:pPr>
              <w:pStyle w:val="836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</w:p>
        </w:tc>
      </w:tr>
    </w:tbl>
    <w:p>
      <w:pPr>
        <w:pStyle w:val="836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tbl>
      <w:tblPr>
        <w:tblW w:w="15309" w:type="dxa"/>
        <w:tblInd w:w="0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15309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5309" w:type="dxa"/>
            <w:vAlign w:val="top"/>
            <w:textDirection w:val="lrTb"/>
            <w:noWrap w:val="false"/>
          </w:tcPr>
          <w:p>
            <w:pPr>
              <w:pStyle w:val="836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b/>
                <w:sz w:val="28"/>
                <w:szCs w:val="28"/>
              </w:rPr>
              <w:outlineLvl w:val="2"/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  <w:lang w:eastAsia="ru-RU"/>
              </w:rPr>
              <w:t xml:space="preserve">III. Отдельные положения о применении отдельных критериев оценки, показателей оценки и показателей оценки, детализирующих показатели оценки, предусмотренных разделом II настоящего документа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</w:tr>
    </w:tbl>
    <w:p>
      <w:pPr>
        <w:pStyle w:val="836"/>
        <w:jc w:val="both"/>
        <w:spacing w:after="0" w:line="240" w:lineRule="auto"/>
        <w:widowControl w:val="off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 w:eastAsia="Times New Roman"/>
          <w:lang w:eastAsia="ru-RU"/>
        </w:rPr>
      </w:r>
      <w:r>
        <w:rPr>
          <w:rFonts w:ascii="Times New Roman" w:hAnsi="Times New Roman" w:eastAsia="Times New Roman"/>
          <w:lang w:eastAsia="ru-RU"/>
        </w:rPr>
      </w:r>
      <w:r>
        <w:rPr>
          <w:rFonts w:ascii="Times New Roman" w:hAnsi="Times New Roman" w:eastAsia="Times New Roman"/>
          <w:lang w:eastAsia="ru-RU"/>
        </w:rPr>
      </w:r>
    </w:p>
    <w:tbl>
      <w:tblPr>
        <w:tblW w:w="15304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638"/>
        <w:gridCol w:w="6728"/>
        <w:gridCol w:w="793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638" w:type="dxa"/>
            <w:vAlign w:val="top"/>
            <w:textDirection w:val="lrTb"/>
            <w:noWrap w:val="false"/>
          </w:tcPr>
          <w:p>
            <w:pPr>
              <w:pStyle w:val="836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N</w:t>
            </w:r>
            <w:r>
              <w:rPr>
                <w:rFonts w:ascii="Times New Roman" w:hAnsi="Times New Roman" w:eastAsia="Times New Roman"/>
                <w:lang w:eastAsia="ru-RU"/>
              </w:rPr>
            </w:r>
            <w:r>
              <w:rPr>
                <w:rFonts w:ascii="Times New Roman" w:hAnsi="Times New Roman" w:eastAsia="Times New Roman"/>
                <w:lang w:eastAsia="ru-RU"/>
              </w:rPr>
            </w:r>
          </w:p>
        </w:tc>
        <w:tc>
          <w:tcPr>
            <w:tcW w:w="6728" w:type="dxa"/>
            <w:vAlign w:val="top"/>
            <w:textDirection w:val="lrTb"/>
            <w:noWrap w:val="false"/>
          </w:tcPr>
          <w:p>
            <w:pPr>
              <w:pStyle w:val="836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Наименование критерия оценки, показателя оценки, показателя оценки, детализирующего показатель оценки, при применении которого устанавливается положение, предусмотренное графой 3</w:t>
            </w:r>
            <w:r>
              <w:rPr>
                <w:rFonts w:ascii="Times New Roman" w:hAnsi="Times New Roman" w:eastAsia="Times New Roman"/>
                <w:lang w:eastAsia="ru-RU"/>
              </w:rPr>
            </w:r>
            <w:r>
              <w:rPr>
                <w:rFonts w:ascii="Times New Roman" w:hAnsi="Times New Roman" w:eastAsia="Times New Roman"/>
                <w:lang w:eastAsia="ru-RU"/>
              </w:rPr>
            </w:r>
          </w:p>
        </w:tc>
        <w:tc>
          <w:tcPr>
            <w:tcW w:w="7938" w:type="dxa"/>
            <w:vAlign w:val="top"/>
            <w:textDirection w:val="lrTb"/>
            <w:noWrap w:val="false"/>
          </w:tcPr>
          <w:p>
            <w:pPr>
              <w:pStyle w:val="836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Положение о применения критерия оценки, показателя оценки, показателя оценки, детализирующего показатель оценки</w:t>
            </w:r>
            <w:r>
              <w:rPr>
                <w:rFonts w:ascii="Times New Roman" w:hAnsi="Times New Roman" w:eastAsia="Times New Roman"/>
                <w:lang w:eastAsia="ru-RU"/>
              </w:rPr>
            </w:r>
            <w:r>
              <w:rPr>
                <w:rFonts w:ascii="Times New Roman" w:hAnsi="Times New Roman" w:eastAsia="Times New Roman"/>
                <w:lang w:eastAsia="ru-RU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638" w:type="dxa"/>
            <w:vAlign w:val="top"/>
            <w:textDirection w:val="lrTb"/>
            <w:noWrap w:val="false"/>
          </w:tcPr>
          <w:p>
            <w:pPr>
              <w:pStyle w:val="836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/>
                <w:lang w:eastAsia="ru-RU"/>
              </w:rPr>
            </w:r>
            <w:r>
              <w:rPr>
                <w:rFonts w:ascii="Times New Roman" w:hAnsi="Times New Roman" w:eastAsia="Times New Roman"/>
                <w:lang w:eastAsia="ru-RU"/>
              </w:rPr>
            </w:r>
          </w:p>
        </w:tc>
        <w:tc>
          <w:tcPr>
            <w:tcW w:w="6728" w:type="dxa"/>
            <w:vAlign w:val="top"/>
            <w:textDirection w:val="lrTb"/>
            <w:noWrap w:val="false"/>
          </w:tcPr>
          <w:p>
            <w:pPr>
              <w:pStyle w:val="836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lang w:eastAsia="ru-RU"/>
              </w:rPr>
            </w:pPr>
            <w:r/>
            <w:bookmarkStart w:id="2" w:name="P431"/>
            <w:r/>
            <w:bookmarkEnd w:id="2"/>
            <w:r>
              <w:rPr>
                <w:rFonts w:ascii="Times New Roman" w:hAnsi="Times New Roman" w:eastAsia="Times New Roman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/>
                <w:lang w:eastAsia="ru-RU"/>
              </w:rPr>
            </w:r>
            <w:r>
              <w:rPr>
                <w:rFonts w:ascii="Times New Roman" w:hAnsi="Times New Roman" w:eastAsia="Times New Roman"/>
                <w:lang w:eastAsia="ru-RU"/>
              </w:rPr>
            </w:r>
          </w:p>
        </w:tc>
        <w:tc>
          <w:tcPr>
            <w:tcW w:w="7938" w:type="dxa"/>
            <w:vAlign w:val="top"/>
            <w:textDirection w:val="lrTb"/>
            <w:noWrap w:val="false"/>
          </w:tcPr>
          <w:p>
            <w:pPr>
              <w:pStyle w:val="836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lang w:eastAsia="ru-RU"/>
              </w:rPr>
            </w:pPr>
            <w:r/>
            <w:bookmarkStart w:id="3" w:name="P432"/>
            <w:r/>
            <w:bookmarkEnd w:id="3"/>
            <w:r>
              <w:rPr>
                <w:rFonts w:ascii="Times New Roman" w:hAnsi="Times New Roman" w:eastAsia="Times New Roman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/>
                <w:lang w:eastAsia="ru-RU"/>
              </w:rPr>
            </w:r>
            <w:r>
              <w:rPr>
                <w:rFonts w:ascii="Times New Roman" w:hAnsi="Times New Roman" w:eastAsia="Times New Roman"/>
                <w:lang w:eastAsia="ru-RU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638" w:type="dxa"/>
            <w:vAlign w:val="top"/>
            <w:textDirection w:val="lrTb"/>
            <w:noWrap w:val="false"/>
          </w:tcPr>
          <w:p>
            <w:pPr>
              <w:pStyle w:val="836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/>
                <w:lang w:eastAsia="ru-RU"/>
              </w:rPr>
            </w:r>
            <w:r>
              <w:rPr>
                <w:rFonts w:ascii="Times New Roman" w:hAnsi="Times New Roman" w:eastAsia="Times New Roman"/>
                <w:lang w:eastAsia="ru-RU"/>
              </w:rPr>
            </w:r>
          </w:p>
        </w:tc>
        <w:tc>
          <w:tcPr>
            <w:tcW w:w="6728" w:type="dxa"/>
            <w:vAlign w:val="top"/>
            <w:textDirection w:val="lrTb"/>
            <w:noWrap w:val="false"/>
          </w:tcPr>
          <w:p>
            <w:pPr>
              <w:pStyle w:val="836"/>
              <w:spacing w:after="0" w:line="240" w:lineRule="auto"/>
              <w:widowControl w:val="off"/>
              <w:rPr>
                <w:rFonts w:ascii="Times New Roman" w:hAnsi="Times New Roman" w:eastAsia="Times New Roman"/>
                <w:b/>
                <w:bCs/>
              </w:rPr>
            </w:pPr>
            <w:r>
              <w:rPr>
                <w:rFonts w:ascii="Times New Roman" w:hAnsi="Times New Roman" w:eastAsia="Times New Roman"/>
                <w:b/>
                <w:bCs/>
                <w:lang w:eastAsia="ru-RU"/>
              </w:rPr>
              <w:t xml:space="preserve">Цена договора</w:t>
            </w:r>
            <w:r>
              <w:rPr>
                <w:rFonts w:ascii="Times New Roman" w:hAnsi="Times New Roman" w:eastAsia="Times New Roman"/>
                <w:b/>
                <w:bCs/>
              </w:rPr>
            </w:r>
            <w:r>
              <w:rPr>
                <w:rFonts w:ascii="Times New Roman" w:hAnsi="Times New Roman" w:eastAsia="Times New Roman"/>
                <w:b/>
                <w:bCs/>
              </w:rPr>
            </w:r>
          </w:p>
        </w:tc>
        <w:tc>
          <w:tcPr>
            <w:tcW w:w="7938" w:type="dxa"/>
            <w:vAlign w:val="top"/>
            <w:textDirection w:val="lrTb"/>
            <w:noWrap w:val="false"/>
          </w:tcPr>
          <w:p>
            <w:pPr>
              <w:pStyle w:val="836"/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Если при проведении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процедуры подачи предложений о цене подано ценовое предложение, предусматривающее снижение таких цены ниже нуля, значение количества баллов по критерию оценки "цена договора" (БЦ</w:t>
            </w:r>
            <w:r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равняется нулю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/>
                <w:lang w:eastAsia="ru-RU"/>
              </w:rPr>
            </w:r>
            <w:r>
              <w:rPr>
                <w:rFonts w:ascii="Times New Roman" w:hAnsi="Times New Roman" w:eastAsia="Times New Roman"/>
                <w:lang w:eastAsia="ru-RU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bottom w:val="single" w:color="000000" w:sz="4" w:space="0"/>
            </w:tcBorders>
            <w:tcW w:w="638" w:type="dxa"/>
            <w:vAlign w:val="top"/>
            <w:textDirection w:val="lrTb"/>
            <w:noWrap w:val="false"/>
          </w:tcPr>
          <w:p>
            <w:pPr>
              <w:pStyle w:val="836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/>
                <w:lang w:eastAsia="ru-RU"/>
              </w:rPr>
            </w:r>
            <w:r>
              <w:rPr>
                <w:rFonts w:ascii="Times New Roman" w:hAnsi="Times New Roman" w:eastAsia="Times New Roman"/>
                <w:lang w:eastAsia="ru-RU"/>
              </w:rPr>
            </w:r>
          </w:p>
        </w:tc>
        <w:tc>
          <w:tcPr>
            <w:tcBorders>
              <w:bottom w:val="single" w:color="000000" w:sz="4" w:space="0"/>
            </w:tcBorders>
            <w:tcW w:w="6728" w:type="dxa"/>
            <w:vAlign w:val="top"/>
            <w:textDirection w:val="lrTb"/>
            <w:noWrap w:val="false"/>
          </w:tcPr>
          <w:p>
            <w:pPr>
              <w:pStyle w:val="836"/>
              <w:spacing w:after="0" w:line="240" w:lineRule="auto"/>
              <w:widowControl w:val="off"/>
              <w:rPr>
                <w:rFonts w:ascii="Times New Roman" w:hAnsi="Times New Roman" w:eastAsia="Times New Roman"/>
                <w:b/>
                <w:bCs/>
              </w:rPr>
            </w:pPr>
            <w:r>
              <w:rPr>
                <w:rFonts w:ascii="Times New Roman" w:hAnsi="Times New Roman" w:eastAsia="Times New Roman"/>
                <w:b/>
                <w:bCs/>
                <w:lang w:eastAsia="ru-RU"/>
              </w:rPr>
              <w:t xml:space="preserve">Квалификация участников закупки, в том числе наличие </w:t>
            </w:r>
            <w:r>
              <w:rPr>
                <w:rFonts w:ascii="Times New Roman" w:hAnsi="Times New Roman" w:eastAsia="Times New Roman"/>
                <w:b/>
                <w:bCs/>
                <w:lang w:eastAsia="ru-RU"/>
              </w:rPr>
              <w:t xml:space="preserve">у них финансовых ресурсов, оборудования и других материальных ресурсов на праве собственности или ином законном основании, опыта работы, связанного с предметом контракта, и деловой репутации, специалистов и иных работников определенного уровня квалификации</w:t>
            </w:r>
            <w:r>
              <w:rPr>
                <w:rFonts w:ascii="Times New Roman" w:hAnsi="Times New Roman" w:eastAsia="Times New Roman"/>
                <w:b/>
                <w:bCs/>
                <w:lang w:eastAsia="ru-RU"/>
              </w:rPr>
              <w:t xml:space="preserve">: </w:t>
            </w:r>
            <w:r>
              <w:rPr>
                <w:rFonts w:ascii="Times New Roman" w:hAnsi="Times New Roman"/>
                <w:b/>
                <w:bCs/>
              </w:rPr>
              <w:t xml:space="preserve">наличие у участников закупки опыта работы, связанного с предметом договора</w:t>
            </w:r>
            <w:r>
              <w:rPr>
                <w:rFonts w:ascii="Times New Roman" w:hAnsi="Times New Roman" w:eastAsia="Times New Roman"/>
                <w:b/>
                <w:bCs/>
              </w:rPr>
            </w:r>
            <w:r>
              <w:rPr>
                <w:rFonts w:ascii="Times New Roman" w:hAnsi="Times New Roman" w:eastAsia="Times New Roman"/>
                <w:b/>
                <w:bCs/>
              </w:rPr>
            </w:r>
          </w:p>
        </w:tc>
        <w:tc>
          <w:tcPr>
            <w:tcBorders>
              <w:bottom w:val="single" w:color="000000" w:sz="4" w:space="0"/>
            </w:tcBorders>
            <w:tcW w:w="7938" w:type="dxa"/>
            <w:vAlign w:val="top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Для оценки заявок по критерию оценки "квалификация участников закупки" применяется следующий показатель оценки: наличие у участников закупки опыта выполнения работы, связанного с предметом договора</w:t>
            </w:r>
            <w:r>
              <w:rPr>
                <w:rFonts w:ascii="Times New Roman" w:hAnsi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/>
                <w:sz w:val="24"/>
                <w:szCs w:val="24"/>
                <w14:ligatures w14:val="none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Для оценки заявок по показателю оценки "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наличие у участников закупки опыта выполнения работы, связанного с предметом договора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" применяются детализирующие показатели: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14:ligatures w14:val="none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/>
                <w:b/>
                <w:bCs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  <w14:ligatures w14:val="none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/>
                <w:b/>
                <w:bCs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общее количество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исполненных участником закупки договоров (значимость показателя, детализирующего этот показатель оценки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5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0 процентов)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  <w14:ligatures w14:val="none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/>
                <w:b/>
                <w:bCs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  <w14:ligatures w14:val="none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/>
                <w:b/>
                <w:bCs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2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. общ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ая цена исполненных участником закупки договоров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5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0 процентов)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  <w14:ligatures w14:val="none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/>
                <w:b/>
                <w:bCs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/>
                <w:b/>
                <w:bCs/>
                <w:sz w:val="24"/>
                <w:szCs w:val="24"/>
                <w14:ligatures w14:val="none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/>
                <w:lang w:eastAsia="ru-RU"/>
              </w:rPr>
            </w:r>
            <w:r>
              <w:rPr>
                <w:rFonts w:ascii="Times New Roman" w:hAnsi="Times New Roman" w:eastAsia="Times New Roman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/>
                <w:lang w:eastAsia="ru-RU"/>
                <w14:ligatures w14:val="non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</w:tcBorders>
            <w:tcW w:w="638" w:type="dxa"/>
            <w:vAlign w:val="top"/>
            <w:textDirection w:val="lrTb"/>
            <w:noWrap w:val="false"/>
          </w:tcPr>
          <w:p>
            <w:pPr>
              <w:pStyle w:val="836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п/п</w:t>
            </w:r>
            <w:r>
              <w:rPr>
                <w:rFonts w:ascii="Times New Roman" w:hAnsi="Times New Roman" w:eastAsia="Times New Roman"/>
                <w:lang w:eastAsia="ru-RU"/>
              </w:rPr>
            </w:r>
            <w:r>
              <w:rPr>
                <w:rFonts w:ascii="Times New Roman" w:hAnsi="Times New Roman" w:eastAsia="Times New Roman"/>
                <w:lang w:eastAsia="ru-RU"/>
              </w:rPr>
            </w:r>
          </w:p>
        </w:tc>
        <w:tc>
          <w:tcPr>
            <w:gridSpan w:val="2"/>
            <w:tcBorders>
              <w:top w:val="single" w:color="000000" w:sz="4" w:space="0"/>
            </w:tcBorders>
            <w:tcW w:w="14666" w:type="dxa"/>
            <w:vAlign w:val="top"/>
            <w:textDirection w:val="lrTb"/>
            <w:noWrap w:val="false"/>
          </w:tcPr>
          <w:p>
            <w:pPr>
              <w:pStyle w:val="836"/>
              <w:spacing w:after="0" w:line="240" w:lineRule="auto"/>
              <w:widowControl w:val="off"/>
              <w:rPr>
                <w:rFonts w:ascii="Times New Roman" w:hAnsi="Times New Roman" w:eastAsia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/>
                <w:b/>
                <w:sz w:val="28"/>
                <w:szCs w:val="28"/>
                <w:lang w:eastAsia="ru-RU"/>
              </w:rPr>
              <w:t xml:space="preserve">Требования к документам для оценки показателя -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наличие у участников закупки опыта работы, связанного с предметом контракта</w:t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  <w:r>
              <w:rPr>
                <w:rFonts w:ascii="Times New Roman" w:hAnsi="Times New Roman" w:eastAsia="Times New Roman"/>
                <w:b/>
                <w:sz w:val="28"/>
                <w:szCs w:val="28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638" w:type="dxa"/>
            <w:vAlign w:val="top"/>
            <w:textDirection w:val="lrTb"/>
            <w:noWrap w:val="false"/>
          </w:tcPr>
          <w:p>
            <w:pPr>
              <w:pStyle w:val="836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/>
                <w:lang w:eastAsia="ru-RU"/>
              </w:rPr>
            </w:r>
            <w:r>
              <w:rPr>
                <w:rFonts w:ascii="Times New Roman" w:hAnsi="Times New Roman" w:eastAsia="Times New Roman"/>
                <w:lang w:eastAsia="ru-RU"/>
              </w:rPr>
            </w:r>
          </w:p>
        </w:tc>
        <w:tc>
          <w:tcPr>
            <w:gridSpan w:val="2"/>
            <w:tcW w:w="14666" w:type="dxa"/>
            <w:vAlign w:val="top"/>
            <w:textDirection w:val="lrTb"/>
            <w:noWrap w:val="false"/>
          </w:tcPr>
          <w:p>
            <w:pPr>
              <w:pStyle w:val="676"/>
              <w:numPr>
                <w:ilvl w:val="0"/>
                <w:numId w:val="2"/>
              </w:numPr>
              <w:jc w:val="both"/>
              <w:spacing w:before="220" w:after="0" w:line="240" w:lineRule="auto"/>
              <w:rPr>
                <w:rFonts w:ascii="Times New Roman" w:hAnsi="Times New Roman" w:eastAsia="Times New Roman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К  оценке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принимается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исполненные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договоры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,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 предусматривающие выполнение работ по: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2"/>
                <w:szCs w:val="22"/>
                <w:lang w:eastAsia="ru-RU"/>
                <w14:ligatures w14:val="none"/>
              </w:rPr>
            </w:r>
          </w:p>
          <w:p>
            <w:pPr>
              <w:jc w:val="both"/>
              <w:spacing w:before="220" w:after="0" w:line="240" w:lineRule="auto"/>
              <w:rPr>
                <w:rFonts w:ascii="Times New Roman" w:hAnsi="Times New Roman" w:eastAsia="Times New Roman"/>
                <w:b/>
                <w:bCs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          - проектированию сете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й водоснабжения или теплоснабжения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или  водоотведения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(в том числе ливневой канализации)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b/>
                <w:bCs/>
                <w:sz w:val="28"/>
                <w:szCs w:val="28"/>
                <w:lang w:eastAsia="ru-RU"/>
                <w14:ligatures w14:val="none"/>
              </w:rPr>
            </w:r>
          </w:p>
          <w:p>
            <w:pPr>
              <w:jc w:val="both"/>
              <w:spacing w:before="220" w:after="0" w:line="240" w:lineRule="auto"/>
              <w:rPr>
                <w:rFonts w:ascii="Times New Roman" w:hAnsi="Times New Roman" w:eastAsia="Times New Roman"/>
                <w:sz w:val="24"/>
                <w:szCs w:val="24"/>
                <w:highlight w:val="none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          - строительству (или реконструкции, или ремонту) сетей водоснабжения или теплоснабжения или   водоотведения (в том числе ливневой канализации).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  <w:lang w:eastAsia="ru-RU"/>
                <w14:ligatures w14:val="none"/>
              </w:rPr>
            </w:r>
          </w:p>
          <w:p>
            <w:pPr>
              <w:jc w:val="both"/>
              <w:spacing w:before="220"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 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принимается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также договор, предусматривающий одновременное  выполнение в рамках одного договора работ по проект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ированию и строительству линейных объектов водоснабжения, теплоснабжения,  водоотведения (в том числе ливневой канализации). 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  <w14:ligatures w14:val="none"/>
              </w:rPr>
            </w:r>
          </w:p>
          <w:p>
            <w:pPr>
              <w:jc w:val="both"/>
              <w:spacing w:before="220" w:after="0" w:line="240" w:lineRule="auto"/>
              <w:rPr>
                <w:rFonts w:ascii="Times New Roman" w:hAnsi="Times New Roman" w:eastAsia="Times New Roman"/>
                <w:b/>
                <w:bCs/>
                <w:i/>
                <w:sz w:val="32"/>
                <w:szCs w:val="32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    2) К оценке не пр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инимаются договора субподряда (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соисполнительства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), заключенные в целях исполнения вышеуказанных видов договоров (контрактов)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b/>
                <w:bCs/>
                <w:i/>
                <w:sz w:val="32"/>
                <w:szCs w:val="32"/>
                <w:lang w:eastAsia="ru-RU"/>
                <w14:ligatures w14:val="none"/>
              </w:rPr>
            </w:r>
          </w:p>
          <w:p>
            <w:pPr>
              <w:jc w:val="both"/>
              <w:spacing w:before="220" w:after="0" w:line="240" w:lineRule="auto"/>
              <w:rPr>
                <w:rFonts w:ascii="Times New Roman" w:hAnsi="Times New Roman" w:eastAsia="Times New Roman"/>
                <w:b/>
                <w:bCs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    3) К оценке принимаются только исполненные участником закупки с учетом правопреемства (в случае наличия в заявке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подтверждающего документа) контракты (гражданско-правовые договоры),  заключенные и исполненные в соответствии с Федеральным </w:t>
            </w:r>
            <w:hyperlink r:id="rId14" w:tooltip="consultantplus://offline/ref=F8FA5A2BA70EB9E83B96F853A8D65232BB3FF6F3FBEF4F58945CB979985A476DBA7AE3ACCFF9568D47AE0B4F46UEn0J" w:history="1">
              <w:r>
                <w:rPr>
                  <w:rFonts w:ascii="Times New Roman" w:hAnsi="Times New Roman" w:eastAsia="Times New Roman"/>
                  <w:sz w:val="24"/>
                  <w:szCs w:val="24"/>
                  <w:lang w:eastAsia="ru-RU"/>
                </w:rPr>
                <w:t xml:space="preserve">законом</w:t>
              </w:r>
            </w:hyperlink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№  44-ФЗ или Федеральным законом № 223-ФЗ.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b/>
                <w:bCs/>
                <w:lang w:eastAsia="ru-RU"/>
                <w14:ligatures w14:val="none"/>
              </w:rPr>
            </w:r>
          </w:p>
          <w:p>
            <w:pPr>
              <w:jc w:val="both"/>
              <w:spacing w:before="220" w:after="0" w:line="240" w:lineRule="auto"/>
              <w:rPr>
                <w:rFonts w:ascii="Times New Roman" w:hAnsi="Times New Roman" w:eastAsia="Times New Roman"/>
                <w:b/>
                <w:bCs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 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 4) к оценке не принимаются договора, по которым были не выплачены начисленные неустойки (пени, штрафы).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b/>
                <w:bCs/>
                <w:sz w:val="28"/>
                <w:szCs w:val="28"/>
                <w:lang w:eastAsia="ru-RU"/>
                <w14:ligatures w14:val="none"/>
              </w:rPr>
            </w:r>
          </w:p>
          <w:p>
            <w:pPr>
              <w:jc w:val="both"/>
              <w:spacing w:before="220"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  <w14:ligatures w14:val="none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638" w:type="dxa"/>
            <w:vAlign w:val="top"/>
            <w:textDirection w:val="lrTb"/>
            <w:noWrap w:val="false"/>
          </w:tcPr>
          <w:p>
            <w:pPr>
              <w:pStyle w:val="836"/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/>
                <w:lang w:eastAsia="ru-RU"/>
              </w:rPr>
            </w:r>
            <w:r>
              <w:rPr>
                <w:rFonts w:ascii="Times New Roman" w:hAnsi="Times New Roman" w:eastAsia="Times New Roman"/>
                <w:lang w:eastAsia="ru-RU"/>
              </w:rPr>
            </w:r>
          </w:p>
        </w:tc>
        <w:tc>
          <w:tcPr>
            <w:gridSpan w:val="2"/>
            <w:tcW w:w="14666" w:type="dxa"/>
            <w:vAlign w:val="top"/>
            <w:textDirection w:val="lrTb"/>
            <w:noWrap w:val="false"/>
          </w:tcPr>
          <w:p>
            <w:pPr>
              <w:jc w:val="both"/>
              <w:spacing w:before="220" w:after="0" w:line="240" w:lineRule="auto"/>
              <w:rPr>
                <w:rFonts w:ascii="Times New Roman" w:hAnsi="Times New Roman" w:eastAsia="Times New Roman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Перечень документов, подтверждающих наличие у участника закупки опыта поставки товара, выполнения работы, оказания услуги,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связанного с предметом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контракта :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lang w:eastAsia="ru-RU"/>
                <w14:ligatures w14:val="none"/>
              </w:rPr>
            </w:r>
          </w:p>
          <w:p>
            <w:pPr>
              <w:jc w:val="both"/>
              <w:spacing w:before="220"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    - </w:t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  <w:t xml:space="preserve"> исполненный</w:t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  <w:t xml:space="preserve">договор </w:t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  <w:t xml:space="preserve">(договоры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)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Договор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представляется  в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полном объеме и должен содержать информацию о предмете договора, цене договора (стоимости работ), сроках выполнения работ и о иных существенных условиях до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говора.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  <w14:ligatures w14:val="none"/>
              </w:rPr>
            </w:r>
          </w:p>
          <w:p>
            <w:pPr>
              <w:jc w:val="both"/>
              <w:spacing w:before="220"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Договор должен быть представлен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со всеми приложениями и дополнениями, соглашениями о внесении изменений или о расторжении.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  <w14:ligatures w14:val="none"/>
              </w:rPr>
            </w:r>
          </w:p>
          <w:p>
            <w:pPr>
              <w:jc w:val="both"/>
              <w:spacing w:before="220"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В случае, если договор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был  исполнен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не на всю сумму договора, необходимо приложить соглашение об уменьшении цены договора и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ли соглашение о расторжении договора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  <w14:ligatures w14:val="none"/>
              </w:rPr>
            </w:r>
          </w:p>
          <w:p>
            <w:pPr>
              <w:jc w:val="both"/>
              <w:spacing w:before="220"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В случае отсутствия какого-либо приложения к договору или дополнительного соглашения к договору или соглашения о его расторжении, договор считается не предоставленным и не принимается к оценке.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  <w14:ligatures w14:val="none"/>
              </w:rPr>
            </w:r>
          </w:p>
          <w:p>
            <w:pPr>
              <w:jc w:val="both"/>
              <w:spacing w:before="220" w:after="0" w:line="240" w:lineRule="auto"/>
              <w:rPr>
                <w:rFonts w:ascii="Times New Roman" w:hAnsi="Times New Roman" w:eastAsia="Times New Roman"/>
                <w:strike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   </w:t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  <w:t xml:space="preserve"> -</w:t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  <w:t xml:space="preserve">все акты выполне</w:t>
            </w:r>
            <w:r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  <w:t xml:space="preserve">нных работ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,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составленные при исполнении такого договора (договоров).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trike/>
                <w:lang w:eastAsia="ru-RU"/>
                <w14:ligatures w14:val="none"/>
              </w:rPr>
            </w:r>
          </w:p>
          <w:p>
            <w:pPr>
              <w:jc w:val="both"/>
              <w:spacing w:before="220" w:after="0" w:line="240" w:lineRule="auto"/>
              <w:rPr>
                <w:rFonts w:ascii="Times New Roman" w:hAnsi="Times New Roman" w:eastAsia="Times New Roman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При этом, последний акт, составленный при исполнении договора должен быть подписан не ранее чем за 3 года до даты окончания срока подачи заявок;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lang w:eastAsia="ru-RU"/>
                <w14:ligatures w14:val="none"/>
              </w:rPr>
            </w:r>
          </w:p>
          <w:p>
            <w:pPr>
              <w:jc w:val="both"/>
              <w:spacing w:before="220" w:after="0" w:line="240" w:lineRule="auto"/>
              <w:rPr>
                <w:rFonts w:ascii="Times New Roman" w:hAnsi="Times New Roman" w:eastAsia="Times New Roman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В случае отсутствия одного или нескольких документов в составе заявки для подтверждения опыта, или подтверждающ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ие документы прикреплены в формате, не доступном для прочтения, или предоставленные документ(ы) не соответствуют надлежащему их оформлению требованиям законодательства РФ, то такой договор (контракт) не учитывается при оценке заявки по данному показателю к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ритерия.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lang w:eastAsia="ru-RU"/>
                <w14:ligatures w14:val="none"/>
              </w:rPr>
            </w:r>
          </w:p>
          <w:p>
            <w:pPr>
              <w:jc w:val="both"/>
              <w:spacing w:before="220"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В случае если документы, подтверждающие наличие у участника закупки опыта поставки товара, выполнения работы, оказ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ания услуги, связанного с предметом контракта, в том числе исполненный договор (договоры), акт (акты) приемки поставленного товара, выполненных работ, оказанных услуг, составленные при исполнении такого договора (договоров) и информация о таких документах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содержатся в открытых и о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бщедоступных государственных реестрах,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размещенных в информационно-телекоммуникационной сети "Интернет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",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информационно-телекоммуникационной сети "Интернет",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вместо направления таких документов участник закупки вправе направить номер реестровой записи из соответствующего реестра.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  <w14:ligatures w14:val="none"/>
              </w:rPr>
            </w:r>
          </w:p>
        </w:tc>
      </w:tr>
    </w:tbl>
    <w:p>
      <w:r/>
      <w:r/>
    </w:p>
    <w:sectPr>
      <w:footnotePr/>
      <w:endnotePr/>
      <w:type w:val="nextPage"/>
      <w:pgSz w:w="16838" w:h="11906" w:orient="landscape"/>
      <w:pgMar w:top="568" w:right="1134" w:bottom="850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8">
    <w:name w:val="Heading 1"/>
    <w:basedOn w:val="836"/>
    <w:next w:val="836"/>
    <w:link w:val="65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9">
    <w:name w:val="Heading 1 Char"/>
    <w:link w:val="658"/>
    <w:uiPriority w:val="9"/>
    <w:rPr>
      <w:rFonts w:ascii="Arial" w:hAnsi="Arial" w:eastAsia="Arial" w:cs="Arial"/>
      <w:sz w:val="40"/>
      <w:szCs w:val="40"/>
    </w:rPr>
  </w:style>
  <w:style w:type="paragraph" w:styleId="660">
    <w:name w:val="Heading 2"/>
    <w:basedOn w:val="836"/>
    <w:next w:val="836"/>
    <w:link w:val="66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1">
    <w:name w:val="Heading 2 Char"/>
    <w:link w:val="660"/>
    <w:uiPriority w:val="9"/>
    <w:rPr>
      <w:rFonts w:ascii="Arial" w:hAnsi="Arial" w:eastAsia="Arial" w:cs="Arial"/>
      <w:sz w:val="34"/>
    </w:rPr>
  </w:style>
  <w:style w:type="paragraph" w:styleId="662">
    <w:name w:val="Heading 3"/>
    <w:basedOn w:val="836"/>
    <w:next w:val="836"/>
    <w:link w:val="66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3">
    <w:name w:val="Heading 3 Char"/>
    <w:link w:val="662"/>
    <w:uiPriority w:val="9"/>
    <w:rPr>
      <w:rFonts w:ascii="Arial" w:hAnsi="Arial" w:eastAsia="Arial" w:cs="Arial"/>
      <w:sz w:val="30"/>
      <w:szCs w:val="30"/>
    </w:rPr>
  </w:style>
  <w:style w:type="paragraph" w:styleId="664">
    <w:name w:val="Heading 4"/>
    <w:basedOn w:val="836"/>
    <w:next w:val="836"/>
    <w:link w:val="66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5">
    <w:name w:val="Heading 4 Char"/>
    <w:link w:val="664"/>
    <w:uiPriority w:val="9"/>
    <w:rPr>
      <w:rFonts w:ascii="Arial" w:hAnsi="Arial" w:eastAsia="Arial" w:cs="Arial"/>
      <w:b/>
      <w:bCs/>
      <w:sz w:val="26"/>
      <w:szCs w:val="26"/>
    </w:rPr>
  </w:style>
  <w:style w:type="paragraph" w:styleId="666">
    <w:name w:val="Heading 5"/>
    <w:basedOn w:val="836"/>
    <w:next w:val="836"/>
    <w:link w:val="66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7">
    <w:name w:val="Heading 5 Char"/>
    <w:link w:val="666"/>
    <w:uiPriority w:val="9"/>
    <w:rPr>
      <w:rFonts w:ascii="Arial" w:hAnsi="Arial" w:eastAsia="Arial" w:cs="Arial"/>
      <w:b/>
      <w:bCs/>
      <w:sz w:val="24"/>
      <w:szCs w:val="24"/>
    </w:rPr>
  </w:style>
  <w:style w:type="paragraph" w:styleId="668">
    <w:name w:val="Heading 6"/>
    <w:basedOn w:val="836"/>
    <w:next w:val="836"/>
    <w:link w:val="66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9">
    <w:name w:val="Heading 6 Char"/>
    <w:link w:val="668"/>
    <w:uiPriority w:val="9"/>
    <w:rPr>
      <w:rFonts w:ascii="Arial" w:hAnsi="Arial" w:eastAsia="Arial" w:cs="Arial"/>
      <w:b/>
      <w:bCs/>
      <w:sz w:val="22"/>
      <w:szCs w:val="22"/>
    </w:rPr>
  </w:style>
  <w:style w:type="paragraph" w:styleId="670">
    <w:name w:val="Heading 7"/>
    <w:basedOn w:val="836"/>
    <w:next w:val="836"/>
    <w:link w:val="67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1">
    <w:name w:val="Heading 7 Char"/>
    <w:link w:val="67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2">
    <w:name w:val="Heading 8"/>
    <w:basedOn w:val="836"/>
    <w:next w:val="836"/>
    <w:link w:val="67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3">
    <w:name w:val="Heading 8 Char"/>
    <w:link w:val="672"/>
    <w:uiPriority w:val="9"/>
    <w:rPr>
      <w:rFonts w:ascii="Arial" w:hAnsi="Arial" w:eastAsia="Arial" w:cs="Arial"/>
      <w:i/>
      <w:iCs/>
      <w:sz w:val="22"/>
      <w:szCs w:val="22"/>
    </w:rPr>
  </w:style>
  <w:style w:type="paragraph" w:styleId="674">
    <w:name w:val="Heading 9"/>
    <w:basedOn w:val="836"/>
    <w:next w:val="836"/>
    <w:link w:val="67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5">
    <w:name w:val="Heading 9 Char"/>
    <w:link w:val="674"/>
    <w:uiPriority w:val="9"/>
    <w:rPr>
      <w:rFonts w:ascii="Arial" w:hAnsi="Arial" w:eastAsia="Arial" w:cs="Arial"/>
      <w:i/>
      <w:iCs/>
      <w:sz w:val="21"/>
      <w:szCs w:val="21"/>
    </w:rPr>
  </w:style>
  <w:style w:type="paragraph" w:styleId="676">
    <w:name w:val="List Paragraph"/>
    <w:basedOn w:val="836"/>
    <w:uiPriority w:val="34"/>
    <w:qFormat/>
    <w:pPr>
      <w:contextualSpacing/>
      <w:ind w:left="720"/>
    </w:pPr>
  </w:style>
  <w:style w:type="paragraph" w:styleId="677">
    <w:name w:val="No Spacing"/>
    <w:uiPriority w:val="1"/>
    <w:qFormat/>
    <w:pPr>
      <w:spacing w:before="0" w:after="0" w:line="240" w:lineRule="auto"/>
    </w:pPr>
  </w:style>
  <w:style w:type="paragraph" w:styleId="678">
    <w:name w:val="Title"/>
    <w:basedOn w:val="836"/>
    <w:next w:val="836"/>
    <w:link w:val="67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9">
    <w:name w:val="Title Char"/>
    <w:link w:val="678"/>
    <w:uiPriority w:val="10"/>
    <w:rPr>
      <w:sz w:val="48"/>
      <w:szCs w:val="48"/>
    </w:rPr>
  </w:style>
  <w:style w:type="paragraph" w:styleId="680">
    <w:name w:val="Subtitle"/>
    <w:basedOn w:val="836"/>
    <w:next w:val="836"/>
    <w:link w:val="681"/>
    <w:uiPriority w:val="11"/>
    <w:qFormat/>
    <w:pPr>
      <w:spacing w:before="200" w:after="200"/>
    </w:pPr>
    <w:rPr>
      <w:sz w:val="24"/>
      <w:szCs w:val="24"/>
    </w:rPr>
  </w:style>
  <w:style w:type="character" w:styleId="681">
    <w:name w:val="Subtitle Char"/>
    <w:link w:val="680"/>
    <w:uiPriority w:val="11"/>
    <w:rPr>
      <w:sz w:val="24"/>
      <w:szCs w:val="24"/>
    </w:rPr>
  </w:style>
  <w:style w:type="paragraph" w:styleId="682">
    <w:name w:val="Quote"/>
    <w:basedOn w:val="836"/>
    <w:next w:val="836"/>
    <w:link w:val="683"/>
    <w:uiPriority w:val="29"/>
    <w:qFormat/>
    <w:pPr>
      <w:ind w:left="720" w:right="720"/>
    </w:pPr>
    <w:rPr>
      <w:i/>
    </w:rPr>
  </w:style>
  <w:style w:type="character" w:styleId="683">
    <w:name w:val="Quote Char"/>
    <w:link w:val="682"/>
    <w:uiPriority w:val="29"/>
    <w:rPr>
      <w:i/>
    </w:rPr>
  </w:style>
  <w:style w:type="paragraph" w:styleId="684">
    <w:name w:val="Intense Quote"/>
    <w:basedOn w:val="836"/>
    <w:next w:val="836"/>
    <w:link w:val="68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5">
    <w:name w:val="Intense Quote Char"/>
    <w:link w:val="684"/>
    <w:uiPriority w:val="30"/>
    <w:rPr>
      <w:i/>
    </w:rPr>
  </w:style>
  <w:style w:type="paragraph" w:styleId="686">
    <w:name w:val="Header"/>
    <w:basedOn w:val="836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7">
    <w:name w:val="Header Char"/>
    <w:link w:val="686"/>
    <w:uiPriority w:val="99"/>
  </w:style>
  <w:style w:type="paragraph" w:styleId="688">
    <w:name w:val="Footer"/>
    <w:basedOn w:val="836"/>
    <w:link w:val="68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9">
    <w:name w:val="Footer Char"/>
    <w:link w:val="688"/>
    <w:uiPriority w:val="99"/>
  </w:style>
  <w:style w:type="paragraph" w:styleId="690">
    <w:name w:val="Caption"/>
    <w:basedOn w:val="836"/>
    <w:next w:val="836"/>
    <w:link w:val="69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1">
    <w:name w:val="Caption Char"/>
    <w:link w:val="690"/>
    <w:uiPriority w:val="35"/>
    <w:rPr>
      <w:b/>
      <w:bCs/>
      <w:color w:val="4f81bd" w:themeColor="accent1"/>
      <w:sz w:val="18"/>
      <w:szCs w:val="18"/>
    </w:rPr>
  </w:style>
  <w:style w:type="table" w:styleId="692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3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4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5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6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7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9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1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2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3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4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5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6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7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1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4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5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6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7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8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9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0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1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6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7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8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9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0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1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2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4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5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6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7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8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9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0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1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92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3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4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5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6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7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8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9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0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1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2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3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4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5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6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7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8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9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0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1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2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3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4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5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6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7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8">
    <w:name w:val="Hyperlink"/>
    <w:uiPriority w:val="99"/>
    <w:unhideWhenUsed/>
    <w:rPr>
      <w:color w:val="0000ff" w:themeColor="hyperlink"/>
      <w:u w:val="single"/>
    </w:rPr>
  </w:style>
  <w:style w:type="paragraph" w:styleId="819">
    <w:name w:val="footnote text"/>
    <w:basedOn w:val="836"/>
    <w:link w:val="820"/>
    <w:uiPriority w:val="99"/>
    <w:semiHidden/>
    <w:unhideWhenUsed/>
    <w:pPr>
      <w:spacing w:after="40" w:line="240" w:lineRule="auto"/>
    </w:pPr>
    <w:rPr>
      <w:sz w:val="18"/>
    </w:rPr>
  </w:style>
  <w:style w:type="character" w:styleId="820">
    <w:name w:val="Footnote Text Char"/>
    <w:link w:val="819"/>
    <w:uiPriority w:val="99"/>
    <w:rPr>
      <w:sz w:val="18"/>
    </w:rPr>
  </w:style>
  <w:style w:type="character" w:styleId="821">
    <w:name w:val="footnote reference"/>
    <w:uiPriority w:val="99"/>
    <w:unhideWhenUsed/>
    <w:rPr>
      <w:vertAlign w:val="superscript"/>
    </w:rPr>
  </w:style>
  <w:style w:type="paragraph" w:styleId="822">
    <w:name w:val="endnote text"/>
    <w:basedOn w:val="836"/>
    <w:link w:val="823"/>
    <w:uiPriority w:val="99"/>
    <w:semiHidden/>
    <w:unhideWhenUsed/>
    <w:pPr>
      <w:spacing w:after="0" w:line="240" w:lineRule="auto"/>
    </w:pPr>
    <w:rPr>
      <w:sz w:val="20"/>
    </w:rPr>
  </w:style>
  <w:style w:type="character" w:styleId="823">
    <w:name w:val="Endnote Text Char"/>
    <w:link w:val="822"/>
    <w:uiPriority w:val="99"/>
    <w:rPr>
      <w:sz w:val="20"/>
    </w:rPr>
  </w:style>
  <w:style w:type="character" w:styleId="824">
    <w:name w:val="endnote reference"/>
    <w:uiPriority w:val="99"/>
    <w:semiHidden/>
    <w:unhideWhenUsed/>
    <w:rPr>
      <w:vertAlign w:val="superscript"/>
    </w:rPr>
  </w:style>
  <w:style w:type="paragraph" w:styleId="825">
    <w:name w:val="toc 1"/>
    <w:basedOn w:val="836"/>
    <w:next w:val="836"/>
    <w:uiPriority w:val="39"/>
    <w:unhideWhenUsed/>
    <w:pPr>
      <w:ind w:left="0" w:right="0" w:firstLine="0"/>
      <w:spacing w:after="57"/>
    </w:pPr>
  </w:style>
  <w:style w:type="paragraph" w:styleId="826">
    <w:name w:val="toc 2"/>
    <w:basedOn w:val="836"/>
    <w:next w:val="836"/>
    <w:uiPriority w:val="39"/>
    <w:unhideWhenUsed/>
    <w:pPr>
      <w:ind w:left="283" w:right="0" w:firstLine="0"/>
      <w:spacing w:after="57"/>
    </w:pPr>
  </w:style>
  <w:style w:type="paragraph" w:styleId="827">
    <w:name w:val="toc 3"/>
    <w:basedOn w:val="836"/>
    <w:next w:val="836"/>
    <w:uiPriority w:val="39"/>
    <w:unhideWhenUsed/>
    <w:pPr>
      <w:ind w:left="567" w:right="0" w:firstLine="0"/>
      <w:spacing w:after="57"/>
    </w:pPr>
  </w:style>
  <w:style w:type="paragraph" w:styleId="828">
    <w:name w:val="toc 4"/>
    <w:basedOn w:val="836"/>
    <w:next w:val="836"/>
    <w:uiPriority w:val="39"/>
    <w:unhideWhenUsed/>
    <w:pPr>
      <w:ind w:left="850" w:right="0" w:firstLine="0"/>
      <w:spacing w:after="57"/>
    </w:pPr>
  </w:style>
  <w:style w:type="paragraph" w:styleId="829">
    <w:name w:val="toc 5"/>
    <w:basedOn w:val="836"/>
    <w:next w:val="836"/>
    <w:uiPriority w:val="39"/>
    <w:unhideWhenUsed/>
    <w:pPr>
      <w:ind w:left="1134" w:right="0" w:firstLine="0"/>
      <w:spacing w:after="57"/>
    </w:pPr>
  </w:style>
  <w:style w:type="paragraph" w:styleId="830">
    <w:name w:val="toc 6"/>
    <w:basedOn w:val="836"/>
    <w:next w:val="836"/>
    <w:uiPriority w:val="39"/>
    <w:unhideWhenUsed/>
    <w:pPr>
      <w:ind w:left="1417" w:right="0" w:firstLine="0"/>
      <w:spacing w:after="57"/>
    </w:pPr>
  </w:style>
  <w:style w:type="paragraph" w:styleId="831">
    <w:name w:val="toc 7"/>
    <w:basedOn w:val="836"/>
    <w:next w:val="836"/>
    <w:uiPriority w:val="39"/>
    <w:unhideWhenUsed/>
    <w:pPr>
      <w:ind w:left="1701" w:right="0" w:firstLine="0"/>
      <w:spacing w:after="57"/>
    </w:pPr>
  </w:style>
  <w:style w:type="paragraph" w:styleId="832">
    <w:name w:val="toc 8"/>
    <w:basedOn w:val="836"/>
    <w:next w:val="836"/>
    <w:uiPriority w:val="39"/>
    <w:unhideWhenUsed/>
    <w:pPr>
      <w:ind w:left="1984" w:right="0" w:firstLine="0"/>
      <w:spacing w:after="57"/>
    </w:pPr>
  </w:style>
  <w:style w:type="paragraph" w:styleId="833">
    <w:name w:val="toc 9"/>
    <w:basedOn w:val="836"/>
    <w:next w:val="836"/>
    <w:uiPriority w:val="39"/>
    <w:unhideWhenUsed/>
    <w:pPr>
      <w:ind w:left="2268" w:right="0" w:firstLine="0"/>
      <w:spacing w:after="57"/>
    </w:pPr>
  </w:style>
  <w:style w:type="paragraph" w:styleId="834">
    <w:name w:val="TOC Heading"/>
    <w:uiPriority w:val="39"/>
    <w:unhideWhenUsed/>
  </w:style>
  <w:style w:type="paragraph" w:styleId="835">
    <w:name w:val="table of figures"/>
    <w:basedOn w:val="836"/>
    <w:next w:val="836"/>
    <w:uiPriority w:val="99"/>
    <w:unhideWhenUsed/>
    <w:pPr>
      <w:spacing w:after="0" w:afterAutospacing="0"/>
    </w:pPr>
  </w:style>
  <w:style w:type="paragraph" w:styleId="836" w:default="1">
    <w:name w:val="Normal"/>
    <w:next w:val="836"/>
    <w:link w:val="836"/>
    <w:qFormat/>
    <w:pPr>
      <w:spacing w:after="160" w:line="259" w:lineRule="auto"/>
    </w:pPr>
    <w:rPr>
      <w:sz w:val="22"/>
      <w:szCs w:val="22"/>
      <w:lang w:val="ru-RU" w:eastAsia="en-US" w:bidi="ar-SA"/>
    </w:rPr>
  </w:style>
  <w:style w:type="character" w:styleId="837">
    <w:name w:val="Основной шрифт абзаца"/>
    <w:next w:val="837"/>
    <w:link w:val="836"/>
    <w:uiPriority w:val="1"/>
    <w:semiHidden/>
    <w:unhideWhenUsed/>
  </w:style>
  <w:style w:type="table" w:styleId="838">
    <w:name w:val="Обычная таблица"/>
    <w:next w:val="838"/>
    <w:link w:val="836"/>
    <w:uiPriority w:val="99"/>
    <w:semiHidden/>
    <w:unhideWhenUsed/>
    <w:tblPr/>
  </w:style>
  <w:style w:type="numbering" w:styleId="839">
    <w:name w:val="Нет списка"/>
    <w:next w:val="839"/>
    <w:link w:val="836"/>
    <w:uiPriority w:val="99"/>
    <w:semiHidden/>
    <w:unhideWhenUsed/>
  </w:style>
  <w:style w:type="paragraph" w:styleId="840">
    <w:name w:val="ConsPlusNormal"/>
    <w:next w:val="840"/>
    <w:link w:val="836"/>
    <w:pPr>
      <w:widowControl w:val="off"/>
    </w:pPr>
    <w:rPr>
      <w:rFonts w:eastAsia="Times New Roman" w:cs="Calibri"/>
      <w:sz w:val="22"/>
      <w:lang w:val="ru-RU" w:eastAsia="ru-RU" w:bidi="ar-SA"/>
    </w:rPr>
  </w:style>
  <w:style w:type="paragraph" w:styleId="841">
    <w:name w:val="Верхний колонтитул"/>
    <w:basedOn w:val="836"/>
    <w:next w:val="841"/>
    <w:link w:val="84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42">
    <w:name w:val="Верхний колонтитул Знак"/>
    <w:basedOn w:val="837"/>
    <w:next w:val="842"/>
    <w:link w:val="841"/>
    <w:uiPriority w:val="99"/>
  </w:style>
  <w:style w:type="table" w:styleId="843">
    <w:name w:val="Сетка таблицы"/>
    <w:basedOn w:val="838"/>
    <w:next w:val="843"/>
    <w:link w:val="836"/>
    <w:uiPriority w:val="39"/>
    <w:pPr>
      <w:spacing w:after="0" w:line="240" w:lineRule="auto"/>
    </w:pPr>
    <w:tblPr/>
  </w:style>
  <w:style w:type="paragraph" w:styleId="844">
    <w:name w:val="Текст выноски"/>
    <w:basedOn w:val="836"/>
    <w:next w:val="844"/>
    <w:link w:val="84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45">
    <w:name w:val="Текст выноски Знак"/>
    <w:next w:val="845"/>
    <w:link w:val="844"/>
    <w:uiPriority w:val="99"/>
    <w:semiHidden/>
    <w:rPr>
      <w:rFonts w:ascii="Segoe UI" w:hAnsi="Segoe UI" w:cs="Segoe UI"/>
      <w:sz w:val="18"/>
      <w:szCs w:val="18"/>
    </w:rPr>
  </w:style>
  <w:style w:type="paragraph" w:styleId="846">
    <w:name w:val="Обычный (веб)"/>
    <w:basedOn w:val="836"/>
    <w:next w:val="846"/>
    <w:link w:val="836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character" w:styleId="847">
    <w:name w:val="Гиперссылка"/>
    <w:next w:val="847"/>
    <w:link w:val="836"/>
    <w:uiPriority w:val="99"/>
    <w:semiHidden/>
    <w:unhideWhenUsed/>
    <w:rPr>
      <w:color w:val="0000ff"/>
      <w:u w:val="single"/>
    </w:rPr>
  </w:style>
  <w:style w:type="character" w:styleId="848" w:default="1">
    <w:name w:val="Default Paragraph Font"/>
    <w:uiPriority w:val="1"/>
    <w:semiHidden/>
    <w:unhideWhenUsed/>
  </w:style>
  <w:style w:type="numbering" w:styleId="849" w:default="1">
    <w:name w:val="No List"/>
    <w:uiPriority w:val="99"/>
    <w:semiHidden/>
    <w:unhideWhenUsed/>
  </w:style>
  <w:style w:type="table" w:styleId="850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hyperlink" Target="consultantplus://offline/ref=F8FA5A2BA70EB9E83B96F853A8D65232BB3FF6F3FBEF4F58945CB979985A476DBA7AE3ACCFF9568D47AE0B4F46UEn0J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Company>УМЗ Администрации г.Норильска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Елина Ирина Дмитриевна</dc:creator>
  <cp:lastModifiedBy>п</cp:lastModifiedBy>
  <cp:revision>5</cp:revision>
  <dcterms:created xsi:type="dcterms:W3CDTF">2025-01-23T10:20:00Z</dcterms:created>
  <dcterms:modified xsi:type="dcterms:W3CDTF">2026-09-10T12:44:01Z</dcterms:modified>
  <cp:version>917504</cp:version>
</cp:coreProperties>
</file>