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04"/>
        <w:pBdr/>
        <w:spacing w:after="0" w:line="240" w:lineRule="auto"/>
        <w:ind/>
        <w:contextualSpacing w:val="tru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zh-CN"/>
        </w:rPr>
        <w:t xml:space="preserve">Описание объекта закупки </w:t>
      </w:r>
      <w:r>
        <w:rPr>
          <w:rFonts w:ascii="Times New Roman" w:hAnsi="Times New Roman"/>
          <w:b/>
          <w:sz w:val="24"/>
          <w:szCs w:val="24"/>
          <w:lang w:eastAsia="zh-CN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904"/>
        <w:pBdr/>
        <w:spacing w:after="0" w:line="240" w:lineRule="auto"/>
        <w:ind/>
        <w:contextualSpacing w:val="true"/>
        <w:jc w:val="center"/>
        <w:rPr>
          <w:rFonts w:ascii="Times New Roman" w:hAnsi="Times New Roman" w:eastAsia="Times New Roman"/>
          <w:bCs/>
          <w:sz w:val="24"/>
          <w:szCs w:val="24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Поставка лекарственных средств для ветеринарного применения для обеспечения проведения противоэ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пизоотических мероприятий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 в 2026 году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</w:r>
      <w:r>
        <w:rPr>
          <w:rFonts w:ascii="Times New Roman" w:hAnsi="Times New Roman" w:eastAsia="Times New Roman"/>
          <w:bCs/>
          <w:sz w:val="24"/>
          <w:szCs w:val="24"/>
        </w:rPr>
      </w:r>
    </w:p>
    <w:p>
      <w:pPr>
        <w:pStyle w:val="904"/>
        <w:pBdr/>
        <w:spacing w:after="0" w:line="240" w:lineRule="auto"/>
        <w:ind/>
        <w:jc w:val="center"/>
        <w:rPr>
          <w:rFonts w:ascii="Times New Roman" w:hAnsi="Times New Roman" w:eastAsia="Arial Unicode MS"/>
          <w:sz w:val="24"/>
          <w:szCs w:val="24"/>
        </w:rPr>
      </w:pP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Вакцина для профилактической оральной иммунизации против бешенства диких плотоядных животных</w:t>
      </w:r>
      <w:r>
        <w:rPr>
          <w:rFonts w:ascii="Times New Roman" w:hAnsi="Times New Roman" w:eastAsia="Arial Unicode MS"/>
          <w:sz w:val="24"/>
          <w:szCs w:val="24"/>
        </w:rPr>
        <w:t xml:space="preserve">.</w:t>
      </w:r>
      <w:r>
        <w:rPr>
          <w:rFonts w:ascii="Times New Roman" w:hAnsi="Times New Roman" w:eastAsia="Arial Unicode MS"/>
          <w:sz w:val="24"/>
          <w:szCs w:val="24"/>
        </w:rPr>
      </w:r>
    </w:p>
    <w:p w14:paraId="1A409112">
      <w:pPr>
        <w:pStyle w:val="904"/>
        <w:pBdr/>
        <w:spacing w:after="0" w:line="240" w:lineRule="auto"/>
        <w:ind/>
        <w:jc w:val="center"/>
        <w:rPr>
          <w:rFonts w:ascii="Times New Roman" w:hAnsi="Times New Roman" w:eastAsia="Arial Unicode MS"/>
          <w:sz w:val="24"/>
          <w:szCs w:val="24"/>
        </w:rPr>
      </w:pPr>
      <w:r>
        <w:rPr>
          <w:rFonts w:ascii="Times New Roman" w:hAnsi="Times New Roman" w:eastAsia="Arial Unicode MS"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  <w:t xml:space="preserve">Требования к качественным характеристикам вакцины для профилактической оральной иммунизации против бешенства диких плотоядных животных, т</w:t>
      </w:r>
      <w:r>
        <w:rPr>
          <w:rFonts w:ascii="Times New Roman" w:hAnsi="Times New Roman"/>
          <w:b/>
          <w:bCs/>
          <w:sz w:val="24"/>
          <w:szCs w:val="24"/>
        </w:rPr>
        <w:t xml:space="preserve">ребуемой к поставке, включая максимальные и (или) минимальные значения показателей, позволяющих определить соответствие закупаемых товаров установленным Государственным заказчиком требованиям, а также значения таких показателей, которые не могут изменяться</w:t>
      </w:r>
      <w:r>
        <w:rPr>
          <w:rFonts w:ascii="Times New Roman" w:hAnsi="Times New Roman" w:eastAsia="Arial Unicode MS"/>
          <w:sz w:val="24"/>
          <w:szCs w:val="24"/>
        </w:rPr>
      </w: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/>
          <w:b/>
          <w:bCs/>
          <w:sz w:val="24"/>
          <w:szCs w:val="24"/>
        </w:rPr>
      </w:r>
      <w:r>
        <w:rPr>
          <w:rFonts w:ascii="Times New Roman" w:hAnsi="Times New Roman" w:eastAsia="Arial Unicode MS"/>
          <w:sz w:val="24"/>
          <w:szCs w:val="24"/>
        </w:rPr>
      </w:r>
    </w:p>
    <w:tbl>
      <w:tblPr>
        <w:jc w:val="center"/>
        <w:tblInd w:w="-407" w:type="dxa"/>
        <w:tblW w:w="101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  <w:tblLayout w:type="fixed"/>
      </w:tblPr>
      <w:tblGrid>
        <w:gridCol w:w="612"/>
        <w:gridCol w:w="3016"/>
        <w:gridCol w:w="6550"/>
      </w:tblGrid>
      <w:tr>
        <w:trPr/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904"/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  <w:p>
            <w:pPr>
              <w:pStyle w:val="904"/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п/п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3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904"/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  <w:p>
            <w:pPr>
              <w:pStyle w:val="904"/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показателя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  <w:tc>
          <w:tcPr>
            <w:tcW w:w="6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904"/>
              <w:pBdr/>
              <w:spacing w:after="0" w:line="240" w:lineRule="auto"/>
              <w:ind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Требования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</w:p>
        </w:tc>
      </w:tr>
      <w:tr>
        <w:trPr>
          <w:trHeight w:val="405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3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Наименование лекарственного средства для ветеринарного применения в соответствии с нормативным документом (НД)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лекарственного средства для ветеринарного применения в соответствии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указанным в государственном реестре лекарственных средств для ветеринарного применения и 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гистрационном удостоверении лекарственного средства для ветеринарного применения, выданном Федеральной службой по ветеринарному и фитосанитарному надзору в соответствии с Федеральным законом от 12 апреля 2010 г. № 61-ФЗ «Об обращении лекарственных средств»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rPr>
          <w:trHeight w:val="405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3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Номер и срок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действия документа,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подтверждающего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государственную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регистрацию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Указать номер и дату окончания действия документа, подтверждающего государственную регистрацию лекарственного средства для ветеринар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ного применения, выданного Федеральной службой по ветеринарному и фитосанитарному надзору в соответствии с Федеральным законом от 12 апреля 2010 г. № 61-ФЗ «Об обращении лекарственных средств» (срок действия не должен быть истекшим на момент подачи заявки)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rPr>
          <w:trHeight w:val="401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3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Международное непатентованное наименование или при отсутствии такого наименование химическое, группировочное наименование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Вакцина*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rPr>
          <w:trHeight w:val="401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3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Депонирование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Штамм, используемый при производстве зарегистрированного в установленном порядке и допущенных к обращению на территории Российской Федерации лекарственного средства для ветеринарного применения, должен быть депонирован в коллекции 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HYPERLINK "consultantplus://offline/ref=B416AF726A270D4FE2A8AD19640B42D0D28809D77E9F24C4E2837658E0703B0DD65A1CF69DA91AE599BA956BDDD3609C518853F5A42FFD7968s4L" </w:instrText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</w:rPr>
              <w:br w:type="textWrapping" w:clear="all"/>
              <w:t xml:space="preserve">в соответствии со ст. 11 Федерального закона от 30 декабря 2020 г. № 492-ФЗ «О биологической безопасности в Российской Федерации» 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rPr>
          <w:trHeight w:val="425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Профилактика бешенства диких плотоядных животных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45"/>
        </w:trPr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Общие характеристики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Брикет-приманка.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Инфекционная активность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 w14:paraId="16595793">
            <w:pPr>
              <w:pStyle w:val="904"/>
              <w:pBdr/>
              <w:spacing w:after="0" w:line="240" w:lineRule="auto"/>
              <w:ind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В одной иммунизирующей дозе должно содержаться не менее 10 </w:t>
            </w:r>
            <w:r>
              <w:rPr>
                <w:rFonts w:ascii="Times New Roman" w:hAnsi="Times New Roman" w:eastAsia="Times New Roman"/>
                <w:sz w:val="24"/>
                <w:szCs w:val="24"/>
                <w:vertAlign w:val="superscript"/>
                <w:lang w:eastAsia="ru-RU"/>
              </w:rPr>
              <w:t xml:space="preserve">6,0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МЛД </w:t>
            </w:r>
            <w:r>
              <w:rPr>
                <w:rFonts w:ascii="Times New Roman" w:hAnsi="Times New Roman" w:eastAsia="Times New Roman"/>
                <w:sz w:val="24"/>
                <w:szCs w:val="24"/>
                <w:vertAlign w:val="subscript"/>
                <w:lang w:eastAsia="ru-RU"/>
              </w:rPr>
              <w:t xml:space="preserve">50/ см</w:t>
            </w:r>
            <w:r>
              <w:rPr>
                <w:rFonts w:ascii="Times New Roman" w:hAnsi="Times New Roman" w:eastAsia="Times New Roman"/>
                <w:sz w:val="24"/>
                <w:szCs w:val="24"/>
                <w:vertAlign w:val="superscript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или 10 </w:t>
            </w:r>
            <w:r>
              <w:rPr>
                <w:rFonts w:ascii="Times New Roman" w:hAnsi="Times New Roman" w:eastAsia="Times New Roman"/>
                <w:sz w:val="24"/>
                <w:szCs w:val="24"/>
                <w:vertAlign w:val="superscript"/>
                <w:lang w:eastAsia="ru-RU"/>
              </w:rPr>
              <w:t xml:space="preserve">6,0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FFU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vertAlign w:val="subscript"/>
                <w:lang w:eastAsia="ru-RU"/>
              </w:rPr>
              <w:t xml:space="preserve">50/ см</w:t>
            </w:r>
            <w:r>
              <w:rPr>
                <w:rFonts w:ascii="Times New Roman" w:hAnsi="Times New Roman" w:eastAsia="Times New Roman"/>
                <w:sz w:val="24"/>
                <w:szCs w:val="24"/>
                <w:vertAlign w:val="superscript"/>
                <w:lang w:eastAsia="ru-RU"/>
              </w:rPr>
              <w:t xml:space="preserve">3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или </w:t>
            </w:r>
            <w:r>
              <w:rPr>
                <w:rFonts w:ascii="Times New Roman" w:hAnsi="Times New Roman" w:eastAsia="Times New Roman"/>
                <w:sz w:val="24"/>
                <w:szCs w:val="24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10 </w:t>
            </w:r>
            <w:r>
              <w:rPr>
                <w:rFonts w:ascii="Times New Roman" w:hAnsi="Times New Roman" w:eastAsia="Times New Roman"/>
                <w:sz w:val="24"/>
                <w:szCs w:val="24"/>
                <w:vertAlign w:val="superscript"/>
                <w:lang w:eastAsia="ru-RU"/>
              </w:rPr>
              <w:t xml:space="preserve">6,0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lg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ККИД </w:t>
            </w:r>
            <w:r>
              <w:rPr>
                <w:rFonts w:ascii="Times New Roman" w:hAnsi="Times New Roman" w:eastAsia="Times New Roman"/>
                <w:sz w:val="24"/>
                <w:szCs w:val="24"/>
                <w:vertAlign w:val="subscript"/>
                <w:lang w:eastAsia="ru-RU"/>
              </w:rPr>
              <w:t xml:space="preserve">50/ см</w:t>
            </w:r>
            <w:r>
              <w:rPr>
                <w:rFonts w:ascii="Times New Roman" w:hAnsi="Times New Roman" w:eastAsia="Times New Roman"/>
                <w:sz w:val="24"/>
                <w:szCs w:val="24"/>
                <w:vertAlign w:val="superscript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аттенуированного вируса бешенства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Продолжительность иммунитета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менее 1 года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Фасовка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более 1 дозы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годности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менее 10 месяцев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Запах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Специфический, привлекательный для плотоядных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Безвредность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top"/>
          </w:tcPr>
          <w:p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Должна быть безвредна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 w14:paraId="27F92293"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0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 w14:paraId="570A7153"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 w14:paraId="444AF669">
            <w:pPr>
              <w:pStyle w:val="904"/>
              <w:pBdr/>
              <w:spacing w:after="0" w:line="240" w:lineRule="auto"/>
              <w:ind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180 000 шт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904"/>
        <w:pBdr/>
        <w:tabs>
          <w:tab w:val="left" w:leader="none" w:pos="1276"/>
        </w:tabs>
        <w:spacing w:after="0" w:line="240" w:lineRule="auto"/>
        <w:ind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04"/>
        <w:pBdr/>
        <w:tabs>
          <w:tab w:val="left" w:leader="none" w:pos="1276"/>
        </w:tabs>
        <w:spacing w:after="0" w:line="240" w:lineRule="auto"/>
        <w:ind/>
        <w:jc w:val="both"/>
        <w:rPr>
          <w:rFonts w:ascii="Times New Roman" w:hAnsi="Times New Roman" w:eastAsia="Arial Unicode MS"/>
          <w:sz w:val="20"/>
          <w:szCs w:val="20"/>
        </w:rPr>
      </w:pPr>
      <w:r>
        <w:rPr>
          <w:rFonts w:ascii="Times New Roman" w:hAnsi="Times New Roman" w:eastAsia="Arial Unicode MS"/>
          <w:sz w:val="20"/>
          <w:szCs w:val="20"/>
          <w:lang w:eastAsia="ru-RU"/>
        </w:rPr>
        <w:t xml:space="preserve">* указывается в соответствии с регистрационным удостоверением лекарственного препарата для ветеринарного применения</w:t>
      </w:r>
      <w:r>
        <w:rPr>
          <w:rFonts w:ascii="Times New Roman" w:hAnsi="Times New Roman" w:eastAsia="Arial Unicode MS"/>
          <w:sz w:val="20"/>
          <w:szCs w:val="20"/>
          <w:lang w:eastAsia="ru-RU"/>
        </w:rPr>
      </w:r>
      <w:r>
        <w:rPr>
          <w:rFonts w:ascii="Times New Roman" w:hAnsi="Times New Roman" w:eastAsia="Arial Unicode MS"/>
          <w:sz w:val="20"/>
          <w:szCs w:val="20"/>
        </w:rPr>
      </w:r>
    </w:p>
    <w:p>
      <w:pPr>
        <w:pStyle w:val="904"/>
        <w:pBdr/>
        <w:tabs>
          <w:tab w:val="left" w:leader="none" w:pos="1276"/>
        </w:tabs>
        <w:spacing w:after="0" w:line="240" w:lineRule="auto"/>
        <w:ind/>
        <w:jc w:val="both"/>
        <w:rPr>
          <w:rFonts w:ascii="Times New Roman" w:hAnsi="Times New Roman" w:eastAsia="Arial Unicode MS"/>
          <w:sz w:val="24"/>
          <w:szCs w:val="24"/>
        </w:rPr>
      </w:pPr>
      <w:r>
        <w:rPr>
          <w:rFonts w:ascii="Times New Roman" w:hAnsi="Times New Roman" w:eastAsia="Arial Unicode MS"/>
          <w:sz w:val="24"/>
          <w:szCs w:val="24"/>
          <w:lang w:eastAsia="ru-RU"/>
        </w:rPr>
      </w:r>
      <w:r>
        <w:rPr>
          <w:rFonts w:ascii="Times New Roman" w:hAnsi="Times New Roman" w:eastAsia="Arial Unicode MS"/>
          <w:sz w:val="24"/>
          <w:szCs w:val="24"/>
          <w:lang w:eastAsia="ru-RU"/>
        </w:rPr>
      </w:r>
      <w:r>
        <w:rPr>
          <w:rFonts w:ascii="Times New Roman" w:hAnsi="Times New Roman" w:eastAsia="Arial Unicode MS"/>
          <w:sz w:val="24"/>
          <w:szCs w:val="24"/>
        </w:rPr>
      </w:r>
    </w:p>
    <w:p w14:paraId="41ABC1EC">
      <w:pPr>
        <w:pBdr/>
        <w:spacing w:after="0" w:line="240" w:lineRule="auto"/>
        <w:ind w:firstLine="708"/>
        <w:contextualSpacing w:val="tru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Поставщик обеспечивает условия хранения товаров во время транспортировки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включая температурный режим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 w14:paraId="1653B22A">
      <w:pPr>
        <w:pBdr/>
        <w:spacing w:after="0" w:line="240" w:lineRule="auto"/>
        <w:ind w:firstLine="708"/>
        <w:contextualSpacing w:val="tru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В целях отслеживания и контроля оборота Товара на всех этапах, Товар должен проходить через систему маркировки ветеринарных препаратов «Честный знак».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Маркировка Товара содержит наименование изделия, наименование фирмы-изготовителя, юридический адрес изготовителя, дату выпуска и гарантийный срок службы. Маркировка упаковки строго соответствует маркировке Товара.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 w14:paraId="494E693D">
      <w:pPr>
        <w:pBdr/>
        <w:spacing w:after="0" w:line="240" w:lineRule="auto"/>
        <w:ind w:firstLine="708"/>
        <w:contextualSpacing w:val="tru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Упаковка содержит информацию о наименовании и товарном знаке предприятия-изготовителя, полное наименование препарата, номер серии, номер контроля, количество доз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препарата, дата изготовления (мес., год), срок годности, условия хранения и транспортирования. В упаковку вложена инструкция по применению вакцины.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 w14:paraId="0277DDBA">
      <w:pPr>
        <w:pBdr/>
        <w:spacing w:after="0" w:line="240" w:lineRule="auto"/>
        <w:ind w:firstLine="708"/>
        <w:contextualSpacing w:val="tru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Вакцина, поставляемая без маркировки, с нарушением целостности упаковки, условий хранения и/или истекшим сроком годности подлежит утилизации Поставщиком за счет собственных средств.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 w14:paraId="6952FC44">
      <w:pPr>
        <w:pBdr/>
        <w:spacing w:after="0" w:line="240" w:lineRule="auto"/>
        <w:ind w:firstLine="708"/>
        <w:contextualSpacing w:val="tru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Остаточный срок годности не менее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10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месяцев на момент поставки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 w14:paraId="7CCD122F">
      <w:pPr>
        <w:pBdr/>
        <w:spacing w:after="0" w:line="240" w:lineRule="auto"/>
        <w:ind w:firstLine="708"/>
        <w:contextualSpacing w:val="tru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Товар при поставке должен сопровождаться следующими документами: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 w14:paraId="15714B01">
      <w:pPr>
        <w:pBdr/>
        <w:spacing w:after="0" w:line="240" w:lineRule="auto"/>
        <w:ind/>
        <w:contextualSpacing w:val="tru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- инструкция по применению препаратов на русском языке;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 w14:paraId="6A765007">
      <w:pPr>
        <w:pBdr/>
        <w:spacing w:after="0" w:line="240" w:lineRule="auto"/>
        <w:ind/>
        <w:contextualSpacing w:val="tru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регистрационное удостоверение;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 w14:paraId="7864530E">
      <w:pPr>
        <w:pBdr/>
        <w:spacing w:after="0" w:line="240" w:lineRule="auto"/>
        <w:ind/>
        <w:contextualSpacing w:val="tru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сертификат соответствия на товар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 w14:paraId="41A14DA7">
      <w:pPr>
        <w:pBdr/>
        <w:spacing w:after="0" w:line="240" w:lineRule="auto"/>
        <w:ind/>
        <w:contextualSpacing w:val="tru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документ, подтверждающий качество поставленной серии Товара.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 w14:paraId="23600D35">
      <w:pPr>
        <w:pBdr/>
        <w:spacing w:after="0" w:line="240" w:lineRule="auto"/>
        <w:ind/>
        <w:contextualSpacing w:val="tru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         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 К поставке принимаются лекарственные препараты для ветеринарного применения, имеющие регистрационное удостоверение лекарственного препарата для ветеринарного применения, выданного уполномоченным органом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государством-членом Евразийского экономического союза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</w:r>
    </w:p>
    <w:p w14:paraId="35102750">
      <w:pPr>
        <w:pBdr/>
        <w:tabs>
          <w:tab w:val="num" w:leader="none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оставщик обязан осуществить доставку товаров до места назначения способом, обеспечивающим их сохранность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без повторного замораживания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т. е. обеспечить транспортировку при температуре от минус 10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°С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до минус 20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°С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7E51FA1B"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 случае передачи товара ненадлежащего качества Поставщик обязан своими средствами и за свой произвести замену некачественного товара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качественный.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2654A228"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Поставка Товара, все виды погрузоразгрузочных работ, включая  работы с применением  грузоподъемных средств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lang w:eastAsia="en-US"/>
        </w:rPr>
        <w:t xml:space="preserve"> осуществляется силами и средствами Поставщика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Местом поставки товара и местом исполнения обязательств по настоящему Договору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(далее – место поставки)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является ГБУ ЗО  «Ветеринарный центр» с адресами: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 w14:paraId="4CE4AEB3">
      <w:pPr>
        <w:pStyle w:val="953"/>
        <w:numPr>
          <w:ilvl w:val="0"/>
          <w:numId w:val="7"/>
        </w:numPr>
        <w:pBdr/>
        <w:tabs>
          <w:tab w:val="num" w:leader="none" w:pos="0"/>
        </w:tabs>
        <w:spacing w:line="240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Центральный офис -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Запорожская область, г. Мелитополь, ул. Седовцев, д.101/1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 w14:paraId="332F31B3">
      <w:pPr>
        <w:pStyle w:val="868"/>
        <w:widowControl w:val="false"/>
        <w:numPr>
          <w:ilvl w:val="0"/>
          <w:numId w:val="7"/>
        </w:numPr>
        <w:pBdr/>
        <w:tabs>
          <w:tab w:val="left" w:leader="none" w:pos="716"/>
        </w:tabs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 г. Мелитополь</w:t>
      </w:r>
      <w:r>
        <w:rPr>
          <w:rFonts w:ascii="Times New Roman" w:hAnsi="Times New Roman" w:eastAsia="Times New Roman" w:cs="Times New Roman"/>
          <w:color w:val="000000" w:themeColor="text1"/>
          <w:position w:val="1"/>
          <w:sz w:val="24"/>
          <w:szCs w:val="24"/>
        </w:rPr>
        <w:t xml:space="preserve">, </w:t>
      </w:r>
      <w:bookmarkStart w:id="0" w:name="_Hlk154585221"/>
      <w:r>
        <w:rPr>
          <w:rFonts w:ascii="Times New Roman" w:hAnsi="Times New Roman" w:eastAsia="Times New Roman" w:cs="Times New Roman"/>
          <w:color w:val="000000" w:themeColor="text1"/>
          <w:position w:val="1"/>
          <w:sz w:val="24"/>
          <w:szCs w:val="24"/>
        </w:rPr>
        <w:t xml:space="preserve">расположенный по адресу:</w:t>
      </w:r>
      <w:bookmarkEnd w:id="0"/>
      <w:r>
        <w:rPr>
          <w:rFonts w:ascii="Times New Roman" w:hAnsi="Times New Roman" w:eastAsia="Times New Roman" w:cs="Times New Roman"/>
          <w:color w:val="000000" w:themeColor="text1"/>
          <w:position w:val="-1"/>
          <w:sz w:val="24"/>
          <w:szCs w:val="24"/>
        </w:rPr>
        <w:t xml:space="preserve"> 272313, Российская Федерация, Запорожская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область, г. Мелитополь, ул. Ломоносова, 101.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 w14:paraId="6C5FEC27">
      <w:pPr>
        <w:pStyle w:val="868"/>
        <w:widowControl w:val="false"/>
        <w:numPr>
          <w:ilvl w:val="0"/>
          <w:numId w:val="7"/>
        </w:numPr>
        <w:pBdr/>
        <w:tabs>
          <w:tab w:val="left" w:leader="none" w:pos="716"/>
        </w:tabs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 Мелитопольском районе,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расположенный по адресу: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272309, Российская Федерация, Запорожская область, г. Мелитополь, ул.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Седовцев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, 101/1.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 w14:paraId="3F0F4EC0">
      <w:pPr>
        <w:pStyle w:val="868"/>
        <w:widowControl w:val="false"/>
        <w:numPr>
          <w:ilvl w:val="0"/>
          <w:numId w:val="7"/>
        </w:numPr>
        <w:pBdr/>
        <w:tabs>
          <w:tab w:val="left" w:leader="none" w:pos="716"/>
        </w:tabs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 Веселовском районе,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расположенный по адресу: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272202, Российская Федерация, Запорожская область, Веселовский район, пгт. Веселое, ул. Пушкина, 2А.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 w14:paraId="0DEB82BD">
      <w:pPr>
        <w:pStyle w:val="868"/>
        <w:widowControl w:val="false"/>
        <w:numPr>
          <w:ilvl w:val="0"/>
          <w:numId w:val="7"/>
        </w:numPr>
        <w:pBdr/>
        <w:tabs>
          <w:tab w:val="left" w:leader="none" w:pos="716"/>
        </w:tabs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Филиал ГБУ Запорожской области «Ветеринарный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центр»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                            в Приазовском районе,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расположенный по адресу: 272401,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Российская Федерация, Запорожская область, Приазовский район, пгт. Приазовское, ул. Богдана Хмельницкого, 21.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 w14:paraId="0D1C9B7F">
      <w:pPr>
        <w:widowControl w:val="false"/>
        <w:pBdr/>
        <w:tabs>
          <w:tab w:val="left" w:leader="none" w:pos="716"/>
        </w:tabs>
        <w:spacing w:after="0" w:line="240" w:lineRule="auto"/>
        <w:ind w:firstLine="0"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 Акимовском районе,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расположенный по адресу: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272503, Российская Федерация, Запорожская область, Акимовский район, пгт. Акимовка, ул. Центральная (Ленина), 170.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 w14:paraId="70B763E0">
      <w:pPr>
        <w:pStyle w:val="868"/>
        <w:widowControl w:val="false"/>
        <w:numPr>
          <w:ilvl w:val="0"/>
          <w:numId w:val="7"/>
        </w:numPr>
        <w:pBdr/>
        <w:tabs>
          <w:tab w:val="left" w:leader="none" w:pos="720"/>
        </w:tabs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 Васильевском районе,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расположенный по адресу: 271601,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Российская Федерация, Запорожская область, Васильевский район, с. Подгорное,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Ветгородок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, 2.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 w14:paraId="3BFD8B8C">
      <w:pPr>
        <w:pStyle w:val="868"/>
        <w:widowControl w:val="false"/>
        <w:numPr>
          <w:ilvl w:val="0"/>
          <w:numId w:val="7"/>
        </w:numPr>
        <w:pBdr/>
        <w:tabs>
          <w:tab w:val="left" w:leader="none" w:pos="720"/>
        </w:tabs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Филиал ГБУ Запорожской области «Ветеринарный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центр»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 Михайловском районе,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расположенный по адресу: 272002,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Российская Федерация, Запорожская область, Михайловский район, пгт. Михайловка, ул. Артезианская, 8.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 w14:paraId="329AB2F3">
      <w:pPr>
        <w:pStyle w:val="868"/>
        <w:widowControl w:val="false"/>
        <w:numPr>
          <w:ilvl w:val="0"/>
          <w:numId w:val="7"/>
        </w:numPr>
        <w:pBdr/>
        <w:tabs>
          <w:tab w:val="left" w:leader="none" w:pos="720"/>
        </w:tabs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Филиал ГБУ Запорожской области «Ветеринарный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центр»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Каменско-Днепровском районе,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расположенный по адресу: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271304, Российская Федерация, Запорожская область, Каменско-Днепровский район, г. Каменка-Днепровская, ул. Маяковского, 71.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 w14:paraId="37C3E17D">
      <w:pPr>
        <w:pStyle w:val="868"/>
        <w:widowControl w:val="false"/>
        <w:numPr>
          <w:ilvl w:val="0"/>
          <w:numId w:val="7"/>
        </w:numPr>
        <w:pBdr/>
        <w:tabs>
          <w:tab w:val="left" w:leader="none" w:pos="730"/>
        </w:tabs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Филиал ГБУ Запорожской области «Ветеринарный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центр»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в городе Бердянске и Бердянском районе,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расположенный по адресу: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271100,  Российская Федерация, Запорожская область, г. Бердянск, ул. Коммунаров, 1-А.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 w14:paraId="27C60D45">
      <w:pPr>
        <w:pStyle w:val="868"/>
        <w:widowControl w:val="false"/>
        <w:numPr>
          <w:ilvl w:val="0"/>
          <w:numId w:val="7"/>
        </w:numPr>
        <w:pBdr/>
        <w:tabs>
          <w:tab w:val="left" w:leader="none" w:pos="725"/>
          <w:tab w:val="left" w:leader="none" w:pos="3092"/>
        </w:tabs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 Черниговском районе,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расположенный по адресу: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271202, Российская Федерация, Запорожская область, Черниговский район, пгт. Черниговка, ул. Украинская, 94.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 w14:paraId="488421B1">
      <w:pPr>
        <w:pStyle w:val="868"/>
        <w:widowControl w:val="false"/>
        <w:numPr>
          <w:ilvl w:val="0"/>
          <w:numId w:val="7"/>
        </w:numPr>
        <w:pBdr/>
        <w:tabs>
          <w:tab w:val="left" w:leader="none" w:pos="725"/>
        </w:tabs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 Приморском районе,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расположенный по адресу: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272102, Российская Федерация, Запорожская область, Приморский район, г. Приморск, ул. Мелитопольское шоссе, 13.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 w14:paraId="5197DF7D">
      <w:pPr>
        <w:pStyle w:val="868"/>
        <w:widowControl w:val="false"/>
        <w:numPr>
          <w:ilvl w:val="0"/>
          <w:numId w:val="7"/>
        </w:numPr>
        <w:pBdr/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 Токмакском районе,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расположенный по адресу: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271700, Российская Федерация, Запорожская область, Токмакский район, г. Токмак, ул. Степная, 4.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 w14:paraId="2CAC146B">
      <w:pPr>
        <w:pStyle w:val="868"/>
        <w:widowControl w:val="false"/>
        <w:numPr>
          <w:ilvl w:val="0"/>
          <w:numId w:val="7"/>
        </w:numPr>
        <w:pBdr/>
        <w:spacing w:after="0" w:line="240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Филиал ГБУ Запорожской области «Ветеринарный центр» в Куйбышевском районе,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расположенный по адресу: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271001, Российская Федерация, Запорожская область, Куйбышевский район, пгт. Куйбышево, ул. Николая Шумейко, 96.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 w14:paraId="2718BA47">
      <w:pPr>
        <w:pBdr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3185FCC8">
      <w:pPr>
        <w:pBdr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Пост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авка осуществляется в течение 10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дней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 дня, следующего за днем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получения заявки от заказчика на адрес электронной почты поставщика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В заявке Заказки должен указать количество Товара, доставляемого по каждому адресу и контактные данны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 ответственных должностных лиц Заказчика в каждом филиале, при этом весь товар должен быть доставлен единоразово в сжатые сроки. Поставщик за один рабочий день до даты предполагаемой поставки извещает ответственных сотрудноков Заказчика о поставке Товара.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4"/>
        <w:pBdr/>
        <w:spacing w:after="0" w:line="240" w:lineRule="auto"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4"/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5D1CE3E3">
      <w:pPr>
        <w:pBdr/>
        <w:spacing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>
        <w:numFmt w:val="decimal"/>
      </w:endnotePr>
      <w:type w:val="nextPage"/>
      <w:pgSz w:h="16838" w:orient="portrait" w:w="11906"/>
      <w:pgMar w:top="851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Verdana">
    <w:panose1 w:val="020B0604030504040204"/>
  </w:font>
  <w:font w:name="Segoe UI">
    <w:panose1 w:val="020B0502040204020203"/>
  </w:font>
  <w:font w:name="Arial Unicode MS">
    <w:panose1 w:val="020B0604020202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</w:p>
  </w:footnote>
  <w:footnote w:type="continuationSeparator" w:id="0">
    <w:p>
      <w:pPr>
        <w:pBdr/>
        <w:spacing/>
        <w:ind/>
        <w:rPr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7372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1C4B182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2D804732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3">
    <w:nsid w:val="59EC6C53"/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4">
    <w:nsid w:val="793130C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38183581"/>
    <w:lvl w:ilvl="0">
      <w:isLgl w:val="false"/>
      <w:lvlJc w:val="left"/>
      <w:lvlText w:val=""/>
      <w:numFmt w:val="bullet"/>
      <w:pPr>
        <w:pBdr/>
        <w:spacing/>
        <w:ind w:hanging="360" w:left="1287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007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727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447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167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887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607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327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047"/>
      </w:pPr>
      <w:rPr>
        <w:rFonts w:hint="default" w:ascii="Wingdings" w:hAnsi="Wingdings"/>
      </w:rPr>
      <w:start w:val="1"/>
      <w:suff w:val="tab"/>
    </w:lvl>
  </w:abstractNum>
  <w:abstractNum w:abstractNumId="6">
    <w:nsid w:val="6B643504"/>
    <w:lvl w:ilvl="0">
      <w:isLgl w:val="false"/>
      <w:lvlJc w:val="left"/>
      <w:lvlText w:val="–"/>
      <w:numFmt w:val="bullet"/>
      <w:pPr>
        <w:pBdr/>
        <w:spacing/>
        <w:ind w:hanging="360" w:left="720"/>
      </w:pPr>
      <w:rPr>
        <w:rFonts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Table Grid"/>
    <w:basedOn w:val="71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Table Grid Light"/>
    <w:basedOn w:val="71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Plain Table 1"/>
    <w:basedOn w:val="71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Plain Table 2"/>
    <w:basedOn w:val="71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Plain Table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Plain Table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Plain Table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1 Light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1 Light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1 Light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1 Light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1 Light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1 Light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1 Light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2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2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2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2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2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2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3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3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3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3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3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3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4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4 - Accent 1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ce6f2" w:themeFill="accent1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bc2" w:themeFill="accent1" w:themeFillTint="E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4 - Accent 2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a9796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4 - Accent 3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b5a" w:themeFill="accent3" w:themeFillTint="FE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4 - Accent 4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7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4 - Accent 5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4 - Accent 6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5 Dark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5 Dark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75" w:fill="aec5e1" w:themeFill="accen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75" w:fill="aec5e1" w:themeFill="accen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5 Dark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75" w:fill="e2afad" w:themeFill="accent2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75" w:fill="e2afad" w:themeFill="accent2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5 Dark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75" w:fill="d1e0b3" w:themeFill="accent3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75" w:fill="d1e0b3" w:themeFill="accent3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5 Dark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75" w:fill="c5b8d4" w:themeFill="accent4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75" w:fill="c5b8d4" w:themeFill="accent4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5 Dark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75" w:fill="acd9e5" w:themeFill="accent5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75" w:fill="acd9e5" w:themeFill="accent5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5 Dark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75" w:fill="fbcfaa" w:themeFill="accent6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75" w:fill="fbcfaa" w:themeFill="accent6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6 Colorful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6 Colorful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6 Colorful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6 Colorful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6 Colorful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6 Colorful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6 Colorful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7 Colorful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7 Colorful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7 Colorful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7 Colorful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7 Colorful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7 Colorful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7 Colorful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1 Light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1 Light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1 Light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1 Light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1 Light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1 Light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1 Light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2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2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2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2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2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2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3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3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3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98" w:fill="c3d69c" w:themeFill="accent3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3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3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9A" w:fill="92cddd" w:themeFill="accent5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3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98" w:fill="fac091" w:themeFill="accent6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4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4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4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4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4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4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5 Dark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5 Dark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5 Dark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a9796" w:themeFill="accent2" w:themeFillTint="97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a9796" w:themeFill="accent2" w:themeFillTint="97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a9796" w:themeFill="accent2" w:themeFillTint="97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a9796" w:themeFill="accent2" w:themeFillTint="97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5 Dark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c" w:themeFill="accent3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c" w:themeFill="accent3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c" w:themeFill="accent3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c" w:themeFill="accent3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5 Dark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7" w:themeFill="accent4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7" w:themeFill="accent4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7" w:themeFill="accent4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7" w:themeFill="accent4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5 Dark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2cddd" w:themeFill="accent5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2cddd" w:themeFill="accent5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2cddd" w:themeFill="accent5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2cddd" w:themeFill="accent5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5 Dark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ac091" w:themeFill="accent6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ac091" w:themeFill="accent6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ac091" w:themeFill="accent6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ac091" w:themeFill="accent6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6 Colorful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6 Colorful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6 Colorful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6 Colorful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6 Colorful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6 Colorful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6 Colorful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7 Colorful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7 Colorful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7 Colorful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7 Colorful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7 Colorful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7 Colorful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7 Colorful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ned - Accent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ned - Accent 1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ned - Accent 2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ned - Accent 3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ned - Accent 4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ned - Accent 5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ned - Accent 6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&amp; Lined - Accent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&amp; Lined - Accent 1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&amp; Lined - Accent 2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&amp; Lined - Accent 3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&amp; Lined - Accent 4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&amp; Lined - Accent 5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&amp; Lined - Accent 6"/>
    <w:basedOn w:val="71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2">
    <w:name w:val="Heading 1"/>
    <w:basedOn w:val="904"/>
    <w:next w:val="904"/>
    <w:link w:val="85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43">
    <w:name w:val="Heading 2"/>
    <w:basedOn w:val="904"/>
    <w:next w:val="904"/>
    <w:link w:val="85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44">
    <w:name w:val="Heading 3"/>
    <w:basedOn w:val="904"/>
    <w:next w:val="904"/>
    <w:link w:val="85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45">
    <w:name w:val="Heading 4"/>
    <w:basedOn w:val="904"/>
    <w:next w:val="904"/>
    <w:link w:val="85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46">
    <w:name w:val="Heading 5"/>
    <w:basedOn w:val="904"/>
    <w:next w:val="904"/>
    <w:link w:val="85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7">
    <w:name w:val="Heading 6"/>
    <w:basedOn w:val="904"/>
    <w:next w:val="904"/>
    <w:link w:val="85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8">
    <w:name w:val="Heading 7"/>
    <w:basedOn w:val="904"/>
    <w:next w:val="904"/>
    <w:link w:val="85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9">
    <w:name w:val="Heading 8"/>
    <w:basedOn w:val="904"/>
    <w:next w:val="904"/>
    <w:link w:val="86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50">
    <w:name w:val="Heading 9"/>
    <w:basedOn w:val="904"/>
    <w:next w:val="904"/>
    <w:link w:val="86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51" w:default="1">
    <w:name w:val="Default Paragraph Font"/>
    <w:uiPriority w:val="1"/>
    <w:semiHidden/>
    <w:unhideWhenUsed/>
    <w:pPr>
      <w:pBdr/>
      <w:spacing/>
      <w:ind/>
    </w:pPr>
  </w:style>
  <w:style w:type="numbering" w:styleId="852" w:default="1">
    <w:name w:val="No List"/>
    <w:uiPriority w:val="99"/>
    <w:semiHidden/>
    <w:unhideWhenUsed/>
    <w:pPr>
      <w:pBdr/>
      <w:spacing/>
      <w:ind/>
    </w:pPr>
  </w:style>
  <w:style w:type="character" w:styleId="853">
    <w:name w:val="Heading 1 Char"/>
    <w:basedOn w:val="851"/>
    <w:link w:val="8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4">
    <w:name w:val="Heading 2 Char"/>
    <w:basedOn w:val="851"/>
    <w:link w:val="8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5">
    <w:name w:val="Heading 3 Char"/>
    <w:basedOn w:val="851"/>
    <w:link w:val="84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6">
    <w:name w:val="Heading 4 Char"/>
    <w:basedOn w:val="851"/>
    <w:link w:val="84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7">
    <w:name w:val="Heading 5 Char"/>
    <w:basedOn w:val="851"/>
    <w:link w:val="84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8">
    <w:name w:val="Heading 6 Char"/>
    <w:basedOn w:val="851"/>
    <w:link w:val="84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9">
    <w:name w:val="Heading 7 Char"/>
    <w:basedOn w:val="851"/>
    <w:link w:val="84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0">
    <w:name w:val="Heading 8 Char"/>
    <w:basedOn w:val="851"/>
    <w:link w:val="84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1">
    <w:name w:val="Heading 9 Char"/>
    <w:basedOn w:val="851"/>
    <w:link w:val="85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62">
    <w:name w:val="Title"/>
    <w:basedOn w:val="904"/>
    <w:next w:val="904"/>
    <w:link w:val="86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63">
    <w:name w:val="Title Char"/>
    <w:basedOn w:val="851"/>
    <w:link w:val="86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64">
    <w:name w:val="Subtitle"/>
    <w:basedOn w:val="904"/>
    <w:next w:val="904"/>
    <w:link w:val="86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5">
    <w:name w:val="Subtitle Char"/>
    <w:basedOn w:val="851"/>
    <w:link w:val="86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6">
    <w:name w:val="Quote"/>
    <w:basedOn w:val="904"/>
    <w:next w:val="904"/>
    <w:link w:val="86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7">
    <w:name w:val="Quote Char"/>
    <w:basedOn w:val="851"/>
    <w:link w:val="866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68">
    <w:name w:val="List Paragraph"/>
    <w:basedOn w:val="904"/>
    <w:uiPriority w:val="34"/>
    <w:qFormat/>
    <w:pPr>
      <w:pBdr/>
      <w:spacing/>
      <w:ind w:left="720"/>
      <w:contextualSpacing w:val="true"/>
    </w:pPr>
  </w:style>
  <w:style w:type="character" w:styleId="869">
    <w:name w:val="Intense Emphasis"/>
    <w:basedOn w:val="85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70">
    <w:name w:val="Intense Quote"/>
    <w:basedOn w:val="904"/>
    <w:next w:val="904"/>
    <w:link w:val="87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71">
    <w:name w:val="Intense Quote Char"/>
    <w:basedOn w:val="851"/>
    <w:link w:val="87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72">
    <w:name w:val="Intense Reference"/>
    <w:basedOn w:val="85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73">
    <w:name w:val="No Spacing"/>
    <w:basedOn w:val="904"/>
    <w:uiPriority w:val="1"/>
    <w:qFormat/>
    <w:pPr>
      <w:pBdr/>
      <w:spacing w:after="0" w:line="240" w:lineRule="auto"/>
      <w:ind/>
    </w:pPr>
  </w:style>
  <w:style w:type="character" w:styleId="874">
    <w:name w:val="Subtle Emphasis"/>
    <w:basedOn w:val="85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5">
    <w:name w:val="Emphasis"/>
    <w:basedOn w:val="851"/>
    <w:uiPriority w:val="20"/>
    <w:qFormat/>
    <w:pPr>
      <w:pBdr/>
      <w:spacing/>
      <w:ind/>
    </w:pPr>
    <w:rPr>
      <w:i/>
      <w:iCs/>
    </w:rPr>
  </w:style>
  <w:style w:type="character" w:styleId="876">
    <w:name w:val="Strong"/>
    <w:basedOn w:val="851"/>
    <w:uiPriority w:val="22"/>
    <w:qFormat/>
    <w:pPr>
      <w:pBdr/>
      <w:spacing/>
      <w:ind/>
    </w:pPr>
    <w:rPr>
      <w:b/>
      <w:bCs/>
    </w:rPr>
  </w:style>
  <w:style w:type="character" w:styleId="877">
    <w:name w:val="Subtle Reference"/>
    <w:basedOn w:val="85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8">
    <w:name w:val="Book Title"/>
    <w:basedOn w:val="85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9">
    <w:name w:val="Header"/>
    <w:basedOn w:val="904"/>
    <w:link w:val="88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0">
    <w:name w:val="Header Char"/>
    <w:basedOn w:val="851"/>
    <w:link w:val="879"/>
    <w:uiPriority w:val="99"/>
    <w:pPr>
      <w:pBdr/>
      <w:spacing/>
      <w:ind/>
    </w:pPr>
  </w:style>
  <w:style w:type="paragraph" w:styleId="881">
    <w:name w:val="Footer"/>
    <w:basedOn w:val="904"/>
    <w:link w:val="88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2">
    <w:name w:val="Footer Char"/>
    <w:basedOn w:val="851"/>
    <w:link w:val="881"/>
    <w:uiPriority w:val="99"/>
    <w:pPr>
      <w:pBdr/>
      <w:spacing/>
      <w:ind/>
    </w:pPr>
  </w:style>
  <w:style w:type="paragraph" w:styleId="883">
    <w:name w:val="Caption"/>
    <w:basedOn w:val="904"/>
    <w:next w:val="90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84">
    <w:name w:val="footnote text"/>
    <w:basedOn w:val="904"/>
    <w:link w:val="8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5">
    <w:name w:val="Footnote Text Char"/>
    <w:basedOn w:val="851"/>
    <w:link w:val="884"/>
    <w:uiPriority w:val="99"/>
    <w:semiHidden/>
    <w:pPr>
      <w:pBdr/>
      <w:spacing/>
      <w:ind/>
    </w:pPr>
    <w:rPr>
      <w:sz w:val="20"/>
      <w:szCs w:val="20"/>
    </w:rPr>
  </w:style>
  <w:style w:type="character" w:styleId="886">
    <w:name w:val="footnote reference"/>
    <w:basedOn w:val="851"/>
    <w:uiPriority w:val="99"/>
    <w:semiHidden/>
    <w:unhideWhenUsed/>
    <w:pPr>
      <w:pBdr/>
      <w:spacing/>
      <w:ind/>
    </w:pPr>
    <w:rPr>
      <w:vertAlign w:val="superscript"/>
    </w:rPr>
  </w:style>
  <w:style w:type="paragraph" w:styleId="887">
    <w:name w:val="endnote text"/>
    <w:basedOn w:val="904"/>
    <w:link w:val="88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8">
    <w:name w:val="Endnote Text Char"/>
    <w:basedOn w:val="851"/>
    <w:link w:val="887"/>
    <w:uiPriority w:val="99"/>
    <w:semiHidden/>
    <w:pPr>
      <w:pBdr/>
      <w:spacing/>
      <w:ind/>
    </w:pPr>
    <w:rPr>
      <w:sz w:val="20"/>
      <w:szCs w:val="20"/>
    </w:rPr>
  </w:style>
  <w:style w:type="character" w:styleId="889">
    <w:name w:val="endnote reference"/>
    <w:basedOn w:val="851"/>
    <w:uiPriority w:val="99"/>
    <w:semiHidden/>
    <w:unhideWhenUsed/>
    <w:pPr>
      <w:pBdr/>
      <w:spacing/>
      <w:ind/>
    </w:pPr>
    <w:rPr>
      <w:vertAlign w:val="superscript"/>
    </w:rPr>
  </w:style>
  <w:style w:type="character" w:styleId="890">
    <w:name w:val="Hyperlink"/>
    <w:basedOn w:val="85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91">
    <w:name w:val="FollowedHyperlink"/>
    <w:basedOn w:val="85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92">
    <w:name w:val="toc 1"/>
    <w:basedOn w:val="904"/>
    <w:next w:val="904"/>
    <w:uiPriority w:val="39"/>
    <w:unhideWhenUsed/>
    <w:pPr>
      <w:pBdr/>
      <w:spacing w:after="100"/>
      <w:ind/>
    </w:pPr>
  </w:style>
  <w:style w:type="paragraph" w:styleId="893">
    <w:name w:val="toc 2"/>
    <w:basedOn w:val="904"/>
    <w:next w:val="904"/>
    <w:uiPriority w:val="39"/>
    <w:unhideWhenUsed/>
    <w:pPr>
      <w:pBdr/>
      <w:spacing w:after="100"/>
      <w:ind w:left="220"/>
    </w:pPr>
  </w:style>
  <w:style w:type="paragraph" w:styleId="894">
    <w:name w:val="toc 3"/>
    <w:basedOn w:val="904"/>
    <w:next w:val="904"/>
    <w:uiPriority w:val="39"/>
    <w:unhideWhenUsed/>
    <w:pPr>
      <w:pBdr/>
      <w:spacing w:after="100"/>
      <w:ind w:left="440"/>
    </w:pPr>
  </w:style>
  <w:style w:type="paragraph" w:styleId="895">
    <w:name w:val="toc 4"/>
    <w:basedOn w:val="904"/>
    <w:next w:val="904"/>
    <w:uiPriority w:val="39"/>
    <w:unhideWhenUsed/>
    <w:pPr>
      <w:pBdr/>
      <w:spacing w:after="100"/>
      <w:ind w:left="660"/>
    </w:pPr>
  </w:style>
  <w:style w:type="paragraph" w:styleId="896">
    <w:name w:val="toc 5"/>
    <w:basedOn w:val="904"/>
    <w:next w:val="904"/>
    <w:uiPriority w:val="39"/>
    <w:unhideWhenUsed/>
    <w:pPr>
      <w:pBdr/>
      <w:spacing w:after="100"/>
      <w:ind w:left="880"/>
    </w:pPr>
  </w:style>
  <w:style w:type="paragraph" w:styleId="897">
    <w:name w:val="toc 6"/>
    <w:basedOn w:val="904"/>
    <w:next w:val="904"/>
    <w:uiPriority w:val="39"/>
    <w:unhideWhenUsed/>
    <w:pPr>
      <w:pBdr/>
      <w:spacing w:after="100"/>
      <w:ind w:left="1100"/>
    </w:pPr>
  </w:style>
  <w:style w:type="paragraph" w:styleId="898">
    <w:name w:val="toc 7"/>
    <w:basedOn w:val="904"/>
    <w:next w:val="904"/>
    <w:uiPriority w:val="39"/>
    <w:unhideWhenUsed/>
    <w:pPr>
      <w:pBdr/>
      <w:spacing w:after="100"/>
      <w:ind w:left="1320"/>
    </w:pPr>
  </w:style>
  <w:style w:type="paragraph" w:styleId="899">
    <w:name w:val="toc 8"/>
    <w:basedOn w:val="904"/>
    <w:next w:val="904"/>
    <w:uiPriority w:val="39"/>
    <w:unhideWhenUsed/>
    <w:pPr>
      <w:pBdr/>
      <w:spacing w:after="100"/>
      <w:ind w:left="1540"/>
    </w:pPr>
  </w:style>
  <w:style w:type="paragraph" w:styleId="900">
    <w:name w:val="toc 9"/>
    <w:basedOn w:val="904"/>
    <w:next w:val="904"/>
    <w:uiPriority w:val="39"/>
    <w:unhideWhenUsed/>
    <w:pPr>
      <w:pBdr/>
      <w:spacing w:after="100"/>
      <w:ind w:left="1760"/>
    </w:pPr>
  </w:style>
  <w:style w:type="character" w:styleId="901">
    <w:name w:val="Placeholder Text"/>
    <w:basedOn w:val="851"/>
    <w:uiPriority w:val="99"/>
    <w:semiHidden/>
    <w:pPr>
      <w:pBdr/>
      <w:spacing/>
      <w:ind/>
    </w:pPr>
    <w:rPr>
      <w:color w:val="666666"/>
    </w:rPr>
  </w:style>
  <w:style w:type="paragraph" w:styleId="902">
    <w:name w:val="TOC Heading"/>
    <w:uiPriority w:val="39"/>
    <w:unhideWhenUsed/>
    <w:pPr>
      <w:pBdr/>
      <w:spacing/>
      <w:ind/>
    </w:pPr>
  </w:style>
  <w:style w:type="paragraph" w:styleId="903">
    <w:name w:val="table of figures"/>
    <w:basedOn w:val="904"/>
    <w:next w:val="904"/>
    <w:uiPriority w:val="99"/>
    <w:unhideWhenUsed/>
    <w:pPr>
      <w:pBdr/>
      <w:spacing w:after="0" w:afterAutospacing="0"/>
      <w:ind/>
    </w:pPr>
  </w:style>
  <w:style w:type="paragraph" w:styleId="904" w:default="1">
    <w:name w:val="Normal"/>
    <w:next w:val="904"/>
    <w:link w:val="904"/>
    <w:qFormat/>
    <w:pPr>
      <w:pBdr/>
      <w:spacing w:after="200" w:line="276" w:lineRule="auto"/>
      <w:ind/>
    </w:pPr>
    <w:rPr>
      <w:sz w:val="22"/>
      <w:szCs w:val="22"/>
      <w:lang w:val="ru-RU" w:eastAsia="en-US" w:bidi="ar-SA"/>
    </w:rPr>
  </w:style>
  <w:style w:type="paragraph" w:styleId="905">
    <w:name w:val="Заголовок 1"/>
    <w:basedOn w:val="904"/>
    <w:next w:val="904"/>
    <w:link w:val="915"/>
    <w:qFormat/>
    <w:pPr>
      <w:keepNext w:val="true"/>
      <w:pBdr/>
      <w:spacing w:after="0" w:line="240" w:lineRule="auto"/>
      <w:ind/>
      <w:outlineLvl w:val="0"/>
    </w:pPr>
    <w:rPr>
      <w:rFonts w:ascii="Times New Roman" w:hAnsi="Times New Roman" w:eastAsia="Times New Roman" w:cs="Times New Roman"/>
      <w:b/>
      <w:sz w:val="24"/>
      <w:szCs w:val="24"/>
      <w:lang w:val="en-US" w:eastAsia="en-US"/>
    </w:rPr>
  </w:style>
  <w:style w:type="paragraph" w:styleId="906">
    <w:name w:val="Заголовок 2"/>
    <w:basedOn w:val="904"/>
    <w:next w:val="904"/>
    <w:link w:val="916"/>
    <w:qFormat/>
    <w:pPr>
      <w:keepNext w:val="true"/>
      <w:pBdr/>
      <w:spacing w:after="0" w:line="240" w:lineRule="auto"/>
      <w:ind/>
      <w:jc w:val="center"/>
      <w:outlineLvl w:val="1"/>
    </w:pPr>
    <w:rPr>
      <w:rFonts w:ascii="Times New Roman" w:hAnsi="Times New Roman" w:eastAsia="Times New Roman" w:cs="Times New Roman"/>
      <w:b/>
      <w:sz w:val="28"/>
      <w:szCs w:val="24"/>
      <w:lang w:eastAsia="ru-RU"/>
    </w:rPr>
  </w:style>
  <w:style w:type="paragraph" w:styleId="907">
    <w:name w:val="Заголовок 6"/>
    <w:basedOn w:val="904"/>
    <w:next w:val="904"/>
    <w:link w:val="917"/>
    <w:qFormat/>
    <w:pPr>
      <w:keepNext w:val="true"/>
      <w:pBdr/>
      <w:spacing w:after="0" w:line="240" w:lineRule="auto"/>
      <w:ind/>
      <w:jc w:val="center"/>
      <w:outlineLvl w:val="5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908">
    <w:name w:val="Заголовок 7"/>
    <w:basedOn w:val="904"/>
    <w:next w:val="904"/>
    <w:link w:val="918"/>
    <w:qFormat/>
    <w:pPr>
      <w:keepNext w:val="true"/>
      <w:pBdr/>
      <w:spacing w:after="0" w:line="240" w:lineRule="auto"/>
      <w:ind w:left="7783"/>
      <w:outlineLvl w:val="6"/>
    </w:pPr>
    <w:rPr>
      <w:rFonts w:ascii="Times New Roman" w:hAnsi="Times New Roman" w:eastAsia="Times New Roman" w:cs="Times New Roman"/>
      <w:color w:val="000000"/>
      <w:sz w:val="28"/>
      <w:szCs w:val="24"/>
      <w:lang w:eastAsia="ru-RU"/>
    </w:rPr>
  </w:style>
  <w:style w:type="character" w:styleId="909">
    <w:name w:val="Основной шрифт абзаца"/>
    <w:next w:val="909"/>
    <w:link w:val="904"/>
    <w:uiPriority w:val="1"/>
    <w:semiHidden/>
    <w:unhideWhenUsed/>
    <w:pPr>
      <w:pBdr/>
      <w:spacing/>
      <w:ind/>
    </w:pPr>
  </w:style>
  <w:style w:type="table" w:styleId="910">
    <w:name w:val="Обычная таблица"/>
    <w:next w:val="910"/>
    <w:link w:val="904"/>
    <w:uiPriority w:val="99"/>
    <w:semiHidden/>
    <w:unhideWhenUsed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1">
    <w:name w:val="Нет списка"/>
    <w:next w:val="911"/>
    <w:link w:val="904"/>
    <w:uiPriority w:val="99"/>
    <w:semiHidden/>
    <w:unhideWhenUsed/>
    <w:pPr>
      <w:pBdr/>
      <w:spacing/>
      <w:ind/>
    </w:pPr>
  </w:style>
  <w:style w:type="paragraph" w:styleId="912">
    <w:name w:val="ConsPlusNormal"/>
    <w:next w:val="912"/>
    <w:link w:val="904"/>
    <w:pPr>
      <w:widowControl w:val="false"/>
      <w:pBdr/>
      <w:spacing/>
      <w:ind/>
    </w:pPr>
    <w:rPr>
      <w:rFonts w:eastAsia="Times New Roman" w:cs="Calibri"/>
      <w:sz w:val="22"/>
      <w:lang w:val="ru-RU" w:eastAsia="ru-RU" w:bidi="ar-SA"/>
    </w:rPr>
  </w:style>
  <w:style w:type="paragraph" w:styleId="913">
    <w:name w:val="Текст выноски"/>
    <w:basedOn w:val="904"/>
    <w:next w:val="913"/>
    <w:link w:val="914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914">
    <w:name w:val="Текст выноски Знак"/>
    <w:next w:val="914"/>
    <w:link w:val="913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915">
    <w:name w:val="Заголовок 1 Знак"/>
    <w:next w:val="915"/>
    <w:link w:val="905"/>
    <w:pPr>
      <w:pBdr/>
      <w:spacing/>
      <w:ind/>
    </w:pPr>
    <w:rPr>
      <w:rFonts w:ascii="Times New Roman" w:hAnsi="Times New Roman" w:eastAsia="Times New Roman" w:cs="Times New Roman"/>
      <w:b/>
      <w:sz w:val="24"/>
      <w:szCs w:val="24"/>
      <w:lang w:val="en-US" w:eastAsia="en-US"/>
    </w:rPr>
  </w:style>
  <w:style w:type="character" w:styleId="916">
    <w:name w:val="Заголовок 2 Знак"/>
    <w:next w:val="916"/>
    <w:link w:val="906"/>
    <w:pPr>
      <w:pBdr/>
      <w:spacing/>
      <w:ind/>
    </w:pPr>
    <w:rPr>
      <w:rFonts w:ascii="Times New Roman" w:hAnsi="Times New Roman" w:eastAsia="Times New Roman" w:cs="Times New Roman"/>
      <w:b/>
      <w:sz w:val="28"/>
      <w:szCs w:val="24"/>
      <w:lang w:eastAsia="ru-RU"/>
    </w:rPr>
  </w:style>
  <w:style w:type="character" w:styleId="917">
    <w:name w:val="Заголовок 6 Знак"/>
    <w:next w:val="917"/>
    <w:link w:val="907"/>
    <w:pPr>
      <w:pBdr/>
      <w:spacing/>
      <w:ind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918">
    <w:name w:val="Заголовок 7 Знак"/>
    <w:next w:val="918"/>
    <w:link w:val="908"/>
    <w:pPr>
      <w:pBdr/>
      <w:spacing/>
      <w:ind/>
    </w:pPr>
    <w:rPr>
      <w:rFonts w:ascii="Times New Roman" w:hAnsi="Times New Roman" w:eastAsia="Times New Roman" w:cs="Times New Roman"/>
      <w:color w:val="000000"/>
      <w:sz w:val="28"/>
      <w:szCs w:val="24"/>
      <w:lang w:eastAsia="ru-RU"/>
    </w:rPr>
  </w:style>
  <w:style w:type="numbering" w:styleId="919">
    <w:name w:val="Нет списка1"/>
    <w:next w:val="911"/>
    <w:link w:val="904"/>
    <w:semiHidden/>
    <w:unhideWhenUsed/>
    <w:pPr>
      <w:pBdr/>
      <w:spacing/>
      <w:ind/>
    </w:pPr>
  </w:style>
  <w:style w:type="table" w:styleId="920">
    <w:name w:val="Сетка таблицы"/>
    <w:basedOn w:val="910"/>
    <w:next w:val="920"/>
    <w:link w:val="904"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eastAsia="ru-RU"/>
    </w:r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21">
    <w:name w:val="Нижний колонтитул"/>
    <w:basedOn w:val="904"/>
    <w:next w:val="921"/>
    <w:link w:val="922"/>
    <w:uiPriority w:val="99"/>
    <w:pPr>
      <w:pBdr/>
      <w:tabs>
        <w:tab w:val="center" w:leader="none" w:pos="4677"/>
        <w:tab w:val="right" w:leader="none" w:pos="9355"/>
      </w:tabs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character" w:styleId="922">
    <w:name w:val="Нижний колонтитул Знак"/>
    <w:next w:val="922"/>
    <w:link w:val="921"/>
    <w:uiPriority w:val="99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paragraph" w:styleId="923">
    <w:name w:val="Основной текст с отступом"/>
    <w:basedOn w:val="904"/>
    <w:next w:val="923"/>
    <w:link w:val="924"/>
    <w:pPr>
      <w:pBdr/>
      <w:spacing w:after="0" w:line="240" w:lineRule="auto"/>
      <w:ind w:left="7783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24">
    <w:name w:val="Основной текст с отступом Знак"/>
    <w:next w:val="924"/>
    <w:link w:val="923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25">
    <w:name w:val="Номер страницы"/>
    <w:basedOn w:val="909"/>
    <w:next w:val="925"/>
    <w:link w:val="904"/>
    <w:pPr>
      <w:pBdr/>
      <w:spacing/>
      <w:ind/>
    </w:pPr>
  </w:style>
  <w:style w:type="character" w:styleId="926">
    <w:name w:val="Гиперссылка"/>
    <w:next w:val="926"/>
    <w:link w:val="904"/>
    <w:pPr>
      <w:pBdr/>
      <w:spacing/>
      <w:ind/>
    </w:pPr>
    <w:rPr>
      <w:color w:val="0000ff"/>
      <w:u w:val="single"/>
    </w:rPr>
  </w:style>
  <w:style w:type="paragraph" w:styleId="927">
    <w:name w:val="Верхний колонтитул"/>
    <w:basedOn w:val="904"/>
    <w:next w:val="927"/>
    <w:link w:val="928"/>
    <w:pPr>
      <w:pBdr/>
      <w:tabs>
        <w:tab w:val="center" w:leader="none" w:pos="4677"/>
        <w:tab w:val="right" w:leader="none" w:pos="9355"/>
      </w:tabs>
      <w:spacing w:after="0" w:line="240" w:lineRule="auto"/>
      <w:ind/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character" w:styleId="928">
    <w:name w:val="Верхний колонтитул Знак"/>
    <w:next w:val="928"/>
    <w:link w:val="927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val="en-US" w:eastAsia="en-US"/>
    </w:rPr>
  </w:style>
  <w:style w:type="paragraph" w:styleId="929">
    <w:name w:val="Обычный (веб)"/>
    <w:basedOn w:val="904"/>
    <w:next w:val="929"/>
    <w:link w:val="904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30">
    <w:name w:val="Строгий"/>
    <w:next w:val="930"/>
    <w:link w:val="904"/>
    <w:uiPriority w:val="22"/>
    <w:qFormat/>
    <w:pPr>
      <w:pBdr/>
      <w:spacing/>
      <w:ind/>
    </w:pPr>
    <w:rPr>
      <w:b/>
      <w:bCs/>
    </w:rPr>
  </w:style>
  <w:style w:type="character" w:styleId="931">
    <w:name w:val="Неразрешенное упоминание"/>
    <w:next w:val="931"/>
    <w:link w:val="904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932">
    <w:name w:val="js-phone-number"/>
    <w:next w:val="932"/>
    <w:link w:val="904"/>
    <w:pPr>
      <w:pBdr/>
      <w:spacing/>
      <w:ind/>
    </w:pPr>
  </w:style>
  <w:style w:type="numbering" w:styleId="933">
    <w:name w:val="Нет списка2"/>
    <w:next w:val="911"/>
    <w:link w:val="904"/>
    <w:semiHidden/>
    <w:unhideWhenUsed/>
    <w:pPr>
      <w:pBdr/>
      <w:spacing/>
      <w:ind/>
    </w:pPr>
  </w:style>
  <w:style w:type="numbering" w:styleId="934">
    <w:name w:val="Нет списка3"/>
    <w:next w:val="911"/>
    <w:link w:val="904"/>
    <w:semiHidden/>
    <w:pPr>
      <w:pBdr/>
      <w:spacing/>
      <w:ind/>
    </w:pPr>
  </w:style>
  <w:style w:type="table" w:styleId="935">
    <w:name w:val="Сетка таблицы1"/>
    <w:basedOn w:val="910"/>
    <w:next w:val="920"/>
    <w:link w:val="904"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eastAsia="ru-RU"/>
    </w:r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36">
    <w:name w:val="Нет списка4"/>
    <w:next w:val="911"/>
    <w:link w:val="904"/>
    <w:semiHidden/>
    <w:pPr>
      <w:pBdr/>
      <w:spacing/>
      <w:ind/>
    </w:pPr>
  </w:style>
  <w:style w:type="table" w:styleId="937">
    <w:name w:val="Сетка таблицы2"/>
    <w:basedOn w:val="910"/>
    <w:next w:val="920"/>
    <w:link w:val="904"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eastAsia="ru-RU"/>
    </w:r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38">
    <w:name w:val="Нет списка5"/>
    <w:next w:val="911"/>
    <w:link w:val="904"/>
    <w:semiHidden/>
    <w:pPr>
      <w:pBdr/>
      <w:spacing/>
      <w:ind/>
    </w:pPr>
  </w:style>
  <w:style w:type="table" w:styleId="939">
    <w:name w:val="Сетка таблицы3"/>
    <w:basedOn w:val="910"/>
    <w:next w:val="920"/>
    <w:link w:val="904"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eastAsia="ru-RU"/>
    </w:r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40">
    <w:name w:val="Нет списка6"/>
    <w:next w:val="911"/>
    <w:link w:val="904"/>
    <w:semiHidden/>
    <w:pPr>
      <w:pBdr/>
      <w:spacing/>
      <w:ind/>
    </w:pPr>
  </w:style>
  <w:style w:type="table" w:styleId="941">
    <w:name w:val="Сетка таблицы4"/>
    <w:basedOn w:val="910"/>
    <w:next w:val="920"/>
    <w:link w:val="904"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eastAsia="ru-RU"/>
    </w:r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42">
    <w:name w:val="Нет списка7"/>
    <w:next w:val="911"/>
    <w:link w:val="904"/>
    <w:semiHidden/>
    <w:pPr>
      <w:pBdr/>
      <w:spacing/>
      <w:ind/>
    </w:pPr>
  </w:style>
  <w:style w:type="table" w:styleId="943">
    <w:name w:val="Сетка таблицы5"/>
    <w:basedOn w:val="910"/>
    <w:next w:val="920"/>
    <w:link w:val="904"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eastAsia="ru-RU"/>
    </w:r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44">
    <w:name w:val="Знак примечания"/>
    <w:next w:val="944"/>
    <w:link w:val="904"/>
    <w:uiPriority w:val="99"/>
    <w:unhideWhenUsed/>
    <w:pPr>
      <w:pBdr/>
      <w:spacing/>
      <w:ind/>
    </w:pPr>
    <w:rPr>
      <w:sz w:val="16"/>
      <w:szCs w:val="16"/>
    </w:rPr>
  </w:style>
  <w:style w:type="paragraph" w:styleId="945">
    <w:name w:val="Текст примечания"/>
    <w:basedOn w:val="904"/>
    <w:next w:val="945"/>
    <w:link w:val="946"/>
    <w:uiPriority w:val="99"/>
    <w:unhideWhenUsed/>
    <w:pPr>
      <w:pBdr/>
      <w:spacing/>
      <w:ind/>
    </w:pPr>
    <w:rPr>
      <w:sz w:val="20"/>
      <w:szCs w:val="20"/>
    </w:rPr>
  </w:style>
  <w:style w:type="character" w:styleId="946">
    <w:name w:val="Текст примечания Знак"/>
    <w:next w:val="946"/>
    <w:link w:val="945"/>
    <w:uiPriority w:val="99"/>
    <w:pPr>
      <w:pBdr/>
      <w:spacing/>
      <w:ind/>
    </w:pPr>
    <w:rPr>
      <w:lang w:eastAsia="en-US"/>
    </w:rPr>
  </w:style>
  <w:style w:type="paragraph" w:styleId="947">
    <w:name w:val="Тема примечания"/>
    <w:basedOn w:val="945"/>
    <w:next w:val="945"/>
    <w:link w:val="948"/>
    <w:uiPriority w:val="99"/>
    <w:semiHidden/>
    <w:unhideWhenUsed/>
    <w:pPr>
      <w:pBdr/>
      <w:spacing/>
      <w:ind/>
    </w:pPr>
    <w:rPr>
      <w:b/>
      <w:bCs/>
    </w:rPr>
  </w:style>
  <w:style w:type="character" w:styleId="948">
    <w:name w:val="Тема примечания Знак"/>
    <w:next w:val="948"/>
    <w:link w:val="947"/>
    <w:uiPriority w:val="99"/>
    <w:semiHidden/>
    <w:pPr>
      <w:pBdr/>
      <w:spacing/>
      <w:ind/>
    </w:pPr>
    <w:rPr>
      <w:b/>
      <w:bCs/>
      <w:lang w:eastAsia="en-US"/>
    </w:rPr>
  </w:style>
  <w:style w:type="numbering" w:styleId="949">
    <w:name w:val="Нет списка8"/>
    <w:next w:val="911"/>
    <w:link w:val="904"/>
    <w:semiHidden/>
    <w:pPr>
      <w:pBdr/>
      <w:spacing/>
      <w:ind/>
    </w:pPr>
  </w:style>
  <w:style w:type="numbering" w:styleId="950">
    <w:name w:val="Нет списка9"/>
    <w:next w:val="911"/>
    <w:link w:val="904"/>
    <w:semiHidden/>
    <w:unhideWhenUsed/>
    <w:pPr>
      <w:pBdr/>
      <w:spacing/>
      <w:ind/>
    </w:pPr>
  </w:style>
  <w:style w:type="numbering" w:styleId="951">
    <w:name w:val="Нет списка10"/>
    <w:next w:val="911"/>
    <w:link w:val="904"/>
    <w:semiHidden/>
    <w:pPr>
      <w:pBdr/>
      <w:spacing/>
      <w:ind/>
    </w:pPr>
  </w:style>
  <w:style w:type="paragraph" w:styleId="952" w:customStyle="1">
    <w:name w:val="Знак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60" w:afterAutospacing="0" w:before="0" w:beforeAutospacing="0" w:line="240" w:lineRule="exact"/>
      <w:ind w:right="0" w:firstLine="0" w:left="0"/>
      <w:contextualSpacing w:val="false"/>
      <w:jc w:val="left"/>
    </w:pPr>
    <w:rPr>
      <w:rFonts w:ascii="Verdana" w:hAnsi="Verdana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953" w:customStyle="1">
    <w:name w:val="ConsPlusNonformat"/>
    <w:pPr>
      <w:keepNext w:val="false"/>
      <w:keepLines w:val="false"/>
      <w:pageBreakBefore w:val="false"/>
      <w:widowControl w:val="fals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ONLYOFFICE/9.3.0.140</Application>
  <DocSecurity>4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Извекова Ксения Андреевна</dc:creator>
  <cp:revision>4</cp:revision>
  <dcterms:created xsi:type="dcterms:W3CDTF">2023-05-15T12:46:00Z</dcterms:created>
  <dcterms:modified xsi:type="dcterms:W3CDTF">2026-08-18T09:50:12Z</dcterms:modified>
  <cp:version>983040</cp:version>
</cp:coreProperties>
</file>