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body>
    <w:p>
      <w:pPr>
        <w:pStyle w:val="a"/>
        <w:overflowPunct w:val="0"/>
        <w:autoSpaceDE w:val="0"/>
        <w:autoSpaceDN w:val="0"/>
        <w:adjustRightInd w:val="0"/>
        <w:spacing w:after="0" w:line="240" w:lineRule="auto"/>
        <w:ind w:right="1699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155942926"/>
      <w:r w:rsidRPr="00247C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УТВЕРЖДЕНО:  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Технический директор 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ООО «ТТК»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ind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="00083C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______________А.Е. Асанов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ind w:left="6381" w:right="3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ab/>
        <w:t xml:space="preserve">                                                                                                         «____» ______________2026г.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7C05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Техническое задание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="001769E8">
        <w:rPr>
          <w:rFonts w:ascii="Times New Roman" w:eastAsia="Times New Roman" w:hAnsi="Times New Roman" w:cs="Times New Roman"/>
          <w:b/>
          <w:color w:val="000000"/>
          <w:sz w:val="24"/>
          <w:lang w:eastAsia="ru-RU"/>
          <w:szCs w:val="20"/>
        </w:rPr>
        <w:t>на поставку щита автоматики в сборе и оборудования КИПиА</w:t>
      </w:r>
    </w:p>
    <w:p>
      <w:pPr>
        <w:pStyle w:val="a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для объекта «Техническое перевооружение котельной по ул. им. Ивана Кияшко, д. 6, г. Краснодар»</w:t>
      </w:r>
    </w:p>
    <w:tbl>
      <w:tblPr>
        <w:tblStyle w:val="a1"/>
        <w:tblW w:w="9813" w:type="dxa"/>
        <w:tblInd w:w="142" w:type="dxa"/>
        <w:tblLook w:val="04A0" w:firstRow="1" w:lastRow="0" w:firstColumn="1" w:lastColumn="0" w:noHBand="0" w:noVBand="1"/>
      </w:tblPr>
      <w:tblGrid>
        <w:gridCol w:w="5987"/>
        <w:gridCol w:w="3826"/>
      </w:tblGrid>
      <w:tr>
        <w:trPr>
          <w:trHeight w:val="473"/>
        </w:trPr>
        <w:tc>
          <w:tcPr>
            <w:tcW w:w="5987" w:type="dxa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350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473"/>
        </w:trPr>
        <w:tc>
          <w:tcPr>
            <w:tcW w:w="5987" w:type="dxa"/>
            <w:hideMark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Наименование, место нахождения, почтовый адрес, адрес электронной почты, номер контактного телефона заказчика</w:t>
            </w:r>
          </w:p>
        </w:tc>
      </w:tr>
      <w:tr>
        <w:trPr>
          <w:trHeight w:val="230"/>
        </w:trPr>
        <w:tc>
          <w:tcPr>
            <w:tcW w:w="5987" w:type="dxa"/>
            <w:hideMark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1.1. Наименование заказчика</w:t>
            </w:r>
          </w:p>
        </w:tc>
        <w:tc>
          <w:tcPr>
            <w:tcW w:w="3826" w:type="dxa"/>
            <w:shd w:val="clear" w:color="auto" w:fill="auto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«ТТК»</w:t>
            </w:r>
          </w:p>
        </w:tc>
      </w:tr>
      <w:tr>
        <w:trPr>
          <w:trHeight w:val="230"/>
        </w:trPr>
        <w:tc>
          <w:tcPr>
            <w:tcW w:w="5987" w:type="dxa"/>
            <w:hideMark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1.2. Место нахождения заказчика</w:t>
            </w:r>
          </w:p>
        </w:tc>
        <w:tc>
          <w:tcPr>
            <w:tcW w:w="3826" w:type="dxa"/>
            <w:shd w:val="clear" w:color="auto" w:fill="auto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>
        <w:trPr>
          <w:trHeight w:val="230"/>
        </w:trPr>
        <w:tc>
          <w:tcPr>
            <w:tcW w:w="5987" w:type="dxa"/>
            <w:hideMark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1.3. Почтовый адрес заказчика</w:t>
            </w:r>
          </w:p>
        </w:tc>
        <w:tc>
          <w:tcPr>
            <w:tcW w:w="3826" w:type="dxa"/>
            <w:shd w:val="clear" w:color="auto" w:fill="auto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350038, Краснодарский край, г. Краснодар, 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 проезд, дом 4/1, офис 201</w:t>
            </w:r>
          </w:p>
        </w:tc>
      </w:tr>
      <w:tr>
        <w:trPr>
          <w:trHeight w:val="461"/>
        </w:trPr>
        <w:tc>
          <w:tcPr>
            <w:tcW w:w="5987" w:type="dxa"/>
            <w:hideMark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1.4. Контактное лицо, номер контактного телефона заказчика, email</w:t>
            </w:r>
          </w:p>
        </w:tc>
        <w:tc>
          <w:tcPr>
            <w:tcW w:w="3826" w:type="dxa"/>
            <w:shd w:val="clear" w:color="auto" w:fill="auto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по техническим вопросам: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Асанов Антон Евгеньевич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="00142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 8-918-258-60-60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anton.asanov.2012@mail.ru</w:t>
            </w:r>
          </w:p>
        </w:tc>
      </w:tr>
      <w:tr>
        <w:trPr>
          <w:trHeight w:val="473"/>
        </w:trPr>
        <w:tc>
          <w:tcPr>
            <w:tcW w:w="5987" w:type="dxa"/>
            <w:hideMark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Предмет договора с указанием количества поставляемого товара, объема выполняемых работ, оказываемых услуг и классификация</w:t>
            </w:r>
          </w:p>
        </w:tc>
      </w:tr>
      <w:tr>
        <w:trPr>
          <w:trHeight w:val="705"/>
        </w:trPr>
        <w:tc>
          <w:tcPr>
            <w:tcW w:w="5987" w:type="dxa"/>
            <w:shd w:val="clear" w:color="auto" w:fill="FFFFFF"/>
            <w:hideMark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2.1. Предмет договора</w:t>
            </w:r>
          </w:p>
        </w:tc>
        <w:tc>
          <w:tcPr>
            <w:tcW w:w="3826" w:type="dxa"/>
            <w:shd w:val="clear" w:color="auto" w:fill="auto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="00176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Поставка щита автоматики котельной в сборе и оборудования КИПиА для объекта «Техническое перевооружение котельной по ул. им. Ивана Кияшко, д. 6, г. Краснодар», с выполнением монтажа щита автоматики на объекте</w:t>
            </w:r>
          </w:p>
        </w:tc>
      </w:tr>
      <w:tr>
        <w:trPr>
          <w:trHeight w:val="230"/>
        </w:trPr>
        <w:tc>
          <w:tcPr>
            <w:tcW w:w="5987" w:type="dxa"/>
            <w:shd w:val="clear" w:color="auto" w:fill="FFFFFF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rPr>
          <w:trHeight w:val="230"/>
        </w:trPr>
        <w:tc>
          <w:tcPr>
            <w:tcW w:w="5987" w:type="dxa"/>
            <w:shd w:val="clear" w:color="auto" w:fill="FFFFFF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2.2. Наименование, характеристики, количество и сроки поставляемого товара: </w:t>
            </w:r>
          </w:p>
          <w:p>
            <w:pPr>
              <w:pStyle w:val="a"/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2.2.1 Предъявляемые технические требования:</w:t>
            </w:r>
          </w:p>
          <w:tbl>
            <w:tblPr>
              <w:tblStyle w:val="a1"/>
              <w:tblW w:w="0" w:type="auto"/>
              <w:tblLook w:val="0000" w:firstRow="0" w:lastRow="0" w:firstColumn="0" w:lastColumn="0" w:noHBand="0" w:noVBand="0"/>
            </w:tblPr>
            <w:tblGrid>
              <w:gridCol w:w="547"/>
              <w:gridCol w:w="3383"/>
              <w:gridCol w:w="1792"/>
              <w:gridCol w:w="692"/>
              <w:gridCol w:w="994"/>
              <w:gridCol w:w="2169"/>
            </w:tblGrid>
            <w:tr>
              <w:trPr>
                <w:trHeight w:val="525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</w:tcBorders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</w:tcBorders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Наименование материалов и оборудования и их характеристики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ГОСТ, тип, марка, модель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</w:tcBorders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Ед.  изм.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</w:tcBorders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Примечание</w:t>
                  </w:r>
                </w:p>
              </w:tc>
            </w:tr>
            <w:tr>
              <w:trPr>
                <w:trHeight w:val="195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Датчик-реле температуры (-70…+120°С) SPDT, 10A 250 VAC / 10A 24VDC, ТАМ-BD-Т120 L-1.5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БД-Росма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Реле давления LF5506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LeFoo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Преобразователь давления ПД150И-ДИВ3,0К-899-0,5-1-Р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ОВЕН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Реле перепада давления LF5D-2 BWL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LeFoo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Капиллярная трубка для РД/РДД G1/4-М20х1,5, L-1 метр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БД-Росма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Переходник M-F латунь G1/2-M20x1,5, KMFG12xM20x15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KIPIK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Датчик давления 4–20 мА, ПД100-ДИ1,0-111-0,5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Термопреобразователь сопротивления ДТС035-Pt100.B2.100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Термопреобразователь сопротивления ДТС035-Pt100.B2.150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Гильза защитная ГЗ.16.1.1.100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Гильза защитная ГЗ.16.1.1.150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Реле потока электронное 24VDC, NO+NC, FS213-G2-H-D-C-R-Q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LeFoo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Щит ЩМП-3-1 (650х500х150), SQ0905-0058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TDM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Автоматический выключатель ВА 47-63N 1P 10А (C) 4,5 кА PROXIMA, M634110C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Автоматический выключатель ВА 47-63N 2P 6А (C) 4,5 кА PROXIMA, M634206C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Автоматический выключатель ВА 47-63N 1P 2А (C) 4,5 кА PROXIMA, M634102C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6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Блок питания 24VDC 60W на DIN-рейку, LI60-20B24PR2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Mornsun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Щитовая розетка на DIN-рейку МТ-DRS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Контроллер для управления котельной КТР-121.220.01.10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НПО «Овен»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Реле R2G2CH730 (2 группы контактов, 8A, упр. 230VAC) + колодка SRC08-E + скоба SR15L + варисторный модуль с индикацией AMD-ML1 240V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Kipik/Shenler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24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Интерфейсное реле RNC с колодкой (1 группа, 6A, упр. 230V), RNC1CO060/SNC05-E-D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Shenler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15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Сигнальная LED-лампа, зелёная, 220V AC, IP65, MT22-SA63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Кнопка грибовидная аварийной остановки, красная, 40 мм, возврат поворотом с фиксацией, MTB2-ES542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Кнопка плоская чёрная, 1NO, IP54, пластик, MTB2-EAZ112 + блок-контакт 1NC MTB2-BE12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Переключатель на 3 положения с фиксацией, короткая ручка, 2NO, IP54, пластик, MTB2-EDZ133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Основание 2НО МТВ2-EZ13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Meyertec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Клемма пружинная проходная 2,5 мм², серая, UPT-2.5-GY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UTL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120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DIN-рейка перфорированная (2000 мм), adr-2.0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 PROxima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м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12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Шина «0» N (6х9мм), 8 отверстий, латунь, синий нейлоновый корпус, sn0-63-08-dn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 PROxima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м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8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Канал кабельный перфорированный 60х40 мм, kk60-40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EKF PROxima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м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8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Сборка щита автоматики (комплектация шкафа, установка аппаратов, внутрищитовой монтаж согласно спецификации)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/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>
              <w:trPr>
                <w:trHeight w:val="497"/>
              </w:trPr>
              <w:tc>
                <w:tcPr>
                  <w:tcW w:w="5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  <w:rPr>
                      <w:color w:val="333333"/>
                    </w:rPr>
                  </w:pPr>
                  <w:r>
                    <w:rPr>
                      <w:color w:val="333333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33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rPr>
                      <w:color w:val="333333"/>
                    </w:rPr>
                  </w:pPr>
                  <w:r w:rsidRPr="00A47D0B">
                    <w:rPr>
                      <w:color w:val="333333"/>
                      <w:sz w:val="22"/>
                      <w:szCs w:val="22"/>
                    </w:rPr>
                    <w:t>Монтаж щита автоматики на объекте</w:t>
                  </w:r>
                </w:p>
              </w:tc>
              <w:tc>
                <w:tcPr>
                  <w:tcW w:w="1792" w:type="dxa"/>
                  <w:tcBorders>
                    <w:left w:val="single" w:sz="8" w:space="0" w:color="000000"/>
                    <w:bottom w:val="single" w:sz="8" w:space="0" w:color="000000"/>
                    <w:top w:val="single" w:space="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/>
                  </w:r>
                </w:p>
              </w:tc>
              <w:tc>
                <w:tcPr>
                  <w:tcW w:w="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шт</w:t>
                  </w:r>
                </w:p>
              </w:tc>
              <w:tc>
                <w:tcPr>
                  <w:tcW w:w="9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>
                  <w:pPr>
                    <w:pStyle w:val="a"/>
                    <w:jc w:val="center"/>
                  </w:pPr>
                  <w:r>
                    <w:rPr>
                      <w:b/>
                      <w:sz w:val="22"/>
                      <w:szCs w:val="22"/>
                      <w:lang w:val="ru-RU" w:eastAsia="en-US" w:bidi="ar-SA"/>
                    </w:rPr>
                    <w:t>3</w:t>
                  </w:r>
                </w:p>
              </w:tc>
              <w:tc>
                <w:tcPr>
                  <w:tcW w:w="21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>
                  <w:pPr>
                    <w:pStyle w:val="a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>
            <w:pPr>
              <w:pStyle w:val="a"/>
              <w:tabs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2.2.2 Срок поставки: 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не позднее 14 (четырнадцати) календарных дней (2-х недель) с момента подписания договора.</w:t>
            </w: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Товар, поставляемый Покупателю, должен быть надлежащего качества (в технически исправном состоянии), соответствовать ГОСТУ, ТУ и подтверждаться сертификатами соответствия установленного образца, копии которых передаются Покупателю.</w:t>
            </w:r>
          </w:p>
          <w:p>
            <w:pPr>
              <w:pStyle w:val="a"/>
              <w:tabs>
                <w:tab w:val="left" w:pos="-7196"/>
                <w:tab w:val="left" w:pos="127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Примечание: допускается замена оборудования и материалов на аналогичные по техническим характеристикам без внесения изменений в документацию.</w:t>
            </w:r>
          </w:p>
        </w:tc>
      </w:tr>
      <w:tr>
        <w:trPr>
          <w:trHeight w:val="230"/>
        </w:trPr>
        <w:tc>
          <w:tcPr>
            <w:tcW w:w="5987" w:type="dxa"/>
            <w:shd w:val="clear" w:color="auto" w:fill="FFFFFF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</w:t>
            </w:r>
          </w:p>
        </w:tc>
      </w:tr>
      <w:tr>
        <w:trPr>
          <w:trHeight w:val="230"/>
        </w:trPr>
        <w:tc>
          <w:tcPr>
            <w:tcW w:w="5987" w:type="dxa"/>
            <w:shd w:val="clear" w:color="auto" w:fill="FFFFFF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стоимость продукции включены НДС, все затраты, связанные с выполнением договора, в том числе затраты на сборку щита автоматики, доставку и монтаж щита на объекте</w:t>
            </w:r>
          </w:p>
        </w:tc>
      </w:tr>
      <w:tr>
        <w:trPr>
          <w:trHeight w:val="688"/>
        </w:trPr>
        <w:tc>
          <w:tcPr>
            <w:tcW w:w="5987" w:type="dxa"/>
            <w:shd w:val="clear" w:color="auto" w:fill="FFFFFF"/>
            <w:hideMark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Место и условия поставки товара: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="00025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Товар доставляется по адресу: РФ, Краснодарский край, г. Краснодар, ул. им. Ивана Кияшко, д. 6 (котельная)</w:t>
            </w:r>
          </w:p>
        </w:tc>
      </w:tr>
      <w:tr>
        <w:trPr>
          <w:trHeight w:val="130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Сроки (периоды) и условия поставки товара</w:t>
            </w:r>
          </w:p>
        </w:tc>
      </w:tr>
      <w:tr>
        <w:trPr>
          <w:trHeight w:val="459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 Товар доставляется усилиями Поставщика и за его счет.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 Товар должен поступить не позднее сроков, указанных в п 2.2.2 настоящего технического задания.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 Щит автоматики поставляется в сборе, в готовом к подключению виде.</w:t>
            </w:r>
          </w:p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 Монтаж щита автоматики на объекте выполняется силами Поставщика и за его счет.</w:t>
            </w:r>
          </w:p>
        </w:tc>
      </w:tr>
      <w:tr>
        <w:trPr>
          <w:trHeight w:val="130"/>
        </w:trPr>
        <w:tc>
          <w:tcPr>
            <w:tcW w:w="5987" w:type="dxa"/>
            <w:shd w:val="clear" w:color="auto" w:fill="auto"/>
            <w:hideMark/>
            <w:gridSpan w:val="2"/>
          </w:tcPr>
          <w:p>
            <w:pPr>
              <w:pStyle w:val="a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Форма, сроки и порядок оплаты товара</w:t>
            </w:r>
          </w:p>
        </w:tc>
      </w:tr>
      <w:tr>
        <w:trPr>
          <w:trHeight w:val="276"/>
        </w:trPr>
        <w:tc>
          <w:tcPr>
            <w:tcW w:w="5987" w:type="dxa"/>
            <w:shd w:val="clear" w:color="auto" w:fill="auto"/>
            <w:hideMark/>
            <w:gridSpan w:val="2"/>
          </w:tcPr>
          <w:p>
            <w:pPr>
              <w:pStyle w:val="a"/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6.1.Покупатель оплачивает приобретаемую продукцию, на основании счета на оплату, выставляемого Поставщиком.</w:t>
            </w:r>
          </w:p>
          <w:p>
            <w:pPr>
              <w:pStyle w:val="a"/>
              <w:tabs>
                <w:tab w:val="left" w:pos="-18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6.2. Платежи осуществляются в безналичном порядке, путем перечисления денежных средств Поставщику в соответствии со счетом, выставленным Поставщиком. Датой оплаты считается дата поступления денежных средств на расчетный счет Поставщика.</w:t>
            </w:r>
          </w:p>
        </w:tc>
      </w:tr>
      <w:tr>
        <w:trPr>
          <w:trHeight w:val="149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Установленные заказчиком 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требования, связанные с определением соответствия поставляемого товара.</w:t>
            </w:r>
          </w:p>
        </w:tc>
      </w:tr>
      <w:tr>
        <w:trPr>
          <w:trHeight w:val="210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:b/>
              </w:rPr>
              <w:t>7.1. Требования к сроку действия гарантии Поставщика: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менее 12 месяцев.</w:t>
            </w:r>
          </w:p>
          <w:p>
            <w:pPr>
              <w:pStyle w:val="a"/>
              <w:numPr>
                <w:ilvl w:val="1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:b/>
              </w:rPr>
              <w:t>Требования к объему предоставления Поставщика гарантий качества товара: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гарантия распространяется в полном объеме на поставляемый товар и его части в соответствии с требованиями завода-производителя.</w:t>
            </w:r>
          </w:p>
          <w:p>
            <w:pPr>
              <w:pStyle w:val="a"/>
              <w:tabs>
                <w:tab w:val="left" w:pos="851"/>
              </w:tabs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7.3. 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:b/>
              </w:rPr>
              <w:t>Требования к гарантийному обслуживанию товара Поставщиком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 в течение гарантийного срока Поставщик обязуется устранять дефекты (неисправности, недостатки, поломки), выявленные в товаре в соответствии с требованиями завода-производителя.</w:t>
            </w:r>
          </w:p>
          <w:p>
            <w:pPr>
              <w:pStyle w:val="a"/>
              <w:tabs>
                <w:tab w:val="left" w:pos="900"/>
              </w:tabs>
              <w:suppressAutoHyphens/>
              <w:autoSpaceDE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7.4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качеству товара: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товар должен быть новым, не бывшим в эксплуатации, технически исправным, готовым к эксплуатации, в споре и под запрещением не состоять, не быть обремененным правами третьих лиц. </w:t>
            </w:r>
          </w:p>
          <w:p>
            <w:pPr>
              <w:pStyle w:val="a"/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7.5 </w:t>
            </w:r>
            <w:r w:rsidRPr="00247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Требования к предоставляемой документации:</w:t>
            </w: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>
            <w:pPr>
              <w:pStyle w:val="a"/>
              <w:widowControl w:val="0"/>
              <w:tabs>
                <w:tab w:val="left" w:pos="360"/>
                <w:tab w:val="left" w:pos="720"/>
                <w:tab w:val="left" w:pos="851"/>
                <w:tab w:val="left" w:pos="993"/>
              </w:tabs>
              <w:suppressAutoHyphens/>
              <w:autoSpaceDE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47C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При поставке товара вместе с товаром Поставщик должен передать следующие документы: паспорт изделия; на щит автоматики в сборе — паспорт щита, схему электрическую принципиальную, ведомость комплектации. </w:t>
            </w:r>
          </w:p>
          <w:p>
            <w:pPr>
              <w:pStyle w:val="a"/>
              <w:tabs>
                <w:tab w:val="left" w:pos="851"/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rPr>
          <w:trHeight w:val="149"/>
        </w:trPr>
        <w:tc>
          <w:tcPr>
            <w:tcW w:w="5987" w:type="dxa"/>
            <w:tcBorders>
              <w:bottom w:val="single" w:sz="4" w:space="0" w:color="auto"/>
            </w:tcBorders>
            <w:shd w:val="clear" w:color="auto" w:fill="auto"/>
            <w:gridSpan w:val="2"/>
          </w:tcPr>
          <w:p>
            <w:pPr>
              <w:pStyle w:val="a"/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 Требования к участникам закупки</w:t>
            </w:r>
          </w:p>
        </w:tc>
      </w:tr>
      <w:tr>
        <w:trPr>
          <w:trHeight w:val="149"/>
        </w:trPr>
        <w:tc>
          <w:tcPr>
            <w:tcW w:w="5987" w:type="dxa"/>
            <w:shd w:val="clear" w:color="auto" w:fill="auto"/>
            <w:gridSpan w:val="2"/>
          </w:tcPr>
          <w:p>
            <w:pPr>
              <w:pStyle w:val="a"/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 Иметь соответствующие ресурсные возможности для исполнения договора (финансовые, материально-технические, производственные, трудовые).</w:t>
            </w:r>
          </w:p>
          <w:p>
            <w:pPr>
              <w:pStyle w:val="a"/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7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 Участник не должен находиться под процедурой банкротства, в процессе ликвидации или реорганизации, на ее имущество не должен быть наложен арест.</w:t>
            </w:r>
          </w:p>
          <w:p>
            <w:pPr>
              <w:pStyle w:val="a"/>
              <w:tabs>
                <w:tab w:val="left" w:pos="102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FE248A2" w14:textId="77777777" w:rsidR="00247C05" w:rsidRPr="00247C05" w:rsidRDefault="00247C05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247C0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Составил:</w:t>
      </w:r>
    </w:p>
    <w:p w14:paraId="6990CC95" w14:textId="325A91C2" w:rsidR="00D3091A" w:rsidRDefault="00D3091A" w:rsidP="00247C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Асанов А.Е.</w:t>
      </w:r>
    </w:p>
    <w:p w14:paraId="378CBA85" w14:textId="18373121" w:rsidR="00056829" w:rsidRPr="00D83B1A" w:rsidRDefault="00D3091A" w:rsidP="00D83B1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89182586060</w:t>
      </w:r>
      <w:bookmarkEnd w:id="0"/>
    </w:p>
    <w:sectPr>
      <w:headerReference w:type="default" r:id="rId9"/>
      <w:headerReference w:type="first" r:id="rId12"/>
      <w:headerReference w:type="even" r:id="rId8"/>
      <w:footerReference w:type="default" r:id="rId11"/>
      <w:footerReference w:type="first" r:id="rId13"/>
      <w:footerReference w:type="even" r:id="rId10"/>
      <w:pgSz w:w="11906" w:h="16838"/>
      <w:pgMar w:top="851" w:right="851" w:bottom="851" w:left="1134" w:header="708" w:footer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C0F76" w14:textId="77777777" w:rsidR="00A40536" w:rsidRDefault="00A40536" w:rsidP="00694D75">
      <w:pPr>
        <w:spacing w:after="0" w:line="240" w:lineRule="auto"/>
      </w:pPr>
      <w:r>
        <w:separator/>
      </w:r>
    </w:p>
  </w:endnote>
  <w:endnote w:type="continuationSeparator" w:id="0">
    <w:p w14:paraId="46ED5B91" w14:textId="77777777" w:rsidR="00A40536" w:rsidRDefault="00A40536" w:rsidP="0069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E29B" w14:textId="77777777" w:rsidR="004B0CC8" w:rsidRDefault="004B0C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80AEB" w14:textId="77777777" w:rsidR="004B0CC8" w:rsidRDefault="004B0C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AC81" w14:textId="77777777" w:rsidR="004B0CC8" w:rsidRDefault="004B0C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A3DC" w14:textId="77777777" w:rsidR="00A40536" w:rsidRDefault="00A40536" w:rsidP="00694D75">
      <w:pPr>
        <w:spacing w:after="0" w:line="240" w:lineRule="auto"/>
      </w:pPr>
      <w:r>
        <w:separator/>
      </w:r>
    </w:p>
  </w:footnote>
  <w:footnote w:type="continuationSeparator" w:id="0">
    <w:p w14:paraId="31B6241E" w14:textId="77777777" w:rsidR="00A40536" w:rsidRDefault="00A40536" w:rsidP="00694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3E41" w14:textId="77777777" w:rsidR="004B0CC8" w:rsidRDefault="004B0C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D7A9" w14:textId="77777777" w:rsidR="004B0CC8" w:rsidRDefault="004B0C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9B56" w14:textId="77777777" w:rsidR="004B0CC8" w:rsidRDefault="004B0C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9B4"/>
    <w:multiLevelType w:val="multilevel"/>
    <w:tmpl w:val="3EAA81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" w15:restartNumberingAfterBreak="0">
    <w:nsid w:val="1A0F592B"/>
    <w:multiLevelType w:val="multilevel"/>
    <w:tmpl w:val="014A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352D7"/>
    <w:multiLevelType w:val="multilevel"/>
    <w:tmpl w:val="A926A6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EF55888"/>
    <w:multiLevelType w:val="hybridMultilevel"/>
    <w:tmpl w:val="56C8963E"/>
    <w:lvl w:ilvl="0" w:tplc="B65C7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313370"/>
    <w:multiLevelType w:val="hybridMultilevel"/>
    <w:tmpl w:val="8494BE02"/>
    <w:lvl w:ilvl="0" w:tplc="7130D6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C747724"/>
    <w:multiLevelType w:val="hybridMultilevel"/>
    <w:tmpl w:val="F776F7F2"/>
    <w:lvl w:ilvl="0" w:tplc="45ECDE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5175A"/>
    <w:multiLevelType w:val="hybridMultilevel"/>
    <w:tmpl w:val="F86013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2B30842"/>
    <w:multiLevelType w:val="hybridMultilevel"/>
    <w:tmpl w:val="CB703DEE"/>
    <w:lvl w:ilvl="0" w:tplc="563EFB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4="http://schemas.microsoft.com/office/word/2010/wordml" xmlns:w15="http://schemas.microsoft.com/office/word/2012/wordml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DF"/>
    <w:rsid w:val="000251D1"/>
    <w:rsid w:val="00040480"/>
    <w:rsid w:val="00043931"/>
    <w:rsid w:val="00044E68"/>
    <w:rsid w:val="00050BFE"/>
    <w:rsid w:val="00052505"/>
    <w:rsid w:val="00056829"/>
    <w:rsid w:val="000732F3"/>
    <w:rsid w:val="00083C56"/>
    <w:rsid w:val="000B63C4"/>
    <w:rsid w:val="000D7408"/>
    <w:rsid w:val="001027E8"/>
    <w:rsid w:val="001062F8"/>
    <w:rsid w:val="001270AC"/>
    <w:rsid w:val="00142F55"/>
    <w:rsid w:val="00151464"/>
    <w:rsid w:val="00167FF0"/>
    <w:rsid w:val="001769E8"/>
    <w:rsid w:val="00182F9F"/>
    <w:rsid w:val="001A4EF1"/>
    <w:rsid w:val="001A7873"/>
    <w:rsid w:val="001B6F89"/>
    <w:rsid w:val="00230856"/>
    <w:rsid w:val="0023586B"/>
    <w:rsid w:val="00246297"/>
    <w:rsid w:val="00247B7E"/>
    <w:rsid w:val="00247C05"/>
    <w:rsid w:val="00253520"/>
    <w:rsid w:val="00257C5A"/>
    <w:rsid w:val="002762E2"/>
    <w:rsid w:val="002C45DC"/>
    <w:rsid w:val="002C531D"/>
    <w:rsid w:val="002C70FA"/>
    <w:rsid w:val="002D455D"/>
    <w:rsid w:val="002D64C7"/>
    <w:rsid w:val="002E0DB2"/>
    <w:rsid w:val="002F201D"/>
    <w:rsid w:val="00314E3E"/>
    <w:rsid w:val="00317A20"/>
    <w:rsid w:val="00317ECB"/>
    <w:rsid w:val="0032460F"/>
    <w:rsid w:val="0032755F"/>
    <w:rsid w:val="00353841"/>
    <w:rsid w:val="00354E96"/>
    <w:rsid w:val="003553B3"/>
    <w:rsid w:val="003805C5"/>
    <w:rsid w:val="003868D9"/>
    <w:rsid w:val="00395C33"/>
    <w:rsid w:val="003D1D3D"/>
    <w:rsid w:val="00422C53"/>
    <w:rsid w:val="0042751B"/>
    <w:rsid w:val="004429EB"/>
    <w:rsid w:val="00443CED"/>
    <w:rsid w:val="00451C16"/>
    <w:rsid w:val="00452221"/>
    <w:rsid w:val="00454050"/>
    <w:rsid w:val="00466ED2"/>
    <w:rsid w:val="00467A09"/>
    <w:rsid w:val="0047437B"/>
    <w:rsid w:val="00481216"/>
    <w:rsid w:val="00496D55"/>
    <w:rsid w:val="004B0CC8"/>
    <w:rsid w:val="004B2B9B"/>
    <w:rsid w:val="004B4B11"/>
    <w:rsid w:val="004C3F45"/>
    <w:rsid w:val="004D5570"/>
    <w:rsid w:val="004E139D"/>
    <w:rsid w:val="004E7579"/>
    <w:rsid w:val="00535F3A"/>
    <w:rsid w:val="00544120"/>
    <w:rsid w:val="0054423B"/>
    <w:rsid w:val="005525B3"/>
    <w:rsid w:val="005558ED"/>
    <w:rsid w:val="00565C3B"/>
    <w:rsid w:val="005665FB"/>
    <w:rsid w:val="00593F34"/>
    <w:rsid w:val="005B4354"/>
    <w:rsid w:val="005B6F1A"/>
    <w:rsid w:val="005D1723"/>
    <w:rsid w:val="005D2844"/>
    <w:rsid w:val="005D3288"/>
    <w:rsid w:val="005D397D"/>
    <w:rsid w:val="005E5F8D"/>
    <w:rsid w:val="005E6527"/>
    <w:rsid w:val="0060077C"/>
    <w:rsid w:val="00603771"/>
    <w:rsid w:val="00610F23"/>
    <w:rsid w:val="00620FAB"/>
    <w:rsid w:val="0062122E"/>
    <w:rsid w:val="00631CA5"/>
    <w:rsid w:val="0063715D"/>
    <w:rsid w:val="00645CF1"/>
    <w:rsid w:val="00655A3A"/>
    <w:rsid w:val="00655D85"/>
    <w:rsid w:val="0066747C"/>
    <w:rsid w:val="006833DC"/>
    <w:rsid w:val="00686858"/>
    <w:rsid w:val="00694D75"/>
    <w:rsid w:val="006A78AE"/>
    <w:rsid w:val="006B112E"/>
    <w:rsid w:val="006B7A11"/>
    <w:rsid w:val="006C2CAE"/>
    <w:rsid w:val="006E1B54"/>
    <w:rsid w:val="006E7398"/>
    <w:rsid w:val="006F64D6"/>
    <w:rsid w:val="007100B3"/>
    <w:rsid w:val="0071572F"/>
    <w:rsid w:val="00727B34"/>
    <w:rsid w:val="00742AE8"/>
    <w:rsid w:val="0075438E"/>
    <w:rsid w:val="0075487C"/>
    <w:rsid w:val="00762793"/>
    <w:rsid w:val="00780DFC"/>
    <w:rsid w:val="007A016F"/>
    <w:rsid w:val="007A1095"/>
    <w:rsid w:val="007B1EA5"/>
    <w:rsid w:val="007B49D4"/>
    <w:rsid w:val="007B52A3"/>
    <w:rsid w:val="007C0407"/>
    <w:rsid w:val="007E2ED4"/>
    <w:rsid w:val="007E51C8"/>
    <w:rsid w:val="007F6C23"/>
    <w:rsid w:val="008040EA"/>
    <w:rsid w:val="0082008A"/>
    <w:rsid w:val="0084175C"/>
    <w:rsid w:val="00874362"/>
    <w:rsid w:val="00891DF1"/>
    <w:rsid w:val="008A6B44"/>
    <w:rsid w:val="008A7FC4"/>
    <w:rsid w:val="008E4FC9"/>
    <w:rsid w:val="008F64DD"/>
    <w:rsid w:val="00907D00"/>
    <w:rsid w:val="0094063F"/>
    <w:rsid w:val="009434B7"/>
    <w:rsid w:val="00950B48"/>
    <w:rsid w:val="00956C82"/>
    <w:rsid w:val="00974A1D"/>
    <w:rsid w:val="00975891"/>
    <w:rsid w:val="0099144C"/>
    <w:rsid w:val="00A04336"/>
    <w:rsid w:val="00A04F0E"/>
    <w:rsid w:val="00A1357A"/>
    <w:rsid w:val="00A13B71"/>
    <w:rsid w:val="00A157A3"/>
    <w:rsid w:val="00A23FDD"/>
    <w:rsid w:val="00A25A99"/>
    <w:rsid w:val="00A40536"/>
    <w:rsid w:val="00A56CCA"/>
    <w:rsid w:val="00A65B6A"/>
    <w:rsid w:val="00A71FC4"/>
    <w:rsid w:val="00A75013"/>
    <w:rsid w:val="00A90828"/>
    <w:rsid w:val="00AC68E9"/>
    <w:rsid w:val="00AD39F9"/>
    <w:rsid w:val="00AE75BE"/>
    <w:rsid w:val="00AF6D59"/>
    <w:rsid w:val="00B00506"/>
    <w:rsid w:val="00B0170F"/>
    <w:rsid w:val="00B0330A"/>
    <w:rsid w:val="00B0533F"/>
    <w:rsid w:val="00B12BFA"/>
    <w:rsid w:val="00B1521A"/>
    <w:rsid w:val="00B30B59"/>
    <w:rsid w:val="00B338B1"/>
    <w:rsid w:val="00B71701"/>
    <w:rsid w:val="00B735C7"/>
    <w:rsid w:val="00B8749D"/>
    <w:rsid w:val="00BA6625"/>
    <w:rsid w:val="00BB58BC"/>
    <w:rsid w:val="00BF13DF"/>
    <w:rsid w:val="00C05DF0"/>
    <w:rsid w:val="00C203B3"/>
    <w:rsid w:val="00C20505"/>
    <w:rsid w:val="00C41284"/>
    <w:rsid w:val="00C76504"/>
    <w:rsid w:val="00C8199C"/>
    <w:rsid w:val="00C850C1"/>
    <w:rsid w:val="00CD157A"/>
    <w:rsid w:val="00CE2529"/>
    <w:rsid w:val="00CE3E9D"/>
    <w:rsid w:val="00CE67DE"/>
    <w:rsid w:val="00D17311"/>
    <w:rsid w:val="00D3091A"/>
    <w:rsid w:val="00D32D04"/>
    <w:rsid w:val="00D43209"/>
    <w:rsid w:val="00D449A9"/>
    <w:rsid w:val="00D501FA"/>
    <w:rsid w:val="00D74DB5"/>
    <w:rsid w:val="00D7563A"/>
    <w:rsid w:val="00D835EB"/>
    <w:rsid w:val="00D83B1A"/>
    <w:rsid w:val="00D9284F"/>
    <w:rsid w:val="00DB52CF"/>
    <w:rsid w:val="00DC1755"/>
    <w:rsid w:val="00DC4151"/>
    <w:rsid w:val="00DE3536"/>
    <w:rsid w:val="00E11082"/>
    <w:rsid w:val="00E14919"/>
    <w:rsid w:val="00E4709E"/>
    <w:rsid w:val="00E57CDB"/>
    <w:rsid w:val="00E655A9"/>
    <w:rsid w:val="00E80F37"/>
    <w:rsid w:val="00E86E05"/>
    <w:rsid w:val="00EA1177"/>
    <w:rsid w:val="00EC25C5"/>
    <w:rsid w:val="00EC76B9"/>
    <w:rsid w:val="00ED5FF9"/>
    <w:rsid w:val="00EE4440"/>
    <w:rsid w:val="00EF09EE"/>
    <w:rsid w:val="00F13BB0"/>
    <w:rsid w:val="00F442F8"/>
    <w:rsid w:val="00F46A02"/>
    <w:rsid w:val="00F523FA"/>
    <w:rsid w:val="00F828EC"/>
    <w:rsid w:val="00F835AA"/>
    <w:rsid w:val="00FB107F"/>
    <w:rsid w:val="00FD1FCC"/>
    <w:rsid w:val="00FD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70FF0"/>
  <w15:chartTrackingRefBased/>
  <w15:docId w15:val="{473553E8-D4C6-4D8B-94FE-592E951918C0}"/>
  <w:evenAndOddHeader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7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D75"/>
  </w:style>
  <w:style w:type="paragraph" w:styleId="a5">
    <w:name w:val="footer"/>
    <w:basedOn w:val="a"/>
    <w:link w:val="a6"/>
    <w:uiPriority w:val="99"/>
    <w:unhideWhenUsed/>
    <w:rsid w:val="00694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4D75"/>
  </w:style>
  <w:style w:type="paragraph" w:styleId="a7">
    <w:name w:val="Balloon Text"/>
    <w:basedOn w:val="a"/>
    <w:link w:val="a8"/>
    <w:uiPriority w:val="99"/>
    <w:semiHidden/>
    <w:unhideWhenUsed/>
    <w:rsid w:val="00655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5A3A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C819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9">
    <w:name w:val="List Paragraph"/>
    <w:basedOn w:val="a"/>
    <w:uiPriority w:val="34"/>
    <w:qFormat/>
    <w:rsid w:val="00544120"/>
    <w:pPr>
      <w:ind w:left="720"/>
      <w:contextualSpacing/>
    </w:pPr>
  </w:style>
  <w:style w:type="table" w:styleId="aa">
    <w:name w:val="Table Grid"/>
    <w:basedOn w:val="a1"/>
    <w:uiPriority w:val="39"/>
    <w:rsid w:val="0061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8749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8749D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a"/>
    <w:uiPriority w:val="99"/>
    <w:rsid w:val="004E75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956C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956C82"/>
    <w:pPr>
      <w:spacing w:after="120"/>
    </w:pPr>
  </w:style>
  <w:style w:type="paragraph" w:styleId="ad">
    <w:name w:val="Title"/>
    <w:basedOn w:val="a"/>
    <w:next w:val="a"/>
    <w:link w:val="ae"/>
    <w:uiPriority w:val="10"/>
    <w:qFormat/>
    <w:rsid w:val="00317E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31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rsid w:val="00317E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317ECB"/>
    <w:rPr>
      <w:rFonts w:eastAsiaTheme="minorEastAsia"/>
      <w:color w:val="5A5A5A" w:themeColor="text1" w:themeTint="A5"/>
      <w:spacing w:val="15"/>
    </w:rPr>
  </w:style>
  <w:style w:type="character" w:styleId="af1">
    <w:name w:val="Subtle Emphasis"/>
    <w:basedOn w:val="a0"/>
    <w:uiPriority w:val="19"/>
    <w:qFormat/>
    <w:rsid w:val="00317ECB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317ECB"/>
    <w:rPr>
      <w:i/>
      <w:iCs/>
    </w:rPr>
  </w:style>
  <w:style w:type="character" w:styleId="af3">
    <w:name w:val="Intense Emphasis"/>
    <w:basedOn w:val="a0"/>
    <w:uiPriority w:val="21"/>
    <w:qFormat/>
    <w:rsid w:val="00317ECB"/>
    <w:rPr>
      <w:i/>
      <w:iCs/>
      <w:color w:val="5B9BD5" w:themeColor="accent1"/>
    </w:rPr>
  </w:style>
  <w:style w:type="character" w:styleId="af4">
    <w:name w:val="Strong"/>
    <w:basedOn w:val="a0"/>
    <w:uiPriority w:val="22"/>
    <w:qFormat/>
    <w:rsid w:val="00317ECB"/>
    <w:rPr>
      <w:b/>
      <w:bCs/>
    </w:rPr>
  </w:style>
  <w:style w:type="character" w:styleId="af5">
    <w:name w:val="Book Title"/>
    <w:basedOn w:val="a0"/>
    <w:uiPriority w:val="33"/>
    <w:qFormat/>
    <w:rsid w:val="00317ECB"/>
    <w:rPr>
      <w:b/>
      <w:bCs/>
      <w:i/>
      <w:iCs/>
      <w:spacing w:val="5"/>
    </w:rPr>
  </w:style>
  <w:style w:type="character" w:styleId="af6">
    <w:name w:val="Subtle Reference"/>
    <w:basedOn w:val="a0"/>
    <w:uiPriority w:val="31"/>
    <w:qFormat/>
    <w:rsid w:val="00317ECB"/>
    <w:rPr>
      <w:smallCaps/>
      <w:color w:val="5A5A5A" w:themeColor="text1" w:themeTint="A5"/>
    </w:rPr>
  </w:style>
  <w:style w:type="character" w:customStyle="1" w:styleId="10">
    <w:name w:val="Заголовок 1 Знак"/>
    <w:basedOn w:val="a0"/>
    <w:link w:val="1"/>
    <w:uiPriority w:val="9"/>
    <w:rsid w:val="00AE7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4425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52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34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40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91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07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61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1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1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7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320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42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1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882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695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47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47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287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393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595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578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817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633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48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3072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0183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4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5075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7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387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05631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?>
<Relationships xmlns="http://schemas.openxmlformats.org/package/2006/relationships"><Relationship Id="rId1" Type="http://schemas.openxmlformats.org/officeDocument/2006/relationships/customXml" Target="../customXml/item1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webSettings" Target="webSettings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fontTable" Target="fontTable.xml" /><Relationship Id="rId1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?>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1D73E-B5B9-4691-B0B8-60C9EB4E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Engineer</cp:lastModifiedBy>
  <cp:revision>3</cp:revision>
  <cp:lastPrinted>2026-07-03T09:10:00Z</cp:lastPrinted>
  <dcterms:created xsi:type="dcterms:W3CDTF">2026-07-03T09:10:00Z</dcterms:created>
  <dcterms:modified xsi:type="dcterms:W3CDTF">2026-07-03T09:10:00Z</dcterms:modified>
</cp:coreProperties>
</file>