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744" w:rsidRDefault="005F7744">
      <w:pPr>
        <w:tabs>
          <w:tab w:val="left" w:pos="3119"/>
        </w:tabs>
        <w:jc w:val="center"/>
        <w:rPr>
          <w:b/>
          <w:sz w:val="24"/>
          <w:szCs w:val="24"/>
        </w:rPr>
      </w:pPr>
    </w:p>
    <w:p w:rsidR="005F7744" w:rsidRDefault="005F7744">
      <w:pPr>
        <w:tabs>
          <w:tab w:val="left" w:pos="3119"/>
        </w:tabs>
        <w:jc w:val="center"/>
        <w:rPr>
          <w:b/>
          <w:sz w:val="24"/>
          <w:szCs w:val="24"/>
        </w:rPr>
      </w:pPr>
    </w:p>
    <w:p w:rsidR="005F7744" w:rsidRDefault="005F7744">
      <w:pPr>
        <w:tabs>
          <w:tab w:val="left" w:pos="3119"/>
        </w:tabs>
        <w:jc w:val="center"/>
        <w:rPr>
          <w:b/>
          <w:sz w:val="24"/>
          <w:szCs w:val="24"/>
        </w:rPr>
      </w:pPr>
      <w:r w:rsidRPr="005F7744">
        <w:rPr>
          <w:b/>
          <w:noProof/>
          <w:sz w:val="24"/>
          <w:szCs w:val="24"/>
        </w:rPr>
        <w:drawing>
          <wp:inline distT="0" distB="0" distL="0" distR="0">
            <wp:extent cx="6299835" cy="8913326"/>
            <wp:effectExtent l="0" t="0" r="571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9835" cy="8913326"/>
                    </a:xfrm>
                    <a:prstGeom prst="rect">
                      <a:avLst/>
                    </a:prstGeom>
                    <a:noFill/>
                    <a:ln>
                      <a:noFill/>
                    </a:ln>
                  </pic:spPr>
                </pic:pic>
              </a:graphicData>
            </a:graphic>
          </wp:inline>
        </w:drawing>
      </w:r>
      <w:bookmarkStart w:id="0" w:name="_GoBack"/>
      <w:bookmarkEnd w:id="0"/>
    </w:p>
    <w:p w:rsidR="005F7744" w:rsidRDefault="005F7744">
      <w:pPr>
        <w:tabs>
          <w:tab w:val="left" w:pos="3119"/>
        </w:tabs>
        <w:jc w:val="center"/>
        <w:rPr>
          <w:b/>
          <w:sz w:val="24"/>
          <w:szCs w:val="24"/>
        </w:rPr>
      </w:pPr>
    </w:p>
    <w:p w:rsidR="00ED19E3" w:rsidRDefault="00636EC6">
      <w:pPr>
        <w:tabs>
          <w:tab w:val="left" w:pos="3119"/>
        </w:tabs>
        <w:jc w:val="center"/>
        <w:rPr>
          <w:b/>
          <w:sz w:val="24"/>
          <w:szCs w:val="24"/>
        </w:rPr>
      </w:pPr>
      <w:r>
        <w:rPr>
          <w:b/>
          <w:sz w:val="24"/>
          <w:szCs w:val="24"/>
        </w:rPr>
        <w:lastRenderedPageBreak/>
        <w:t xml:space="preserve">ИЗВЕЩЕНИЕ </w:t>
      </w:r>
    </w:p>
    <w:p w:rsidR="00ED19E3" w:rsidRDefault="00ED19E3">
      <w:pPr>
        <w:jc w:val="center"/>
        <w:rPr>
          <w:b/>
          <w:sz w:val="24"/>
          <w:szCs w:val="24"/>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139"/>
        <w:gridCol w:w="4961"/>
      </w:tblGrid>
      <w:tr w:rsidR="00ED19E3">
        <w:tc>
          <w:tcPr>
            <w:tcW w:w="993"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jc w:val="center"/>
              <w:rPr>
                <w:b/>
                <w:sz w:val="24"/>
                <w:szCs w:val="24"/>
              </w:rPr>
            </w:pPr>
            <w:r>
              <w:rPr>
                <w:b/>
                <w:sz w:val="24"/>
                <w:szCs w:val="24"/>
              </w:rPr>
              <w:t>№ п/п</w:t>
            </w: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jc w:val="center"/>
              <w:rPr>
                <w:b/>
                <w:sz w:val="24"/>
                <w:szCs w:val="24"/>
              </w:rPr>
            </w:pPr>
            <w:r>
              <w:rPr>
                <w:b/>
                <w:sz w:val="24"/>
                <w:szCs w:val="24"/>
              </w:rPr>
              <w:t>Наименование пункта</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jc w:val="center"/>
              <w:rPr>
                <w:b/>
                <w:sz w:val="24"/>
                <w:szCs w:val="24"/>
              </w:rPr>
            </w:pPr>
            <w:r>
              <w:rPr>
                <w:b/>
                <w:sz w:val="24"/>
                <w:szCs w:val="24"/>
              </w:rPr>
              <w:t>Текст пояснений</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Способ определения поставщика (подрядчика, исполнителя)</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jc w:val="left"/>
              <w:rPr>
                <w:sz w:val="24"/>
                <w:szCs w:val="24"/>
              </w:rPr>
            </w:pPr>
            <w:r>
              <w:rPr>
                <w:sz w:val="24"/>
                <w:szCs w:val="24"/>
              </w:rPr>
              <w:t xml:space="preserve">Запрос предложений в электронной форме </w:t>
            </w:r>
          </w:p>
          <w:p w:rsidR="00ED19E3" w:rsidRDefault="00ED19E3">
            <w:pPr>
              <w:tabs>
                <w:tab w:val="left" w:pos="3119"/>
              </w:tabs>
              <w:jc w:val="left"/>
              <w:rPr>
                <w:sz w:val="24"/>
                <w:szCs w:val="24"/>
              </w:rPr>
            </w:pP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rPr>
                <w:b/>
                <w:sz w:val="24"/>
                <w:szCs w:val="24"/>
              </w:rPr>
            </w:pPr>
            <w:r>
              <w:rPr>
                <w:b/>
                <w:sz w:val="24"/>
                <w:szCs w:val="24"/>
              </w:rPr>
              <w:t>Адрес электронной площадки в информационно-телекоммуникационной сети «Интернет»</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widowControl w:val="0"/>
              <w:rPr>
                <w:sz w:val="24"/>
                <w:szCs w:val="24"/>
              </w:rPr>
            </w:pPr>
            <w:r>
              <w:rPr>
                <w:sz w:val="24"/>
                <w:szCs w:val="24"/>
              </w:rPr>
              <w:t>Электронная торговая площадка «Электронные торги России».</w:t>
            </w:r>
          </w:p>
          <w:p w:rsidR="00ED19E3" w:rsidRDefault="00636EC6">
            <w:pPr>
              <w:tabs>
                <w:tab w:val="left" w:pos="3119"/>
              </w:tabs>
              <w:jc w:val="left"/>
              <w:rPr>
                <w:color w:val="0070C0"/>
                <w:sz w:val="24"/>
                <w:szCs w:val="24"/>
              </w:rPr>
            </w:pPr>
            <w:r>
              <w:rPr>
                <w:sz w:val="24"/>
                <w:szCs w:val="24"/>
              </w:rPr>
              <w:t xml:space="preserve">Адрес электронной площадки в сети Интернет: </w:t>
            </w:r>
            <w:hyperlink r:id="rId8" w:tooltip="https://etp.torgi82.ru" w:history="1">
              <w:r>
                <w:rPr>
                  <w:rStyle w:val="af1"/>
                  <w:sz w:val="24"/>
                  <w:szCs w:val="24"/>
                </w:rPr>
                <w:t>https:/</w:t>
              </w:r>
              <w:r>
                <w:rPr>
                  <w:rStyle w:val="af1"/>
                  <w:sz w:val="24"/>
                  <w:szCs w:val="24"/>
                </w:rPr>
                <w:t>/etp.torgi82.ru</w:t>
              </w:r>
            </w:hyperlink>
          </w:p>
        </w:tc>
      </w:tr>
      <w:tr w:rsidR="00ED19E3">
        <w:trPr>
          <w:trHeight w:val="1521"/>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sz w:val="24"/>
                <w:szCs w:val="24"/>
              </w:rPr>
            </w:pPr>
            <w:r>
              <w:rPr>
                <w:sz w:val="24"/>
                <w:szCs w:val="24"/>
              </w:rPr>
              <w:t xml:space="preserve">Государственное бюджетное учреждение Запорожской области «Ветеринарный центр», 272309, Запорожская область, Г.О. Мелитополь, г. Мелитополь, ул. </w:t>
            </w:r>
            <w:proofErr w:type="spellStart"/>
            <w:r>
              <w:rPr>
                <w:sz w:val="24"/>
                <w:szCs w:val="24"/>
              </w:rPr>
              <w:t>Седовцев</w:t>
            </w:r>
            <w:proofErr w:type="spellEnd"/>
            <w:r>
              <w:rPr>
                <w:sz w:val="24"/>
                <w:szCs w:val="24"/>
              </w:rPr>
              <w:t xml:space="preserve">, 101/1, </w:t>
            </w:r>
          </w:p>
          <w:p w:rsidR="00ED19E3" w:rsidRDefault="00636EC6">
            <w:pPr>
              <w:rPr>
                <w:rFonts w:eastAsia="Calibri"/>
                <w:sz w:val="19"/>
                <w:szCs w:val="19"/>
              </w:rPr>
            </w:pPr>
            <w:r>
              <w:rPr>
                <w:spacing w:val="-7"/>
                <w:sz w:val="19"/>
                <w:szCs w:val="19"/>
              </w:rPr>
              <w:t> </w:t>
            </w:r>
            <w:hyperlink r:id="rId9" w:tooltip="mailto:info@gbuzovetcentr.ru" w:history="1">
              <w:r>
                <w:rPr>
                  <w:rStyle w:val="af1"/>
                  <w:rFonts w:eastAsia="Calibri"/>
                  <w:sz w:val="19"/>
                  <w:szCs w:val="19"/>
                </w:rPr>
                <w:t>info@gbuzovetc</w:t>
              </w:r>
              <w:r>
                <w:rPr>
                  <w:rStyle w:val="af1"/>
                  <w:rFonts w:eastAsia="Calibri"/>
                  <w:sz w:val="19"/>
                  <w:szCs w:val="19"/>
                </w:rPr>
                <w:t>entr.ru</w:t>
              </w:r>
            </w:hyperlink>
          </w:p>
          <w:p w:rsidR="00ED19E3" w:rsidRDefault="00636EC6">
            <w:pPr>
              <w:rPr>
                <w:rFonts w:eastAsia="Calibri"/>
                <w:sz w:val="24"/>
                <w:szCs w:val="24"/>
                <w:lang w:eastAsia="en-US"/>
              </w:rPr>
            </w:pPr>
            <w:r>
              <w:rPr>
                <w:sz w:val="24"/>
                <w:szCs w:val="24"/>
              </w:rPr>
              <w:t>тел.: + 7 (978) 72 09 086 Колесникова АА</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Идентификационный код закупки</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jc w:val="left"/>
              <w:rPr>
                <w:sz w:val="24"/>
                <w:szCs w:val="24"/>
                <w:highlight w:val="yellow"/>
              </w:rPr>
            </w:pPr>
            <w:r>
              <w:rPr>
                <w:b/>
                <w:sz w:val="24"/>
                <w:szCs w:val="24"/>
              </w:rPr>
              <w:t>-</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 xml:space="preserve">Наименование и описание объекта закупки с указанием количества товара, объема выполняемой </w:t>
            </w:r>
            <w:r>
              <w:rPr>
                <w:b/>
                <w:bCs/>
                <w:sz w:val="24"/>
                <w:szCs w:val="24"/>
              </w:rPr>
              <w:t>работы или оказываемой услуги</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sz w:val="24"/>
                <w:szCs w:val="24"/>
              </w:rPr>
            </w:pPr>
            <w:r>
              <w:rPr>
                <w:sz w:val="24"/>
                <w:szCs w:val="24"/>
              </w:rPr>
              <w:t xml:space="preserve"> </w:t>
            </w:r>
            <w:r>
              <w:rPr>
                <w:bCs/>
                <w:sz w:val="24"/>
                <w:szCs w:val="24"/>
              </w:rPr>
              <w:t>Поставка</w:t>
            </w:r>
            <w:r>
              <w:rPr>
                <w:bCs/>
                <w:sz w:val="24"/>
                <w:szCs w:val="24"/>
              </w:rPr>
              <w:t xml:space="preserve"> вакцины для профилактической оральной иммунизации против бешенства диких плотоядных животных</w:t>
            </w:r>
          </w:p>
        </w:tc>
      </w:tr>
      <w:tr w:rsidR="00ED19E3">
        <w:trPr>
          <w:trHeight w:val="233"/>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bCs/>
                <w:sz w:val="24"/>
                <w:szCs w:val="24"/>
              </w:rPr>
              <w:t>Условия договора</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sz w:val="24"/>
                <w:szCs w:val="24"/>
              </w:rPr>
            </w:pPr>
            <w:r>
              <w:rPr>
                <w:sz w:val="24"/>
                <w:szCs w:val="24"/>
              </w:rPr>
              <w:t xml:space="preserve">Представлены в проекте договора (далее – договор) </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bCs/>
                <w:sz w:val="24"/>
                <w:szCs w:val="24"/>
              </w:rPr>
              <w:t>Место доставки товара, место выполнения работы или оказания услуги</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sz w:val="24"/>
                <w:szCs w:val="24"/>
              </w:rPr>
            </w:pPr>
            <w:r>
              <w:rPr>
                <w:sz w:val="24"/>
                <w:szCs w:val="24"/>
              </w:rPr>
              <w:t xml:space="preserve">Согласно Технического задания </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bCs/>
                <w:sz w:val="24"/>
                <w:szCs w:val="24"/>
              </w:rPr>
              <w:t>Срок поставки товара или завершения работы либо график оказания услуг</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sz w:val="24"/>
                <w:szCs w:val="24"/>
              </w:rPr>
            </w:pPr>
            <w:r>
              <w:rPr>
                <w:sz w:val="24"/>
                <w:szCs w:val="24"/>
              </w:rPr>
              <w:t xml:space="preserve">Согласно условиям проекта договора </w:t>
            </w:r>
          </w:p>
        </w:tc>
      </w:tr>
      <w:tr w:rsidR="00ED19E3">
        <w:trPr>
          <w:trHeight w:val="266"/>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Начальная (максимальная) цена договора, руб.</w:t>
            </w:r>
          </w:p>
          <w:p w:rsidR="00ED19E3" w:rsidRDefault="00636EC6">
            <w:pPr>
              <w:tabs>
                <w:tab w:val="left" w:pos="3119"/>
              </w:tabs>
              <w:rPr>
                <w:b/>
                <w:sz w:val="24"/>
                <w:szCs w:val="24"/>
              </w:rPr>
            </w:pPr>
            <w:r>
              <w:rPr>
                <w:b/>
                <w:sz w:val="24"/>
                <w:szCs w:val="24"/>
              </w:rPr>
              <w:t xml:space="preserve">Обоснование начальной (максимальной) цены договора, </w:t>
            </w:r>
            <w:r>
              <w:rPr>
                <w:b/>
                <w:bCs/>
                <w:sz w:val="24"/>
                <w:szCs w:val="24"/>
              </w:rPr>
              <w:t>начальных цен единиц товара, работы, услуги)</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color w:val="000000"/>
                <w:sz w:val="24"/>
                <w:szCs w:val="24"/>
              </w:rPr>
            </w:pPr>
            <w:r>
              <w:rPr>
                <w:b/>
                <w:color w:val="000000"/>
                <w:sz w:val="24"/>
                <w:szCs w:val="24"/>
              </w:rPr>
              <w:t>21 432 600,00 (двадцать один миллион четыреста тридцать две тысячи шестьсот рублей 00 копеек).</w:t>
            </w:r>
          </w:p>
          <w:p w:rsidR="00ED19E3" w:rsidRDefault="00ED19E3">
            <w:pPr>
              <w:tabs>
                <w:tab w:val="left" w:pos="3119"/>
              </w:tabs>
              <w:rPr>
                <w:b/>
                <w:color w:val="000000"/>
                <w:sz w:val="24"/>
                <w:szCs w:val="24"/>
              </w:rPr>
            </w:pPr>
          </w:p>
          <w:p w:rsidR="00ED19E3" w:rsidRDefault="00636EC6">
            <w:pPr>
              <w:tabs>
                <w:tab w:val="left" w:pos="3119"/>
              </w:tabs>
              <w:rPr>
                <w:sz w:val="24"/>
                <w:szCs w:val="24"/>
              </w:rPr>
            </w:pPr>
            <w:r>
              <w:rPr>
                <w:sz w:val="24"/>
                <w:szCs w:val="24"/>
              </w:rPr>
              <w:t>Начальная (максимальная) цена договора (цена единицы товара, работы, услуги) указана с учетом расходов на перевозку</w:t>
            </w:r>
            <w:r>
              <w:rPr>
                <w:sz w:val="24"/>
                <w:szCs w:val="24"/>
              </w:rPr>
              <w:t xml:space="preserve">, страхование, уплату таможенных пошлин, налогов и других обязательных платежей. Обоснование начальной (максимальной) цены договора представлено в расчёте НМЦД </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Источник финансирования</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contextualSpacing/>
              <w:rPr>
                <w:sz w:val="24"/>
                <w:szCs w:val="24"/>
              </w:rPr>
            </w:pPr>
            <w:bookmarkStart w:id="1" w:name="OLE_LINK9"/>
            <w:bookmarkStart w:id="2" w:name="OLE_LINK10"/>
            <w:r>
              <w:rPr>
                <w:sz w:val="24"/>
                <w:szCs w:val="24"/>
              </w:rPr>
              <w:t xml:space="preserve">Средства </w:t>
            </w:r>
            <w:bookmarkEnd w:id="1"/>
            <w:bookmarkEnd w:id="2"/>
            <w:r>
              <w:rPr>
                <w:sz w:val="24"/>
                <w:szCs w:val="24"/>
              </w:rPr>
              <w:t>бюджетного учреждения (средства, полученные от приносящей доход деятельности)</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bCs/>
                <w:sz w:val="24"/>
                <w:szCs w:val="24"/>
              </w:rPr>
              <w:t>Требования, предъявляемые к участникам запроса предложений в электронной форме</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color w:val="000000"/>
                <w:sz w:val="24"/>
                <w:szCs w:val="24"/>
              </w:rPr>
            </w:pPr>
            <w:r>
              <w:rPr>
                <w:color w:val="000000"/>
                <w:sz w:val="24"/>
                <w:szCs w:val="24"/>
              </w:rPr>
              <w:t xml:space="preserve">1) 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 - </w:t>
            </w:r>
            <w:r>
              <w:rPr>
                <w:b/>
                <w:bCs/>
                <w:color w:val="000000"/>
                <w:sz w:val="24"/>
                <w:szCs w:val="24"/>
              </w:rPr>
              <w:t>не установлено</w:t>
            </w:r>
            <w:r>
              <w:rPr>
                <w:color w:val="000000"/>
                <w:sz w:val="24"/>
                <w:szCs w:val="24"/>
              </w:rPr>
              <w:t>;</w:t>
            </w:r>
          </w:p>
          <w:p w:rsidR="00ED19E3" w:rsidRDefault="00636EC6">
            <w:pPr>
              <w:rPr>
                <w:color w:val="000000"/>
                <w:sz w:val="24"/>
                <w:szCs w:val="24"/>
              </w:rPr>
            </w:pPr>
            <w:r>
              <w:rPr>
                <w:color w:val="000000"/>
                <w:sz w:val="24"/>
                <w:szCs w:val="24"/>
              </w:rPr>
              <w:t>2) участник закупки должен отвечать требованиям доку</w:t>
            </w:r>
            <w:r>
              <w:rPr>
                <w:color w:val="000000"/>
                <w:sz w:val="24"/>
                <w:szCs w:val="24"/>
              </w:rPr>
              <w:t>ментации (извещения) о закупке;</w:t>
            </w:r>
          </w:p>
          <w:p w:rsidR="00ED19E3" w:rsidRDefault="00636EC6">
            <w:pPr>
              <w:rPr>
                <w:color w:val="000000"/>
                <w:sz w:val="24"/>
                <w:szCs w:val="24"/>
              </w:rPr>
            </w:pPr>
            <w:r>
              <w:rPr>
                <w:color w:val="000000"/>
                <w:sz w:val="24"/>
                <w:szCs w:val="24"/>
              </w:rPr>
              <w:t xml:space="preserve">3) участник закупки не находится в процессе ликвидации (для участника – юридического лица), не признан по решению арбитражного </w:t>
            </w:r>
            <w:r>
              <w:rPr>
                <w:color w:val="000000"/>
                <w:sz w:val="24"/>
                <w:szCs w:val="24"/>
              </w:rPr>
              <w:lastRenderedPageBreak/>
              <w:t>суда несостоятельным (банкротом) (для участника – как юридического, так и физического лица);</w:t>
            </w:r>
          </w:p>
          <w:p w:rsidR="00ED19E3" w:rsidRDefault="00636EC6">
            <w:pPr>
              <w:rPr>
                <w:color w:val="000000"/>
                <w:sz w:val="24"/>
                <w:szCs w:val="24"/>
              </w:rPr>
            </w:pPr>
            <w:r>
              <w:rPr>
                <w:color w:val="000000"/>
                <w:sz w:val="24"/>
                <w:szCs w:val="24"/>
              </w:rPr>
              <w:t>4) н</w:t>
            </w:r>
            <w:r>
              <w:rPr>
                <w:color w:val="000000"/>
                <w:sz w:val="24"/>
                <w:szCs w:val="24"/>
              </w:rPr>
              <w:t>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rsidR="00ED19E3" w:rsidRDefault="00636EC6">
            <w:pPr>
              <w:rPr>
                <w:color w:val="000000"/>
                <w:sz w:val="24"/>
                <w:szCs w:val="24"/>
              </w:rPr>
            </w:pPr>
            <w:r>
              <w:rPr>
                <w:color w:val="000000"/>
                <w:sz w:val="24"/>
                <w:szCs w:val="24"/>
              </w:rPr>
              <w:t>5) отсутствие у участника конкурентной закупки с участием субъектов малого и среднего предпринимательства недо</w:t>
            </w:r>
            <w:r>
              <w:rPr>
                <w:color w:val="000000"/>
                <w:sz w:val="24"/>
                <w:szCs w:val="24"/>
              </w:rPr>
              <w:t>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w:t>
            </w:r>
            <w:r>
              <w:rPr>
                <w:color w:val="000000"/>
                <w:sz w:val="24"/>
                <w:szCs w:val="24"/>
              </w:rPr>
              <w:t>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w:t>
            </w:r>
            <w:r>
              <w:rPr>
                <w:color w:val="000000"/>
                <w:sz w:val="24"/>
                <w:szCs w:val="24"/>
              </w:rPr>
              <w:t>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w:t>
            </w:r>
            <w:r>
              <w:rPr>
                <w:color w:val="000000"/>
                <w:sz w:val="24"/>
                <w:szCs w:val="24"/>
              </w:rPr>
              <w:t>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w:t>
            </w:r>
            <w:r>
              <w:rPr>
                <w:color w:val="000000"/>
                <w:sz w:val="24"/>
                <w:szCs w:val="24"/>
              </w:rPr>
              <w:t>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отсутствие фактов привлечения в течение двух лет до момента подачи заявки на участие в конкурентной</w:t>
            </w:r>
            <w:r>
              <w:rPr>
                <w:color w:val="000000"/>
                <w:sz w:val="24"/>
                <w:szCs w:val="24"/>
              </w:rPr>
              <w:t xml:space="preserve">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w:t>
            </w:r>
            <w:r>
              <w:rPr>
                <w:color w:val="000000"/>
                <w:sz w:val="24"/>
                <w:szCs w:val="24"/>
              </w:rPr>
              <w:t>б административных правонарушениях;</w:t>
            </w:r>
          </w:p>
          <w:p w:rsidR="00ED19E3" w:rsidRDefault="00636EC6">
            <w:pPr>
              <w:rPr>
                <w:color w:val="000000"/>
                <w:sz w:val="24"/>
                <w:szCs w:val="24"/>
              </w:rPr>
            </w:pPr>
            <w:r>
              <w:rPr>
                <w:color w:val="000000"/>
                <w:sz w:val="24"/>
                <w:szCs w:val="24"/>
              </w:rPr>
              <w:t>6) сведения об участнике закупки отсутствуют в реестрах недобросовестных поставщиков, ведение которых предусмотрено Законом № 223-ФЗ и Законом № 44-ФЗ;</w:t>
            </w:r>
          </w:p>
          <w:p w:rsidR="00ED19E3" w:rsidRDefault="00636EC6">
            <w:pPr>
              <w:rPr>
                <w:color w:val="000000"/>
                <w:sz w:val="24"/>
                <w:szCs w:val="24"/>
              </w:rPr>
            </w:pPr>
            <w:r>
              <w:rPr>
                <w:color w:val="000000"/>
                <w:sz w:val="24"/>
                <w:szCs w:val="24"/>
              </w:rPr>
              <w:lastRenderedPageBreak/>
              <w:t>7) участник закупки обладает исключительными правами на интеллектуал</w:t>
            </w:r>
            <w:r>
              <w:rPr>
                <w:color w:val="000000"/>
                <w:sz w:val="24"/>
                <w:szCs w:val="24"/>
              </w:rPr>
              <w:t>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w:t>
            </w:r>
            <w:r>
              <w:rPr>
                <w:color w:val="000000"/>
                <w:sz w:val="24"/>
                <w:szCs w:val="24"/>
              </w:rPr>
              <w:t xml:space="preserve"> либо исполнение договора предполагает ее использование - </w:t>
            </w:r>
            <w:r>
              <w:rPr>
                <w:b/>
                <w:bCs/>
                <w:color w:val="000000"/>
                <w:sz w:val="24"/>
                <w:szCs w:val="24"/>
              </w:rPr>
              <w:t>не установлено</w:t>
            </w:r>
            <w:r>
              <w:rPr>
                <w:color w:val="000000"/>
                <w:sz w:val="24"/>
                <w:szCs w:val="24"/>
              </w:rPr>
              <w:t>;</w:t>
            </w:r>
          </w:p>
          <w:p w:rsidR="00ED19E3" w:rsidRDefault="00636EC6">
            <w:pPr>
              <w:rPr>
                <w:color w:val="000000"/>
                <w:sz w:val="24"/>
                <w:szCs w:val="24"/>
              </w:rPr>
            </w:pPr>
            <w:r>
              <w:rPr>
                <w:color w:val="000000"/>
                <w:sz w:val="24"/>
                <w:szCs w:val="24"/>
              </w:rPr>
              <w:t>8) отсутствие у участника закупки ограничений для участия в закупках, установленных законодательством РФ;</w:t>
            </w:r>
          </w:p>
          <w:p w:rsidR="00ED19E3" w:rsidRDefault="00636EC6">
            <w:pPr>
              <w:rPr>
                <w:color w:val="000000"/>
                <w:sz w:val="24"/>
                <w:szCs w:val="24"/>
              </w:rPr>
            </w:pPr>
            <w:r>
              <w:rPr>
                <w:color w:val="000000"/>
                <w:sz w:val="24"/>
                <w:szCs w:val="24"/>
              </w:rPr>
              <w:t>9) участник закупки не является иностранным агентом в соответствии с Федерал</w:t>
            </w:r>
            <w:r>
              <w:rPr>
                <w:color w:val="000000"/>
                <w:sz w:val="24"/>
                <w:szCs w:val="24"/>
              </w:rPr>
              <w:t>ьным законом от 14 июля 2022 года № 255-ФЗ «О контроле за деятельностью лиц, находящихся под иностранным влиянием»;</w:t>
            </w:r>
          </w:p>
          <w:p w:rsidR="00ED19E3" w:rsidRDefault="00636EC6">
            <w:pPr>
              <w:rPr>
                <w:color w:val="000000"/>
                <w:sz w:val="24"/>
                <w:szCs w:val="24"/>
              </w:rPr>
            </w:pPr>
            <w:r>
              <w:rPr>
                <w:color w:val="000000"/>
                <w:sz w:val="24"/>
                <w:szCs w:val="24"/>
              </w:rPr>
              <w:t>10) отсутствие между участником закупки и Заказчиком конфликта интересов, под которым понимаются обстоятельства, при которых должностное лиц</w:t>
            </w:r>
            <w:r>
              <w:rPr>
                <w:color w:val="000000"/>
                <w:sz w:val="24"/>
                <w:szCs w:val="24"/>
              </w:rPr>
              <w:t>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w:t>
            </w:r>
            <w:r>
              <w:rPr>
                <w:color w:val="000000"/>
                <w:sz w:val="24"/>
                <w:szCs w:val="24"/>
              </w:rPr>
              <w:t>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ED19E3" w:rsidRDefault="00636EC6">
            <w:pPr>
              <w:rPr>
                <w:color w:val="000000"/>
                <w:sz w:val="24"/>
                <w:szCs w:val="24"/>
              </w:rPr>
            </w:pPr>
            <w:r>
              <w:rPr>
                <w:color w:val="000000"/>
                <w:sz w:val="24"/>
                <w:szCs w:val="24"/>
              </w:rPr>
              <w:t xml:space="preserve">а) физическим лицом (в том числе зарегистрированным в качестве индивидуального </w:t>
            </w:r>
            <w:r>
              <w:rPr>
                <w:color w:val="000000"/>
                <w:sz w:val="24"/>
                <w:szCs w:val="24"/>
              </w:rPr>
              <w:t>предпринимателя), являющимся участником закупки;</w:t>
            </w:r>
          </w:p>
          <w:p w:rsidR="00ED19E3" w:rsidRDefault="00636EC6">
            <w:pPr>
              <w:rPr>
                <w:color w:val="000000"/>
                <w:sz w:val="24"/>
                <w:szCs w:val="24"/>
              </w:rPr>
            </w:pPr>
            <w:r>
              <w:rPr>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D19E3" w:rsidRDefault="00636EC6">
            <w:pPr>
              <w:rPr>
                <w:color w:val="000000"/>
                <w:sz w:val="24"/>
                <w:szCs w:val="24"/>
              </w:rPr>
            </w:pPr>
            <w:r>
              <w:rPr>
                <w:color w:val="000000"/>
                <w:sz w:val="24"/>
                <w:szCs w:val="24"/>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w:t>
            </w:r>
            <w:r>
              <w:rPr>
                <w:color w:val="000000"/>
                <w:sz w:val="24"/>
                <w:szCs w:val="24"/>
              </w:rPr>
              <w:t xml:space="preserve">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w:t>
            </w:r>
            <w:r>
              <w:rPr>
                <w:color w:val="000000"/>
                <w:sz w:val="24"/>
                <w:szCs w:val="24"/>
              </w:rPr>
              <w:lastRenderedPageBreak/>
              <w:t>через несколько юрид</w:t>
            </w:r>
            <w:r>
              <w:rPr>
                <w:color w:val="000000"/>
                <w:sz w:val="24"/>
                <w:szCs w:val="24"/>
              </w:rPr>
              <w:t>ических лиц) долей, превышающей десять процентов в уставном (складочном) капитале хозяйственного товарищества или общества;</w:t>
            </w:r>
          </w:p>
          <w:p w:rsidR="00ED19E3" w:rsidRDefault="00636EC6">
            <w:pPr>
              <w:rPr>
                <w:color w:val="000000"/>
                <w:sz w:val="24"/>
                <w:szCs w:val="24"/>
              </w:rPr>
            </w:pPr>
            <w:r>
              <w:rPr>
                <w:color w:val="000000"/>
                <w:sz w:val="24"/>
                <w:szCs w:val="24"/>
              </w:rPr>
              <w:t>11) отсутствие у участника закупки – физического лица, зарегистрированного в качестве индивидуального предпринимателя, либо у руково</w:t>
            </w:r>
            <w:r>
              <w:rPr>
                <w:color w:val="000000"/>
                <w:sz w:val="24"/>
                <w:szCs w:val="24"/>
              </w:rPr>
              <w:t>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w:t>
            </w:r>
            <w:r>
              <w:rPr>
                <w:color w:val="000000"/>
                <w:sz w:val="24"/>
                <w:szCs w:val="24"/>
              </w:rPr>
              <w:t>)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w:t>
            </w:r>
            <w:r>
              <w:rPr>
                <w:color w:val="000000"/>
                <w:sz w:val="24"/>
                <w:szCs w:val="24"/>
              </w:rPr>
              <w:t>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ED19E3" w:rsidRDefault="00636EC6">
            <w:pPr>
              <w:rPr>
                <w:color w:val="000000"/>
                <w:sz w:val="24"/>
                <w:szCs w:val="24"/>
              </w:rPr>
            </w:pPr>
            <w:r>
              <w:rPr>
                <w:color w:val="000000"/>
                <w:sz w:val="24"/>
                <w:szCs w:val="24"/>
              </w:rPr>
              <w:t>12) отсутствие фактов привлечения в течение двух лет до момента подачи з</w:t>
            </w:r>
            <w:r>
              <w:rPr>
                <w:color w:val="000000"/>
                <w:sz w:val="24"/>
                <w:szCs w:val="24"/>
              </w:rPr>
              <w:t>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w:t>
            </w:r>
            <w:r>
              <w:rPr>
                <w:color w:val="000000"/>
                <w:sz w:val="24"/>
                <w:szCs w:val="24"/>
              </w:rPr>
              <w:t xml:space="preserve"> Кодекса Российской Федерации об административных правонарушениях;</w:t>
            </w:r>
          </w:p>
          <w:p w:rsidR="00ED19E3" w:rsidRDefault="00636EC6">
            <w:pPr>
              <w:rPr>
                <w:color w:val="000000"/>
                <w:sz w:val="24"/>
                <w:szCs w:val="24"/>
              </w:rPr>
            </w:pPr>
            <w:r>
              <w:rPr>
                <w:color w:val="000000"/>
                <w:sz w:val="24"/>
                <w:szCs w:val="24"/>
              </w:rPr>
              <w:t xml:space="preserve">13) участник является СМСП или самозанятым, если закупка проводится в соответствии с подпунктом 2 пункта 7.1.2 Положения – </w:t>
            </w:r>
            <w:r>
              <w:rPr>
                <w:b/>
                <w:bCs/>
                <w:color w:val="000000"/>
                <w:sz w:val="24"/>
                <w:szCs w:val="24"/>
              </w:rPr>
              <w:t>не</w:t>
            </w:r>
            <w:r>
              <w:rPr>
                <w:color w:val="000000"/>
                <w:sz w:val="24"/>
                <w:szCs w:val="24"/>
              </w:rPr>
              <w:t xml:space="preserve"> </w:t>
            </w:r>
            <w:r>
              <w:rPr>
                <w:b/>
                <w:bCs/>
                <w:color w:val="000000"/>
                <w:sz w:val="24"/>
                <w:szCs w:val="24"/>
              </w:rPr>
              <w:t>установлено</w:t>
            </w:r>
            <w:r>
              <w:rPr>
                <w:color w:val="000000"/>
                <w:sz w:val="24"/>
                <w:szCs w:val="24"/>
              </w:rPr>
              <w:t>;</w:t>
            </w:r>
          </w:p>
          <w:p w:rsidR="00ED19E3" w:rsidRDefault="00636EC6">
            <w:pPr>
              <w:rPr>
                <w:color w:val="000000"/>
                <w:sz w:val="24"/>
                <w:szCs w:val="24"/>
              </w:rPr>
            </w:pPr>
            <w:r>
              <w:rPr>
                <w:color w:val="000000"/>
                <w:sz w:val="24"/>
                <w:szCs w:val="24"/>
              </w:rPr>
              <w:t>14) информация и документы, определенные в соответ</w:t>
            </w:r>
            <w:r>
              <w:rPr>
                <w:color w:val="000000"/>
                <w:sz w:val="24"/>
                <w:szCs w:val="24"/>
              </w:rPr>
              <w:t>ствии с п. 2 части 2 статьи 3.1-4 Закона 223-ФЗ при условии установления Правительством РФ запретов, ограничений и преимуществ, предусмотренного в соответствии с п. 1 ч. 2 ст. 3.1-4 Закона № 223-ФЗ</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Перечень информации и электронных документов, которые до</w:t>
            </w:r>
            <w:r>
              <w:rPr>
                <w:b/>
                <w:sz w:val="24"/>
                <w:szCs w:val="24"/>
              </w:rPr>
              <w:t xml:space="preserve">лжны быть представлены участником запроса предложений в электронной форме </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color w:val="000000"/>
                <w:sz w:val="24"/>
                <w:szCs w:val="24"/>
              </w:rPr>
            </w:pPr>
            <w:r>
              <w:rPr>
                <w:color w:val="000000"/>
                <w:sz w:val="24"/>
                <w:szCs w:val="24"/>
              </w:rPr>
              <w:t>1) документ, содержащий сведения об участнике закупки, подавшем заявку: ИНН/КПП/ОГРН, фирменное наимен</w:t>
            </w:r>
            <w:r>
              <w:rPr>
                <w:color w:val="000000"/>
                <w:sz w:val="24"/>
                <w:szCs w:val="24"/>
              </w:rPr>
              <w:t>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rsidR="00ED19E3" w:rsidRDefault="00636EC6">
            <w:pPr>
              <w:rPr>
                <w:color w:val="000000"/>
                <w:sz w:val="24"/>
                <w:szCs w:val="24"/>
              </w:rPr>
            </w:pPr>
            <w:r>
              <w:rPr>
                <w:color w:val="000000"/>
                <w:sz w:val="24"/>
                <w:szCs w:val="24"/>
              </w:rPr>
              <w:lastRenderedPageBreak/>
              <w:t>2) копии учредительных документов участника закупки (для юридических лиц);</w:t>
            </w:r>
          </w:p>
          <w:p w:rsidR="00ED19E3" w:rsidRDefault="00636EC6">
            <w:pPr>
              <w:rPr>
                <w:color w:val="000000"/>
                <w:sz w:val="24"/>
                <w:szCs w:val="24"/>
              </w:rPr>
            </w:pPr>
            <w:r>
              <w:rPr>
                <w:color w:val="000000"/>
                <w:sz w:val="24"/>
                <w:szCs w:val="24"/>
              </w:rPr>
              <w:t>3) копии документов, удостоверяющих личность (для физических лиц);</w:t>
            </w:r>
          </w:p>
          <w:p w:rsidR="00ED19E3" w:rsidRDefault="00636EC6">
            <w:pPr>
              <w:rPr>
                <w:color w:val="000000"/>
                <w:sz w:val="24"/>
                <w:szCs w:val="24"/>
              </w:rPr>
            </w:pPr>
            <w:r>
              <w:rPr>
                <w:color w:val="000000"/>
                <w:sz w:val="24"/>
                <w:szCs w:val="24"/>
              </w:rPr>
              <w:t>4) выписку из Единого государственного реестра юридических лиц (для юридических лиц) либо Единого государственног</w:t>
            </w:r>
            <w:r>
              <w:rPr>
                <w:color w:val="000000"/>
                <w:sz w:val="24"/>
                <w:szCs w:val="24"/>
              </w:rPr>
              <w:t>о реестра индивидуальных предпринимателей (для индивидуальных предпринимателей), полученную не ранее чем за месяц до дня размещения в ЕИС, на официальном сайте извещения о проведении запроса предложений, или нотариально заверенную копию такой выписки;</w:t>
            </w:r>
          </w:p>
          <w:p w:rsidR="00ED19E3" w:rsidRDefault="00636EC6">
            <w:pPr>
              <w:rPr>
                <w:color w:val="000000"/>
                <w:sz w:val="24"/>
                <w:szCs w:val="24"/>
              </w:rPr>
            </w:pPr>
            <w:r>
              <w:rPr>
                <w:color w:val="000000"/>
                <w:sz w:val="24"/>
                <w:szCs w:val="24"/>
              </w:rPr>
              <w:t>5) н</w:t>
            </w:r>
            <w:r>
              <w:rPr>
                <w:color w:val="000000"/>
                <w:sz w:val="24"/>
                <w:szCs w:val="24"/>
              </w:rPr>
              <w:t>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w:t>
            </w:r>
            <w:r>
              <w:rPr>
                <w:color w:val="000000"/>
                <w:sz w:val="24"/>
                <w:szCs w:val="24"/>
              </w:rPr>
              <w:t>чены не ранее чем за шесть месяцев до дня размещения в ЕИС, на официальном сайте извещения о проведении запроса предложений;</w:t>
            </w:r>
          </w:p>
          <w:p w:rsidR="00ED19E3" w:rsidRDefault="00636EC6">
            <w:pPr>
              <w:rPr>
                <w:color w:val="000000"/>
                <w:sz w:val="24"/>
                <w:szCs w:val="24"/>
              </w:rPr>
            </w:pPr>
            <w:r>
              <w:rPr>
                <w:color w:val="000000"/>
                <w:sz w:val="24"/>
                <w:szCs w:val="24"/>
              </w:rPr>
              <w:t>6) документ, подтверждающий полномочия лица осуществлять действия от имени участник</w:t>
            </w:r>
            <w:r>
              <w:rPr>
                <w:color w:val="000000"/>
                <w:sz w:val="24"/>
                <w:szCs w:val="24"/>
              </w:rPr>
              <w:t xml:space="preserve">а закупки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закупки без доверенности). Если от имени участника запроса </w:t>
            </w:r>
            <w:r>
              <w:rPr>
                <w:color w:val="000000"/>
                <w:sz w:val="24"/>
                <w:szCs w:val="24"/>
              </w:rPr>
              <w:t>предложений действует иное лицо, заявка должна включать и доверенность на осуществление действий от имени участника закупки, заверенную печатью участника закупки (при наличии) и подписанную от его имени лицом (лицами), которому (которым) в соответствии с з</w:t>
            </w:r>
            <w:r>
              <w:rPr>
                <w:color w:val="000000"/>
                <w:sz w:val="24"/>
                <w:szCs w:val="24"/>
              </w:rPr>
              <w:t>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ED19E3" w:rsidRDefault="00636EC6">
            <w:pPr>
              <w:rPr>
                <w:color w:val="000000"/>
                <w:sz w:val="24"/>
                <w:szCs w:val="24"/>
              </w:rPr>
            </w:pPr>
            <w:r>
              <w:rPr>
                <w:color w:val="000000"/>
                <w:sz w:val="24"/>
                <w:szCs w:val="24"/>
              </w:rPr>
              <w:t>7) решение об одобрении или о совершении крупной сделки (его копию), если требование о не</w:t>
            </w:r>
            <w:r>
              <w:rPr>
                <w:color w:val="000000"/>
                <w:sz w:val="24"/>
                <w:szCs w:val="24"/>
              </w:rPr>
              <w:t>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закупки поставка товаров, выполнение работ, оказание услуг, выступающих предметом договора, предост</w:t>
            </w:r>
            <w:r>
              <w:rPr>
                <w:color w:val="000000"/>
                <w:sz w:val="24"/>
                <w:szCs w:val="24"/>
              </w:rPr>
              <w:t xml:space="preserve">авление обеспечения заявки, обеспечения исполнения договора являются крупной сделкой. Если указанные действия не считаются для участника закупки крупной </w:t>
            </w:r>
            <w:r>
              <w:rPr>
                <w:color w:val="000000"/>
                <w:sz w:val="24"/>
                <w:szCs w:val="24"/>
              </w:rPr>
              <w:lastRenderedPageBreak/>
              <w:t>сделкой, представляется соответствующее письмо;</w:t>
            </w:r>
          </w:p>
          <w:p w:rsidR="00ED19E3" w:rsidRDefault="00636EC6">
            <w:pPr>
              <w:rPr>
                <w:color w:val="000000"/>
                <w:sz w:val="24"/>
                <w:szCs w:val="24"/>
              </w:rPr>
            </w:pPr>
            <w:r>
              <w:rPr>
                <w:color w:val="000000"/>
                <w:sz w:val="24"/>
                <w:szCs w:val="24"/>
              </w:rPr>
              <w:t>8) документ, декларирующий следующее:</w:t>
            </w:r>
          </w:p>
          <w:p w:rsidR="00ED19E3" w:rsidRDefault="00636EC6">
            <w:pPr>
              <w:rPr>
                <w:color w:val="000000"/>
                <w:sz w:val="24"/>
                <w:szCs w:val="24"/>
              </w:rPr>
            </w:pPr>
            <w:r>
              <w:rPr>
                <w:color w:val="000000"/>
                <w:sz w:val="24"/>
                <w:szCs w:val="24"/>
              </w:rPr>
              <w:t>- участник закупк</w:t>
            </w:r>
            <w:r>
              <w:rPr>
                <w:color w:val="000000"/>
                <w:sz w:val="24"/>
                <w:szCs w:val="24"/>
              </w:rPr>
              <w:t>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ED19E3" w:rsidRDefault="00636EC6">
            <w:pPr>
              <w:rPr>
                <w:color w:val="000000"/>
                <w:sz w:val="24"/>
                <w:szCs w:val="24"/>
              </w:rPr>
            </w:pPr>
            <w:r>
              <w:rPr>
                <w:color w:val="000000"/>
                <w:sz w:val="24"/>
                <w:szCs w:val="24"/>
              </w:rPr>
              <w:t>- на день подачи заявки деятельность участника закупки</w:t>
            </w:r>
            <w:r>
              <w:rPr>
                <w:color w:val="000000"/>
                <w:sz w:val="24"/>
                <w:szCs w:val="24"/>
              </w:rPr>
              <w:t xml:space="preserve"> не приостановлена в порядке, предусмотренном Кодексом РФ об административных правонарушениях;</w:t>
            </w:r>
          </w:p>
          <w:p w:rsidR="00ED19E3" w:rsidRDefault="00636EC6">
            <w:pPr>
              <w:rPr>
                <w:color w:val="000000"/>
                <w:sz w:val="24"/>
                <w:szCs w:val="24"/>
              </w:rPr>
            </w:pPr>
            <w:r>
              <w:rPr>
                <w:color w:val="000000"/>
                <w:sz w:val="24"/>
                <w:szCs w:val="24"/>
              </w:rPr>
              <w:t>- у участника закупки отсутствуют недоимка по налогам, сборам, задолженность по иным обязательным платежам в бюджеты бюджетной системы РФ за прошедший календарны</w:t>
            </w:r>
            <w:r>
              <w:rPr>
                <w:color w:val="000000"/>
                <w:sz w:val="24"/>
                <w:szCs w:val="24"/>
              </w:rPr>
              <w:t>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ED19E3" w:rsidRDefault="00636EC6">
            <w:pPr>
              <w:rPr>
                <w:color w:val="000000"/>
                <w:sz w:val="24"/>
                <w:szCs w:val="24"/>
              </w:rPr>
            </w:pPr>
            <w:r>
              <w:rPr>
                <w:color w:val="000000"/>
                <w:sz w:val="24"/>
                <w:szCs w:val="24"/>
              </w:rPr>
              <w:t>- сведения об участнике закупки отсутствуют в реестрах недобросовестных поставщиков, ведение кот</w:t>
            </w:r>
            <w:r>
              <w:rPr>
                <w:color w:val="000000"/>
                <w:sz w:val="24"/>
                <w:szCs w:val="24"/>
              </w:rPr>
              <w:t>орых предусмотрено Законом № 223-ФЗ и Законом № 44-ФЗ;</w:t>
            </w:r>
          </w:p>
          <w:p w:rsidR="00ED19E3" w:rsidRDefault="00636EC6">
            <w:pPr>
              <w:rPr>
                <w:color w:val="000000"/>
                <w:sz w:val="24"/>
                <w:szCs w:val="24"/>
              </w:rPr>
            </w:pPr>
            <w:r>
              <w:rPr>
                <w:color w:val="000000"/>
                <w:sz w:val="24"/>
                <w:szCs w:val="24"/>
              </w:rPr>
              <w:t xml:space="preserve">-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w:t>
            </w:r>
            <w:r>
              <w:rPr>
                <w:color w:val="000000"/>
                <w:sz w:val="24"/>
                <w:szCs w:val="24"/>
              </w:rPr>
              <w:t>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ED19E3" w:rsidRDefault="00636EC6">
            <w:pPr>
              <w:rPr>
                <w:color w:val="000000"/>
                <w:sz w:val="24"/>
                <w:szCs w:val="24"/>
              </w:rPr>
            </w:pPr>
            <w:r>
              <w:rPr>
                <w:color w:val="000000"/>
                <w:sz w:val="24"/>
                <w:szCs w:val="24"/>
              </w:rPr>
              <w:t>- у участника закупки отсутствуют ограничения, установленные законодательством РФ, для участия в закупках.</w:t>
            </w:r>
          </w:p>
          <w:p w:rsidR="00ED19E3" w:rsidRDefault="00636EC6">
            <w:pPr>
              <w:rPr>
                <w:color w:val="000000"/>
                <w:sz w:val="24"/>
                <w:szCs w:val="24"/>
              </w:rPr>
            </w:pPr>
            <w:r>
              <w:rPr>
                <w:color w:val="000000"/>
                <w:sz w:val="24"/>
                <w:szCs w:val="24"/>
              </w:rPr>
              <w:t>9)</w:t>
            </w:r>
            <w:r>
              <w:rPr>
                <w:color w:val="000000"/>
                <w:sz w:val="24"/>
                <w:szCs w:val="24"/>
              </w:rPr>
              <w:t xml:space="preserve"> предложение о цене договора;</w:t>
            </w:r>
          </w:p>
          <w:p w:rsidR="00ED19E3" w:rsidRDefault="00636EC6">
            <w:pPr>
              <w:rPr>
                <w:color w:val="000000"/>
                <w:sz w:val="24"/>
                <w:szCs w:val="24"/>
              </w:rPr>
            </w:pPr>
            <w:r>
              <w:rPr>
                <w:color w:val="000000"/>
                <w:sz w:val="24"/>
                <w:szCs w:val="24"/>
              </w:rPr>
              <w:t>10) документы (их копии), подтверждающие соответствие участника запроса предложений требованиям законодательства РФ и извещения о проведении запроса предложений к лицам, которые осуществляют поставки товаров, выполнение работ,</w:t>
            </w:r>
            <w:r>
              <w:rPr>
                <w:color w:val="000000"/>
                <w:sz w:val="24"/>
                <w:szCs w:val="24"/>
              </w:rPr>
              <w:t xml:space="preserve"> оказание услуг;</w:t>
            </w:r>
          </w:p>
          <w:p w:rsidR="00ED19E3" w:rsidRDefault="00636EC6">
            <w:pPr>
              <w:rPr>
                <w:color w:val="000000"/>
                <w:sz w:val="24"/>
                <w:szCs w:val="24"/>
              </w:rPr>
            </w:pPr>
            <w:r>
              <w:rPr>
                <w:color w:val="000000"/>
                <w:sz w:val="24"/>
                <w:szCs w:val="24"/>
              </w:rPr>
              <w:t>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если представление указанных документо</w:t>
            </w:r>
            <w:r>
              <w:rPr>
                <w:color w:val="000000"/>
                <w:sz w:val="24"/>
                <w:szCs w:val="24"/>
              </w:rPr>
              <w:t xml:space="preserve">в предусмотрено извещением о проведении запроса предложений. Исключение составляют документы, </w:t>
            </w:r>
            <w:r>
              <w:rPr>
                <w:color w:val="000000"/>
                <w:sz w:val="24"/>
                <w:szCs w:val="24"/>
              </w:rPr>
              <w:lastRenderedPageBreak/>
              <w:t>которые, согласно гражданскому законодательству, могут быть представлены только вместе с товаром;</w:t>
            </w:r>
          </w:p>
          <w:p w:rsidR="00ED19E3" w:rsidRDefault="00636EC6">
            <w:pPr>
              <w:rPr>
                <w:color w:val="000000"/>
                <w:sz w:val="24"/>
                <w:szCs w:val="24"/>
              </w:rPr>
            </w:pPr>
            <w:r>
              <w:rPr>
                <w:color w:val="000000"/>
                <w:sz w:val="24"/>
                <w:szCs w:val="24"/>
              </w:rPr>
              <w:t>12) обязательство участника запроса предложений представить до м</w:t>
            </w:r>
            <w:r>
              <w:rPr>
                <w:color w:val="000000"/>
                <w:sz w:val="24"/>
                <w:szCs w:val="24"/>
              </w:rPr>
              <w:t>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предложени</w:t>
            </w:r>
            <w:r>
              <w:rPr>
                <w:color w:val="000000"/>
                <w:sz w:val="24"/>
                <w:szCs w:val="24"/>
              </w:rPr>
              <w:t>й;</w:t>
            </w:r>
          </w:p>
          <w:p w:rsidR="00ED19E3" w:rsidRDefault="00636EC6">
            <w:pPr>
              <w:rPr>
                <w:color w:val="000000"/>
                <w:sz w:val="24"/>
                <w:szCs w:val="24"/>
              </w:rPr>
            </w:pPr>
            <w:r>
              <w:rPr>
                <w:color w:val="000000"/>
                <w:sz w:val="24"/>
                <w:szCs w:val="24"/>
              </w:rPr>
              <w:t>13) согласие на поставку товаров, выполнение работ, оказание услуг в соответствии с условиями, установленными извещением о проведении запроса предложений.</w:t>
            </w: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bCs/>
                <w:sz w:val="24"/>
                <w:szCs w:val="24"/>
              </w:rPr>
            </w:pPr>
            <w:r>
              <w:rPr>
                <w:b/>
                <w:bCs/>
                <w:sz w:val="24"/>
                <w:szCs w:val="24"/>
              </w:rPr>
              <w:t xml:space="preserve">Информация о возможности одностороннего отказа от исполнения контракта </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jc w:val="left"/>
              <w:rPr>
                <w:iCs/>
                <w:sz w:val="24"/>
                <w:szCs w:val="24"/>
              </w:rPr>
            </w:pPr>
            <w:r>
              <w:rPr>
                <w:iCs/>
                <w:sz w:val="24"/>
                <w:szCs w:val="24"/>
              </w:rPr>
              <w:t>предусмотрено</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iCs/>
                <w:sz w:val="24"/>
                <w:szCs w:val="24"/>
              </w:rPr>
              <w:t xml:space="preserve">Ограничение участия в определении поставщика (подрядчика, исполнителя) </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i/>
                <w:sz w:val="24"/>
                <w:szCs w:val="24"/>
              </w:rPr>
            </w:pPr>
            <w:r>
              <w:rPr>
                <w:sz w:val="24"/>
                <w:szCs w:val="24"/>
              </w:rPr>
              <w:t>Не предусмотрено.</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iCs/>
                <w:sz w:val="24"/>
                <w:szCs w:val="24"/>
              </w:rPr>
            </w:pPr>
            <w:r>
              <w:rPr>
                <w:b/>
                <w:iCs/>
                <w:sz w:val="24"/>
                <w:szCs w:val="24"/>
              </w:rPr>
              <w:t>Размер обеспечения заявки</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iCs/>
                <w:sz w:val="24"/>
                <w:szCs w:val="24"/>
                <w:highlight w:val="yellow"/>
                <w:lang w:val="en-US"/>
              </w:rPr>
            </w:pPr>
            <w:r>
              <w:rPr>
                <w:bCs/>
                <w:sz w:val="24"/>
                <w:szCs w:val="24"/>
              </w:rPr>
              <w:t>Не установлены.</w:t>
            </w:r>
          </w:p>
        </w:tc>
      </w:tr>
      <w:tr w:rsidR="00ED19E3">
        <w:tc>
          <w:tcPr>
            <w:tcW w:w="993"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ind w:left="568" w:hanging="568"/>
              <w:jc w:val="center"/>
              <w:rPr>
                <w:b/>
                <w:sz w:val="24"/>
                <w:szCs w:val="24"/>
              </w:rPr>
            </w:pPr>
            <w:r>
              <w:rPr>
                <w:b/>
                <w:sz w:val="24"/>
                <w:szCs w:val="24"/>
              </w:rPr>
              <w:t>15.1</w:t>
            </w: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Размер обеспечения исполнения договора</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bCs/>
                <w:sz w:val="24"/>
                <w:szCs w:val="24"/>
              </w:rPr>
            </w:pPr>
            <w:r>
              <w:rPr>
                <w:bCs/>
                <w:sz w:val="24"/>
                <w:szCs w:val="24"/>
              </w:rPr>
              <w:t>Установлено.</w:t>
            </w:r>
          </w:p>
          <w:p w:rsidR="00ED19E3" w:rsidRDefault="00636EC6">
            <w:pPr>
              <w:rPr>
                <w:bCs/>
                <w:sz w:val="24"/>
                <w:szCs w:val="24"/>
                <w:highlight w:val="yellow"/>
              </w:rPr>
            </w:pPr>
            <w:r>
              <w:rPr>
                <w:bCs/>
                <w:sz w:val="24"/>
                <w:szCs w:val="24"/>
              </w:rPr>
              <w:t xml:space="preserve">Размер </w:t>
            </w:r>
            <w:r>
              <w:rPr>
                <w:bCs/>
                <w:sz w:val="24"/>
                <w:szCs w:val="24"/>
              </w:rPr>
              <w:t xml:space="preserve">обеспечения исполнения договора устанавливается в размере 2% (двух процентов) от начальной (максимальной) цены Договора, что составляет: </w:t>
            </w:r>
            <w:r>
              <w:rPr>
                <w:b/>
                <w:color w:val="00000A"/>
                <w:sz w:val="24"/>
                <w:szCs w:val="24"/>
                <w:lang w:eastAsia="ar-SA"/>
              </w:rPr>
              <w:t>428 652,00 руб. (четыреста двадцать восемь тысяч шестьсот пятьдесят два рубля 00 копеек).</w:t>
            </w: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bCs/>
                <w:sz w:val="24"/>
                <w:szCs w:val="24"/>
              </w:rPr>
              <w:t xml:space="preserve">Требования к обеспечению исполнения </w:t>
            </w:r>
            <w:r>
              <w:rPr>
                <w:b/>
                <w:sz w:val="24"/>
                <w:szCs w:val="24"/>
              </w:rPr>
              <w:t>договора</w:t>
            </w:r>
            <w:r>
              <w:rPr>
                <w:b/>
                <w:bCs/>
                <w:sz w:val="24"/>
                <w:szCs w:val="24"/>
              </w:rPr>
              <w:t xml:space="preserve">, порядок предоставления такого обеспечения </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bCs/>
                <w:sz w:val="24"/>
                <w:szCs w:val="24"/>
              </w:rPr>
            </w:pPr>
            <w:r>
              <w:rPr>
                <w:bCs/>
                <w:sz w:val="24"/>
                <w:szCs w:val="24"/>
              </w:rPr>
              <w:t>Договор заключается после предоставления участником закупки, с которым заключается договор, обеспечения исполнения договора.</w:t>
            </w:r>
          </w:p>
          <w:p w:rsidR="00ED19E3" w:rsidRDefault="00636EC6">
            <w:pPr>
              <w:rPr>
                <w:bCs/>
                <w:sz w:val="24"/>
                <w:szCs w:val="24"/>
              </w:rPr>
            </w:pPr>
            <w:r>
              <w:rPr>
                <w:bCs/>
                <w:sz w:val="24"/>
                <w:szCs w:val="24"/>
              </w:rPr>
              <w:t>Обеспечение исполнения договора может пред</w:t>
            </w:r>
            <w:r>
              <w:rPr>
                <w:bCs/>
                <w:sz w:val="24"/>
                <w:szCs w:val="24"/>
              </w:rPr>
              <w:t>оставляться участником закупки путем:</w:t>
            </w:r>
          </w:p>
          <w:p w:rsidR="00ED19E3" w:rsidRDefault="00636EC6">
            <w:pPr>
              <w:rPr>
                <w:bCs/>
                <w:sz w:val="24"/>
                <w:szCs w:val="24"/>
              </w:rPr>
            </w:pPr>
            <w:r>
              <w:rPr>
                <w:bCs/>
                <w:sz w:val="24"/>
                <w:szCs w:val="24"/>
              </w:rPr>
              <w:t>1) внесения денежных средств на счет заказчика;</w:t>
            </w:r>
          </w:p>
          <w:p w:rsidR="00ED19E3" w:rsidRDefault="00636EC6">
            <w:pPr>
              <w:rPr>
                <w:bCs/>
                <w:sz w:val="24"/>
                <w:szCs w:val="24"/>
              </w:rPr>
            </w:pPr>
            <w:r>
              <w:rPr>
                <w:bCs/>
                <w:sz w:val="24"/>
                <w:szCs w:val="24"/>
              </w:rPr>
              <w:t>2) предоставления безотзывной банковской гарантии или независимой гарантии. Срок действия гарантии, предоставленной в качестве обеспечения исполнения договора, должен пре</w:t>
            </w:r>
            <w:r>
              <w:rPr>
                <w:bCs/>
                <w:sz w:val="24"/>
                <w:szCs w:val="24"/>
              </w:rPr>
              <w:t>вышать срок исполнения обязательств поставщиком (подрядчиком, исполнителем), предусмотренный договором.</w:t>
            </w:r>
          </w:p>
          <w:p w:rsidR="00ED19E3" w:rsidRDefault="00636EC6">
            <w:pPr>
              <w:rPr>
                <w:bCs/>
                <w:sz w:val="24"/>
                <w:szCs w:val="24"/>
              </w:rPr>
            </w:pPr>
            <w:r>
              <w:rPr>
                <w:bCs/>
                <w:sz w:val="24"/>
                <w:szCs w:val="24"/>
              </w:rPr>
              <w:t>Денежные средства, внесенные в качестве обеспечения исполнения договора, возвращаются в сроки, установленные документацией, договором.</w:t>
            </w:r>
          </w:p>
          <w:p w:rsidR="00ED19E3" w:rsidRDefault="00ED19E3">
            <w:pPr>
              <w:rPr>
                <w:bCs/>
                <w:sz w:val="24"/>
                <w:szCs w:val="24"/>
              </w:rPr>
            </w:pPr>
          </w:p>
          <w:p w:rsidR="00ED19E3" w:rsidRDefault="00636EC6">
            <w:pPr>
              <w:rPr>
                <w:bCs/>
                <w:sz w:val="24"/>
                <w:szCs w:val="24"/>
              </w:rPr>
            </w:pPr>
            <w:r>
              <w:rPr>
                <w:bCs/>
                <w:sz w:val="24"/>
                <w:szCs w:val="24"/>
              </w:rPr>
              <w:t>Независимая гара</w:t>
            </w:r>
            <w:r>
              <w:rPr>
                <w:bCs/>
                <w:sz w:val="24"/>
                <w:szCs w:val="24"/>
              </w:rPr>
              <w:t>нтия должна соответствовать следующим требованиям:</w:t>
            </w:r>
          </w:p>
          <w:p w:rsidR="00ED19E3" w:rsidRDefault="00636EC6">
            <w:pPr>
              <w:rPr>
                <w:bCs/>
                <w:sz w:val="24"/>
                <w:szCs w:val="24"/>
              </w:rPr>
            </w:pPr>
            <w:r>
              <w:rPr>
                <w:bCs/>
                <w:sz w:val="24"/>
                <w:szCs w:val="24"/>
              </w:rPr>
              <w:t xml:space="preserve">1) независимая гарантия должна быть выдана гарантом, предусмотренным частью 1 статьи 45 Федерального закона от 5 апреля 2013 года </w:t>
            </w:r>
            <w:r>
              <w:rPr>
                <w:bCs/>
                <w:sz w:val="24"/>
                <w:szCs w:val="24"/>
              </w:rPr>
              <w:lastRenderedPageBreak/>
              <w:t>N 44-ФЗ "О контрактной системе в сфере закупок товаров, работ, услуг для об</w:t>
            </w:r>
            <w:r>
              <w:rPr>
                <w:bCs/>
                <w:sz w:val="24"/>
                <w:szCs w:val="24"/>
              </w:rPr>
              <w:t>еспечения государственных и муниципальных нужд";</w:t>
            </w:r>
          </w:p>
          <w:p w:rsidR="00ED19E3" w:rsidRDefault="00636EC6">
            <w:pPr>
              <w:rPr>
                <w:bCs/>
                <w:sz w:val="24"/>
                <w:szCs w:val="24"/>
              </w:rPr>
            </w:pPr>
            <w:r>
              <w:rPr>
                <w:bCs/>
                <w:sz w:val="24"/>
                <w:szCs w:val="24"/>
              </w:rPr>
              <w:t>2) независимая гарантия не может быть отозвана выдавшим ее гарантом;</w:t>
            </w:r>
          </w:p>
          <w:p w:rsidR="00ED19E3" w:rsidRDefault="00636EC6">
            <w:pPr>
              <w:rPr>
                <w:bCs/>
                <w:sz w:val="24"/>
                <w:szCs w:val="24"/>
              </w:rPr>
            </w:pPr>
            <w:r>
              <w:rPr>
                <w:bCs/>
                <w:sz w:val="24"/>
                <w:szCs w:val="24"/>
              </w:rPr>
              <w:t>3) независимая гарантия должна содержать:</w:t>
            </w:r>
          </w:p>
          <w:p w:rsidR="00ED19E3" w:rsidRDefault="00636EC6">
            <w:pPr>
              <w:rPr>
                <w:bCs/>
                <w:sz w:val="24"/>
                <w:szCs w:val="24"/>
              </w:rPr>
            </w:pPr>
            <w:r>
              <w:rPr>
                <w:bCs/>
                <w:sz w:val="24"/>
                <w:szCs w:val="24"/>
              </w:rPr>
              <w:t>а) условие об обязанности гаранта уплатить заказчику (бенефициару) денежную сумму по независимой</w:t>
            </w:r>
            <w:r>
              <w:rPr>
                <w:bCs/>
                <w:sz w:val="24"/>
                <w:szCs w:val="24"/>
              </w:rPr>
              <w:t xml:space="preserve">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w:t>
            </w:r>
            <w:r>
              <w:rPr>
                <w:bCs/>
                <w:sz w:val="24"/>
                <w:szCs w:val="24"/>
              </w:rPr>
              <w:t>ний для отказа в удовлетворении этого требования;</w:t>
            </w:r>
          </w:p>
          <w:p w:rsidR="00ED19E3" w:rsidRDefault="00636EC6">
            <w:pPr>
              <w:rPr>
                <w:bCs/>
                <w:sz w:val="24"/>
                <w:szCs w:val="24"/>
              </w:rPr>
            </w:pPr>
            <w:r>
              <w:rPr>
                <w:bCs/>
                <w:sz w:val="24"/>
                <w:szCs w:val="24"/>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w:t>
            </w:r>
            <w:r>
              <w:rPr>
                <w:bCs/>
                <w:sz w:val="24"/>
                <w:szCs w:val="24"/>
              </w:rPr>
              <w:t>й Федерации в соответствии с пунктом 4 части 32 настоящей статьи;</w:t>
            </w:r>
          </w:p>
          <w:p w:rsidR="00ED19E3" w:rsidRDefault="00636EC6">
            <w:pPr>
              <w:rPr>
                <w:bCs/>
                <w:sz w:val="24"/>
                <w:szCs w:val="24"/>
              </w:rPr>
            </w:pPr>
            <w:r>
              <w:rPr>
                <w:bCs/>
                <w:sz w:val="24"/>
                <w:szCs w:val="24"/>
              </w:rPr>
              <w:t>4)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w:t>
            </w:r>
            <w:r>
              <w:rPr>
                <w:bCs/>
                <w:sz w:val="24"/>
                <w:szCs w:val="24"/>
              </w:rPr>
              <w:t>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ED19E3" w:rsidRDefault="00636EC6">
            <w:pPr>
              <w:rPr>
                <w:bCs/>
                <w:sz w:val="24"/>
                <w:szCs w:val="24"/>
              </w:rPr>
            </w:pPr>
            <w:r>
              <w:rPr>
                <w:bCs/>
                <w:sz w:val="24"/>
                <w:szCs w:val="24"/>
              </w:rPr>
              <w:t>5) должна содержать указание на срок ее действия, срок дей</w:t>
            </w:r>
            <w:r>
              <w:rPr>
                <w:bCs/>
                <w:sz w:val="24"/>
                <w:szCs w:val="24"/>
              </w:rPr>
              <w:t>ствия гарантии, предоставленной в качестве обеспечения исполнения договора, должен превышать срок исполнения обязательств поставщиком (подрядчиком, исполнителем), предусмотренный договором не менее чем на 1 месяц.</w:t>
            </w:r>
          </w:p>
          <w:p w:rsidR="00ED19E3" w:rsidRDefault="00636EC6">
            <w:pPr>
              <w:rPr>
                <w:bCs/>
                <w:sz w:val="24"/>
                <w:szCs w:val="24"/>
              </w:rPr>
            </w:pPr>
            <w:r>
              <w:rPr>
                <w:bCs/>
                <w:sz w:val="24"/>
                <w:szCs w:val="24"/>
              </w:rPr>
              <w:t>6) не должна содержать условие о представл</w:t>
            </w:r>
            <w:r>
              <w:rPr>
                <w:bCs/>
                <w:sz w:val="24"/>
                <w:szCs w:val="24"/>
              </w:rPr>
              <w:t>ении заказчиком гаранту судебных актов, подтверждающих неисполнение участником закупки обязательств, обеспечиваемых независимой гарантией.</w:t>
            </w:r>
          </w:p>
          <w:p w:rsidR="00ED19E3" w:rsidRDefault="00ED19E3">
            <w:pPr>
              <w:rPr>
                <w:bCs/>
                <w:sz w:val="24"/>
                <w:szCs w:val="24"/>
              </w:rPr>
            </w:pPr>
          </w:p>
          <w:p w:rsidR="00ED19E3" w:rsidRDefault="00636EC6">
            <w:pPr>
              <w:rPr>
                <w:bCs/>
                <w:sz w:val="24"/>
                <w:szCs w:val="24"/>
              </w:rPr>
            </w:pPr>
            <w:r>
              <w:rPr>
                <w:bCs/>
                <w:sz w:val="24"/>
                <w:szCs w:val="24"/>
              </w:rPr>
              <w:t>Несоответствие независимой гарантии, предоставленной участником закупки, требованиям, предусмотренным настоящей стат</w:t>
            </w:r>
            <w:r>
              <w:rPr>
                <w:bCs/>
                <w:sz w:val="24"/>
                <w:szCs w:val="24"/>
              </w:rPr>
              <w:t>ьей, является основанием для отказа в принятии ее заказчиком.</w:t>
            </w:r>
          </w:p>
          <w:p w:rsidR="00ED19E3" w:rsidRDefault="00ED19E3">
            <w:pPr>
              <w:rPr>
                <w:bCs/>
                <w:sz w:val="24"/>
                <w:szCs w:val="24"/>
              </w:rPr>
            </w:pPr>
          </w:p>
          <w:p w:rsidR="00ED19E3" w:rsidRDefault="00636EC6">
            <w:pPr>
              <w:rPr>
                <w:bCs/>
                <w:sz w:val="24"/>
                <w:szCs w:val="24"/>
              </w:rPr>
            </w:pPr>
            <w:r>
              <w:rPr>
                <w:bCs/>
                <w:sz w:val="24"/>
                <w:szCs w:val="24"/>
              </w:rPr>
              <w:lastRenderedPageBreak/>
              <w:t>В случае если участник закупки не предоставил обеспечение исполнения договора до заключения договора, такой участник признается уклонившимся от заключения договора.</w:t>
            </w:r>
          </w:p>
          <w:p w:rsidR="00ED19E3" w:rsidRDefault="00636EC6">
            <w:pPr>
              <w:rPr>
                <w:sz w:val="24"/>
                <w:szCs w:val="24"/>
              </w:rPr>
            </w:pPr>
            <w:r>
              <w:rPr>
                <w:bCs/>
                <w:sz w:val="24"/>
                <w:szCs w:val="24"/>
              </w:rPr>
              <w:t>Заказчик направляет в федера</w:t>
            </w:r>
            <w:r>
              <w:rPr>
                <w:bCs/>
                <w:sz w:val="24"/>
                <w:szCs w:val="24"/>
              </w:rPr>
              <w:t>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w:t>
            </w:r>
            <w:r>
              <w:rPr>
                <w:bCs/>
                <w:sz w:val="24"/>
                <w:szCs w:val="24"/>
              </w:rPr>
              <w:t xml:space="preserve"> суда в связи с существенным нарушением ими условий договоров в соответствии с Федеральным законом № 223-ФЗ.</w:t>
            </w: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tcPr>
          <w:p w:rsidR="00ED19E3" w:rsidRDefault="00636EC6">
            <w:pPr>
              <w:numPr>
                <w:ilvl w:val="0"/>
                <w:numId w:val="3"/>
              </w:numPr>
              <w:tabs>
                <w:tab w:val="left" w:pos="3119"/>
              </w:tabs>
              <w:ind w:hanging="686"/>
              <w:jc w:val="center"/>
              <w:rPr>
                <w:b/>
                <w:sz w:val="24"/>
                <w:szCs w:val="24"/>
                <w:highlight w:val="white"/>
              </w:rPr>
            </w:pPr>
            <w:r>
              <w:rPr>
                <w:b/>
                <w:sz w:val="24"/>
                <w:szCs w:val="24"/>
                <w:highlight w:val="white"/>
              </w:rPr>
              <w:lastRenderedPageBreak/>
              <w:t>1</w:t>
            </w: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highlight w:val="white"/>
              </w:rPr>
            </w:pPr>
            <w:r>
              <w:rPr>
                <w:b/>
                <w:sz w:val="24"/>
                <w:szCs w:val="24"/>
                <w:highlight w:val="white"/>
              </w:rPr>
              <w:t xml:space="preserve">Дата, время начала и время окончания срока подачи заявок на участие в закупке (этапах конкурентной закупки) </w:t>
            </w:r>
          </w:p>
        </w:tc>
        <w:tc>
          <w:tcPr>
            <w:tcW w:w="4961" w:type="dxa"/>
            <w:tcBorders>
              <w:top w:val="single" w:sz="4" w:space="0" w:color="auto"/>
              <w:left w:val="single" w:sz="4" w:space="0" w:color="auto"/>
              <w:bottom w:val="single" w:sz="4" w:space="0" w:color="auto"/>
              <w:right w:val="single" w:sz="4" w:space="0" w:color="auto"/>
            </w:tcBorders>
          </w:tcPr>
          <w:p w:rsidR="00ED19E3" w:rsidRPr="00175D68" w:rsidRDefault="00636EC6">
            <w:pPr>
              <w:pStyle w:val="afff4"/>
              <w:jc w:val="both"/>
              <w:rPr>
                <w:bCs/>
                <w:sz w:val="24"/>
                <w:szCs w:val="24"/>
                <w:highlight w:val="white"/>
                <w:lang w:val="ru-RU"/>
              </w:rPr>
            </w:pPr>
            <w:r>
              <w:rPr>
                <w:bCs/>
                <w:sz w:val="24"/>
                <w:szCs w:val="24"/>
                <w:highlight w:val="white"/>
                <w:lang w:val="ru-RU"/>
              </w:rPr>
              <w:t xml:space="preserve">С момента размещения документации до </w:t>
            </w:r>
          </w:p>
          <w:p w:rsidR="00ED19E3" w:rsidRPr="00175D68" w:rsidRDefault="00636EC6">
            <w:pPr>
              <w:pStyle w:val="afff4"/>
              <w:jc w:val="both"/>
              <w:rPr>
                <w:bCs/>
                <w:sz w:val="24"/>
                <w:szCs w:val="24"/>
                <w:highlight w:val="white"/>
                <w:lang w:val="ru-RU"/>
              </w:rPr>
            </w:pPr>
            <w:r>
              <w:rPr>
                <w:b/>
                <w:sz w:val="24"/>
                <w:szCs w:val="24"/>
                <w:highlight w:val="white"/>
                <w:lang w:val="ru-RU"/>
              </w:rPr>
              <w:t>28.09.2026 г. 10:00</w:t>
            </w:r>
            <w:r>
              <w:rPr>
                <w:bCs/>
                <w:sz w:val="24"/>
                <w:szCs w:val="24"/>
                <w:highlight w:val="white"/>
                <w:lang w:val="ru-RU"/>
              </w:rPr>
              <w:t xml:space="preserve"> по московскому времени</w:t>
            </w:r>
          </w:p>
          <w:p w:rsidR="00ED19E3" w:rsidRPr="00175D68" w:rsidRDefault="00ED19E3">
            <w:pPr>
              <w:pStyle w:val="afff4"/>
              <w:jc w:val="both"/>
              <w:rPr>
                <w:bCs/>
                <w:sz w:val="24"/>
                <w:szCs w:val="24"/>
                <w:highlight w:val="white"/>
                <w:lang w:val="ru-RU"/>
              </w:rPr>
            </w:pPr>
          </w:p>
          <w:p w:rsidR="00ED19E3" w:rsidRPr="00175D68" w:rsidRDefault="00ED19E3">
            <w:pPr>
              <w:pStyle w:val="afff4"/>
              <w:jc w:val="both"/>
              <w:rPr>
                <w:bCs/>
                <w:sz w:val="24"/>
                <w:szCs w:val="24"/>
                <w:highlight w:val="white"/>
                <w:lang w:val="ru-RU"/>
              </w:rPr>
            </w:pP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highlight w:val="white"/>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highlight w:val="white"/>
              </w:rPr>
            </w:pPr>
            <w:r>
              <w:rPr>
                <w:b/>
                <w:sz w:val="24"/>
                <w:szCs w:val="24"/>
                <w:highlight w:val="white"/>
              </w:rPr>
              <w:t>Дата рассмотрения предложений участников закупки и подведения итогов закупки</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pStyle w:val="afff4"/>
              <w:jc w:val="both"/>
              <w:rPr>
                <w:bCs/>
                <w:sz w:val="24"/>
                <w:szCs w:val="24"/>
                <w:highlight w:val="white"/>
              </w:rPr>
            </w:pPr>
            <w:r>
              <w:rPr>
                <w:b/>
                <w:sz w:val="24"/>
                <w:szCs w:val="24"/>
                <w:highlight w:val="white"/>
                <w:lang w:val="ru-RU"/>
              </w:rPr>
              <w:t>30.09.2026 г. 15:00</w:t>
            </w:r>
            <w:r>
              <w:rPr>
                <w:bCs/>
                <w:sz w:val="24"/>
                <w:szCs w:val="24"/>
                <w:highlight w:val="white"/>
                <w:lang w:val="ru-RU"/>
              </w:rPr>
              <w:t xml:space="preserve"> по московскому времени</w:t>
            </w:r>
          </w:p>
          <w:p w:rsidR="00ED19E3" w:rsidRDefault="00ED19E3">
            <w:pPr>
              <w:pStyle w:val="afff4"/>
              <w:jc w:val="both"/>
              <w:rPr>
                <w:bCs/>
                <w:sz w:val="24"/>
                <w:szCs w:val="24"/>
                <w:highlight w:val="white"/>
              </w:rPr>
            </w:pP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highlight w:val="white"/>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highlight w:val="white"/>
              </w:rPr>
            </w:pPr>
            <w:r>
              <w:rPr>
                <w:b/>
                <w:sz w:val="24"/>
                <w:szCs w:val="24"/>
                <w:highlight w:val="white"/>
              </w:rPr>
              <w:t>Форма, порядок, дата и время окончания срока предоставления участникам закупки разъяснений положений документации о закупке</w:t>
            </w:r>
          </w:p>
          <w:p w:rsidR="00ED19E3" w:rsidRDefault="00ED19E3">
            <w:pPr>
              <w:tabs>
                <w:tab w:val="left" w:pos="3119"/>
              </w:tabs>
              <w:rPr>
                <w:b/>
                <w:sz w:val="24"/>
                <w:szCs w:val="24"/>
                <w:highlight w:val="white"/>
              </w:rPr>
            </w:pP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pStyle w:val="afff4"/>
              <w:jc w:val="both"/>
              <w:rPr>
                <w:bCs/>
                <w:sz w:val="24"/>
                <w:szCs w:val="24"/>
                <w:highlight w:val="white"/>
              </w:rPr>
            </w:pPr>
            <w:r>
              <w:rPr>
                <w:bCs/>
                <w:sz w:val="24"/>
                <w:szCs w:val="24"/>
                <w:highlight w:val="white"/>
                <w:lang w:val="ru-RU"/>
              </w:rPr>
              <w:t>Разъяснения положений документации о закупке направляются на ЕИС, электронную площадку в форме электронного документа с даты размещ</w:t>
            </w:r>
            <w:r>
              <w:rPr>
                <w:bCs/>
                <w:sz w:val="24"/>
                <w:szCs w:val="24"/>
                <w:highlight w:val="white"/>
                <w:lang w:val="ru-RU"/>
              </w:rPr>
              <w:t xml:space="preserve">ения извещения, не позднее трех рабочих дней согласно п. 3.2.3. </w:t>
            </w:r>
            <w:proofErr w:type="spellStart"/>
            <w:r>
              <w:rPr>
                <w:bCs/>
                <w:sz w:val="24"/>
                <w:szCs w:val="24"/>
                <w:highlight w:val="white"/>
              </w:rPr>
              <w:t>Положения</w:t>
            </w:r>
            <w:proofErr w:type="spellEnd"/>
            <w:r>
              <w:rPr>
                <w:bCs/>
                <w:sz w:val="24"/>
                <w:szCs w:val="24"/>
                <w:highlight w:val="white"/>
              </w:rPr>
              <w:t>.</w:t>
            </w:r>
          </w:p>
          <w:p w:rsidR="00ED19E3" w:rsidRPr="00175D68" w:rsidRDefault="00636EC6">
            <w:pPr>
              <w:pStyle w:val="afff4"/>
              <w:jc w:val="both"/>
              <w:rPr>
                <w:bCs/>
                <w:sz w:val="24"/>
                <w:szCs w:val="24"/>
                <w:highlight w:val="white"/>
                <w:lang w:val="ru-RU"/>
              </w:rPr>
            </w:pPr>
            <w:r>
              <w:rPr>
                <w:bCs/>
                <w:sz w:val="24"/>
                <w:szCs w:val="24"/>
                <w:highlight w:val="white"/>
                <w:lang w:val="ru-RU"/>
              </w:rPr>
              <w:t xml:space="preserve">До </w:t>
            </w:r>
            <w:r>
              <w:rPr>
                <w:b/>
                <w:sz w:val="24"/>
                <w:szCs w:val="24"/>
                <w:highlight w:val="white"/>
                <w:lang w:val="ru-RU"/>
              </w:rPr>
              <w:t>23.09.2026 г. 17.00</w:t>
            </w:r>
            <w:r>
              <w:rPr>
                <w:bCs/>
                <w:sz w:val="24"/>
                <w:szCs w:val="24"/>
                <w:highlight w:val="white"/>
                <w:lang w:val="ru-RU"/>
              </w:rPr>
              <w:t xml:space="preserve"> по московскому времени.</w:t>
            </w: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Заключение договора</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pStyle w:val="afff4"/>
              <w:jc w:val="both"/>
              <w:rPr>
                <w:rStyle w:val="fontstyle01"/>
                <w:lang w:val="ru-RU"/>
              </w:rPr>
            </w:pPr>
            <w:r>
              <w:rPr>
                <w:bCs/>
                <w:sz w:val="24"/>
                <w:szCs w:val="24"/>
                <w:lang w:val="ru-RU"/>
              </w:rPr>
              <w:t xml:space="preserve">Договор по результатам запроса предложений заключает не ранее чем </w:t>
            </w:r>
            <w:r>
              <w:rPr>
                <w:rStyle w:val="fontstyle01"/>
                <w:lang w:val="ru-RU"/>
              </w:rPr>
              <w:t>через 10 дней и не позднее чем через 20 дней с</w:t>
            </w:r>
            <w:r>
              <w:rPr>
                <w:rStyle w:val="fontstyle01"/>
                <w:lang w:val="ru-RU"/>
              </w:rPr>
              <w:t xml:space="preserve"> даты размещения в ЕИС итогового протокола. Заказчик с помощью программно-аппаратных средств площадки направляет Участнику проект договора.</w:t>
            </w:r>
            <w:r>
              <w:rPr>
                <w:lang w:val="ru-RU"/>
              </w:rPr>
              <w:t xml:space="preserve"> </w:t>
            </w:r>
            <w:r>
              <w:rPr>
                <w:rStyle w:val="fontstyle01"/>
                <w:lang w:val="ru-RU"/>
              </w:rPr>
              <w:t>Участник закупки, с которым заключается договор, в течение пяти дней со дня его получения подписывает договор в окон</w:t>
            </w:r>
            <w:r>
              <w:rPr>
                <w:rStyle w:val="fontstyle01"/>
                <w:lang w:val="ru-RU"/>
              </w:rPr>
              <w:t>чательной редакции Заказчика усиленной электронной подписью, размещает на электронной площадке подписанный проект договора и документ, подтверждающий предоставление обеспечения исполнения договора (если такое требование установлено в извещении и (или) доку</w:t>
            </w:r>
            <w:r>
              <w:rPr>
                <w:rStyle w:val="fontstyle01"/>
                <w:lang w:val="ru-RU"/>
              </w:rPr>
              <w:t>ментации о закупке).</w:t>
            </w:r>
          </w:p>
          <w:p w:rsidR="00ED19E3" w:rsidRDefault="00636EC6">
            <w:pPr>
              <w:rPr>
                <w:color w:val="000000"/>
                <w:sz w:val="24"/>
                <w:szCs w:val="24"/>
              </w:rPr>
            </w:pPr>
            <w:r>
              <w:rPr>
                <w:color w:val="000000"/>
                <w:sz w:val="24"/>
                <w:szCs w:val="24"/>
              </w:rPr>
              <w:t>Если участник закупки, с которым заключается договор согласно настояще</w:t>
            </w:r>
            <w:r>
              <w:rPr>
                <w:color w:val="000000"/>
                <w:sz w:val="24"/>
                <w:szCs w:val="24"/>
              </w:rPr>
              <w:t xml:space="preserve">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w:t>
            </w:r>
            <w:r>
              <w:rPr>
                <w:color w:val="000000"/>
                <w:sz w:val="24"/>
                <w:szCs w:val="24"/>
              </w:rPr>
              <w:t>разногласий. Протокол разногласий составляется в письменной форме.</w:t>
            </w:r>
          </w:p>
          <w:p w:rsidR="00ED19E3" w:rsidRDefault="00636EC6">
            <w:pPr>
              <w:pStyle w:val="afff4"/>
              <w:jc w:val="both"/>
              <w:rPr>
                <w:bCs/>
                <w:sz w:val="24"/>
                <w:szCs w:val="24"/>
                <w:lang w:val="ru-RU"/>
              </w:rPr>
            </w:pPr>
            <w:r>
              <w:rPr>
                <w:color w:val="000000"/>
                <w:sz w:val="24"/>
                <w:szCs w:val="24"/>
                <w:lang w:val="ru-RU" w:eastAsia="ru-RU"/>
              </w:rPr>
              <w:lastRenderedPageBreak/>
              <w:t>Подписанный участником закупки протокол разногласий в тот же день направляется Заказчику с использованием программно-аппаратных средств электронной площадки.</w:t>
            </w:r>
            <w:r>
              <w:rPr>
                <w:lang w:val="ru-RU"/>
              </w:rPr>
              <w:t xml:space="preserve"> </w:t>
            </w:r>
            <w:r>
              <w:rPr>
                <w:rStyle w:val="fontstyle01"/>
                <w:lang w:val="ru-RU"/>
              </w:rPr>
              <w:t>Заказчик рассматривает протокол</w:t>
            </w:r>
            <w:r>
              <w:rPr>
                <w:rStyle w:val="fontstyle01"/>
                <w:lang w:val="ru-RU"/>
              </w:rPr>
              <w:t xml:space="preserve">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w:t>
            </w:r>
            <w:r>
              <w:rPr>
                <w:rStyle w:val="fontstyle01"/>
                <w:lang w:val="ru-RU"/>
              </w:rPr>
              <w:t>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w:t>
            </w: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vAlign w:val="center"/>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bCs/>
                <w:sz w:val="24"/>
                <w:szCs w:val="24"/>
              </w:rPr>
            </w:pPr>
            <w:r>
              <w:rPr>
                <w:b/>
                <w:bCs/>
                <w:color w:val="000000"/>
                <w:sz w:val="24"/>
                <w:szCs w:val="24"/>
              </w:rPr>
              <w:t>Порядок предоставления национального режима при осуществлении закупки</w:t>
            </w:r>
          </w:p>
        </w:tc>
        <w:tc>
          <w:tcPr>
            <w:tcW w:w="4961" w:type="dxa"/>
            <w:tcBorders>
              <w:top w:val="single" w:sz="4" w:space="0" w:color="auto"/>
              <w:left w:val="single" w:sz="4" w:space="0" w:color="auto"/>
              <w:bottom w:val="single" w:sz="4" w:space="0" w:color="auto"/>
              <w:right w:val="single" w:sz="4" w:space="0" w:color="auto"/>
            </w:tcBorders>
            <w:vAlign w:val="center"/>
          </w:tcPr>
          <w:p w:rsidR="00ED19E3" w:rsidRDefault="00636EC6">
            <w:pPr>
              <w:pStyle w:val="afff4"/>
              <w:jc w:val="both"/>
              <w:rPr>
                <w:bCs/>
                <w:sz w:val="24"/>
                <w:szCs w:val="24"/>
                <w:lang w:val="ru-RU"/>
              </w:rPr>
            </w:pPr>
            <w:r>
              <w:rPr>
                <w:color w:val="000000"/>
                <w:sz w:val="24"/>
                <w:szCs w:val="24"/>
                <w:lang w:val="ru-RU"/>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w:t>
            </w:r>
            <w:r>
              <w:rPr>
                <w:color w:val="000000"/>
                <w:sz w:val="24"/>
                <w:szCs w:val="24"/>
                <w:lang w:val="ru-RU"/>
              </w:rPr>
              <w:t xml:space="preserve">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w:t>
            </w:r>
            <w:r>
              <w:rPr>
                <w:color w:val="000000"/>
                <w:sz w:val="24"/>
                <w:szCs w:val="24"/>
                <w:lang w:val="ru-RU"/>
              </w:rPr>
              <w:t>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w:t>
            </w:r>
            <w:r>
              <w:rPr>
                <w:color w:val="000000"/>
                <w:sz w:val="24"/>
                <w:szCs w:val="24"/>
                <w:lang w:val="ru-RU"/>
              </w:rPr>
              <w:t>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w:t>
            </w:r>
            <w:r>
              <w:rPr>
                <w:color w:val="000000"/>
                <w:sz w:val="24"/>
                <w:szCs w:val="24"/>
                <w:lang w:val="ru-RU"/>
              </w:rPr>
              <w:t>,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w:t>
            </w:r>
            <w:r>
              <w:rPr>
                <w:color w:val="000000"/>
                <w:sz w:val="24"/>
                <w:szCs w:val="24"/>
                <w:lang w:val="ru-RU"/>
              </w:rPr>
              <w:t>ждения, работой, услугой, соответственно выполняемой, оказываемой российским лицом.</w:t>
            </w: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vAlign w:val="center"/>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sz w:val="24"/>
                <w:szCs w:val="24"/>
              </w:rPr>
              <w:t>Запрет</w:t>
            </w:r>
            <w:r>
              <w:rPr>
                <w:bCs/>
                <w:sz w:val="24"/>
                <w:szCs w:val="24"/>
              </w:rPr>
              <w:t xml:space="preserve"> закупок товаров (в том числе поставляемых при выполнении закупаемых работ, оказании закупаемых </w:t>
            </w:r>
            <w:r>
              <w:rPr>
                <w:bCs/>
                <w:sz w:val="24"/>
                <w:szCs w:val="24"/>
              </w:rPr>
              <w:t xml:space="preserve">услуг), происходящих из иностранных государств, работ, услуг, соответственно выполняемых, оказываемых </w:t>
            </w:r>
            <w:r>
              <w:rPr>
                <w:bCs/>
                <w:sz w:val="24"/>
                <w:szCs w:val="24"/>
              </w:rPr>
              <w:lastRenderedPageBreak/>
              <w:t>иностранными гражданами, иностранными юридическими лицами, предусмотренный постановлением Правительства Российской Федерации от 23.12.2024 № 1875</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sz w:val="24"/>
                <w:szCs w:val="24"/>
              </w:rPr>
            </w:pPr>
            <w:r>
              <w:rPr>
                <w:b/>
                <w:bCs/>
                <w:sz w:val="24"/>
                <w:szCs w:val="24"/>
              </w:rPr>
              <w:lastRenderedPageBreak/>
              <w:t>Не устан</w:t>
            </w:r>
            <w:r>
              <w:rPr>
                <w:b/>
                <w:bCs/>
                <w:sz w:val="24"/>
                <w:szCs w:val="24"/>
              </w:rPr>
              <w:t>овлено</w:t>
            </w:r>
            <w:r>
              <w:rPr>
                <w:sz w:val="24"/>
                <w:szCs w:val="24"/>
              </w:rPr>
              <w:t>.</w:t>
            </w:r>
          </w:p>
          <w:p w:rsidR="00ED19E3" w:rsidRDefault="00ED19E3">
            <w:pPr>
              <w:rPr>
                <w:sz w:val="24"/>
                <w:szCs w:val="24"/>
              </w:rPr>
            </w:pP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vAlign w:val="center"/>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sz w:val="24"/>
                <w:szCs w:val="24"/>
              </w:rPr>
            </w:pPr>
            <w:r>
              <w:rPr>
                <w:b/>
                <w:bCs/>
                <w:sz w:val="24"/>
                <w:szCs w:val="24"/>
              </w:rPr>
              <w:t>Ограничение</w:t>
            </w:r>
            <w:r>
              <w:rPr>
                <w:bCs/>
                <w:sz w:val="24"/>
                <w:szCs w:val="24"/>
              </w:rPr>
              <w:t xml:space="preserve"> закупок товаров (в том числе п</w:t>
            </w:r>
            <w:r>
              <w:rPr>
                <w:bCs/>
                <w:sz w:val="24"/>
                <w:szCs w:val="24"/>
              </w:rPr>
              <w:t>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rPr>
                <w:b/>
                <w:bCs/>
                <w:sz w:val="24"/>
                <w:szCs w:val="24"/>
              </w:rPr>
            </w:pPr>
            <w:r>
              <w:rPr>
                <w:b/>
                <w:bCs/>
                <w:sz w:val="24"/>
                <w:szCs w:val="24"/>
              </w:rPr>
              <w:t xml:space="preserve">Установлено. </w:t>
            </w:r>
          </w:p>
          <w:p w:rsidR="00ED19E3" w:rsidRDefault="00ED19E3">
            <w:pPr>
              <w:rPr>
                <w:sz w:val="24"/>
                <w:szCs w:val="24"/>
              </w:rPr>
            </w:pPr>
          </w:p>
          <w:p w:rsidR="00ED19E3" w:rsidRDefault="00636EC6">
            <w:pPr>
              <w:rPr>
                <w:b/>
                <w:sz w:val="24"/>
                <w:szCs w:val="24"/>
                <w:lang w:eastAsia="ar-SA"/>
              </w:rPr>
            </w:pPr>
            <w:r>
              <w:rPr>
                <w:sz w:val="24"/>
                <w:szCs w:val="24"/>
                <w:lang w:eastAsia="ar-SA"/>
              </w:rPr>
              <w:t xml:space="preserve">Если Правительством Российской Федерации установлено </w:t>
            </w:r>
            <w:r>
              <w:rPr>
                <w:b/>
                <w:sz w:val="24"/>
                <w:szCs w:val="24"/>
                <w:lang w:eastAsia="ar-SA"/>
              </w:rPr>
              <w:t>ограничение</w:t>
            </w:r>
            <w:r>
              <w:rPr>
                <w:sz w:val="24"/>
                <w:szCs w:val="24"/>
                <w:lang w:eastAsia="ar-SA"/>
              </w:rPr>
              <w:t xml:space="preserve"> закупок товара, </w:t>
            </w:r>
            <w:r>
              <w:rPr>
                <w:b/>
                <w:sz w:val="24"/>
                <w:szCs w:val="24"/>
                <w:lang w:eastAsia="ar-SA"/>
              </w:rPr>
              <w:t>не допускается:</w:t>
            </w:r>
          </w:p>
          <w:p w:rsidR="00ED19E3" w:rsidRDefault="00636EC6">
            <w:pPr>
              <w:rPr>
                <w:sz w:val="24"/>
                <w:szCs w:val="24"/>
                <w:lang w:eastAsia="ar-SA"/>
              </w:rPr>
            </w:pPr>
            <w:r>
              <w:rPr>
                <w:sz w:val="24"/>
                <w:szCs w:val="24"/>
                <w:lang w:eastAsia="ar-SA"/>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w:t>
            </w:r>
            <w:r>
              <w:rPr>
                <w:sz w:val="24"/>
                <w:szCs w:val="24"/>
                <w:lang w:eastAsia="ar-SA"/>
              </w:rPr>
              <w:t>предложение, признанные по результатам их рассмотрения соответствующими требованиям извещения о закупке и содержащие предложения о поставке товара российского происхождения;</w:t>
            </w:r>
          </w:p>
          <w:p w:rsidR="00ED19E3" w:rsidRDefault="00636EC6">
            <w:pPr>
              <w:pStyle w:val="afff4"/>
              <w:jc w:val="both"/>
              <w:rPr>
                <w:bCs/>
                <w:sz w:val="24"/>
                <w:szCs w:val="24"/>
                <w:lang w:val="ru-RU"/>
              </w:rPr>
            </w:pPr>
            <w:r>
              <w:rPr>
                <w:sz w:val="24"/>
                <w:szCs w:val="24"/>
                <w:lang w:val="ru-RU" w:eastAsia="ar-SA"/>
              </w:rPr>
              <w:t>б) при исполнении договора замена товара на происходящий из иностранного государст</w:t>
            </w:r>
            <w:r>
              <w:rPr>
                <w:sz w:val="24"/>
                <w:szCs w:val="24"/>
                <w:lang w:val="ru-RU" w:eastAsia="ar-SA"/>
              </w:rPr>
              <w:t>ва товар, в отношении которого установлено данное ограничение, если договор предусматривает поставку товара российского происхождения;</w:t>
            </w:r>
          </w:p>
        </w:tc>
      </w:tr>
      <w:tr w:rsidR="00ED19E3">
        <w:trPr>
          <w:trHeight w:val="70"/>
        </w:trPr>
        <w:tc>
          <w:tcPr>
            <w:tcW w:w="993" w:type="dxa"/>
            <w:tcBorders>
              <w:top w:val="single" w:sz="4" w:space="0" w:color="auto"/>
              <w:left w:val="single" w:sz="4" w:space="0" w:color="auto"/>
              <w:bottom w:val="single" w:sz="4" w:space="0" w:color="auto"/>
              <w:right w:val="single" w:sz="4" w:space="0" w:color="auto"/>
            </w:tcBorders>
            <w:vAlign w:val="center"/>
          </w:tcPr>
          <w:p w:rsidR="00ED19E3" w:rsidRDefault="00ED19E3">
            <w:pPr>
              <w:numPr>
                <w:ilvl w:val="0"/>
                <w:numId w:val="3"/>
              </w:numPr>
              <w:tabs>
                <w:tab w:val="left" w:pos="3119"/>
              </w:tabs>
              <w:ind w:left="459"/>
              <w:jc w:val="center"/>
              <w:rPr>
                <w:b/>
                <w:sz w:val="24"/>
                <w:szCs w:val="24"/>
              </w:rPr>
            </w:pPr>
          </w:p>
        </w:tc>
        <w:tc>
          <w:tcPr>
            <w:tcW w:w="4139" w:type="dxa"/>
            <w:tcBorders>
              <w:top w:val="single" w:sz="4" w:space="0" w:color="auto"/>
              <w:left w:val="single" w:sz="4" w:space="0" w:color="auto"/>
              <w:bottom w:val="single" w:sz="4" w:space="0" w:color="auto"/>
              <w:right w:val="single" w:sz="4" w:space="0" w:color="auto"/>
            </w:tcBorders>
          </w:tcPr>
          <w:p w:rsidR="00ED19E3" w:rsidRDefault="00636EC6">
            <w:pPr>
              <w:tabs>
                <w:tab w:val="left" w:pos="3119"/>
              </w:tabs>
              <w:rPr>
                <w:b/>
                <w:bCs/>
                <w:sz w:val="24"/>
                <w:szCs w:val="24"/>
              </w:rPr>
            </w:pPr>
            <w:r>
              <w:rPr>
                <w:b/>
                <w:sz w:val="24"/>
                <w:szCs w:val="24"/>
              </w:rPr>
              <w:t>Преимущество</w:t>
            </w:r>
            <w:r>
              <w:rPr>
                <w:sz w:val="24"/>
                <w:szCs w:val="24"/>
              </w:rPr>
              <w:t xml:space="preserve"> в отношении товаров российского происхождения (в том числе поставляемых при выполнении закупаемых работ, о</w:t>
            </w:r>
            <w:r>
              <w:rPr>
                <w:sz w:val="24"/>
                <w:szCs w:val="24"/>
              </w:rPr>
              <w:t>казании закупаемых услуг), предусмотренное Постановлением Правительства РФ от 23.12.2024 № 1875</w:t>
            </w:r>
          </w:p>
        </w:tc>
        <w:tc>
          <w:tcPr>
            <w:tcW w:w="4961" w:type="dxa"/>
            <w:tcBorders>
              <w:top w:val="single" w:sz="4" w:space="0" w:color="auto"/>
              <w:left w:val="single" w:sz="4" w:space="0" w:color="auto"/>
              <w:bottom w:val="single" w:sz="4" w:space="0" w:color="auto"/>
              <w:right w:val="single" w:sz="4" w:space="0" w:color="auto"/>
            </w:tcBorders>
          </w:tcPr>
          <w:p w:rsidR="00ED19E3" w:rsidRDefault="00636EC6">
            <w:pPr>
              <w:pStyle w:val="afff4"/>
              <w:rPr>
                <w:bCs/>
                <w:iCs/>
                <w:color w:val="000000"/>
                <w:sz w:val="24"/>
                <w:szCs w:val="24"/>
                <w:lang w:val="ru-RU"/>
              </w:rPr>
            </w:pPr>
            <w:r>
              <w:rPr>
                <w:b/>
                <w:iCs/>
                <w:color w:val="000000"/>
                <w:sz w:val="24"/>
                <w:szCs w:val="24"/>
                <w:lang w:val="ru-RU"/>
              </w:rPr>
              <w:t>Не установлено</w:t>
            </w:r>
            <w:r>
              <w:rPr>
                <w:bCs/>
                <w:iCs/>
                <w:color w:val="000000"/>
                <w:sz w:val="24"/>
                <w:szCs w:val="24"/>
                <w:lang w:val="ru-RU"/>
              </w:rPr>
              <w:t>.</w:t>
            </w:r>
          </w:p>
          <w:p w:rsidR="00ED19E3" w:rsidRDefault="00ED19E3">
            <w:pPr>
              <w:pStyle w:val="afff4"/>
              <w:rPr>
                <w:b/>
                <w:i/>
                <w:color w:val="000000"/>
                <w:sz w:val="24"/>
                <w:szCs w:val="24"/>
                <w:lang w:val="ru-RU"/>
              </w:rPr>
            </w:pPr>
          </w:p>
          <w:p w:rsidR="00ED19E3" w:rsidRDefault="00ED19E3">
            <w:pPr>
              <w:spacing w:after="60"/>
              <w:rPr>
                <w:color w:val="000000"/>
                <w:sz w:val="24"/>
                <w:szCs w:val="24"/>
              </w:rPr>
            </w:pPr>
          </w:p>
        </w:tc>
      </w:tr>
    </w:tbl>
    <w:p w:rsidR="00ED19E3" w:rsidRDefault="00ED19E3">
      <w:pPr>
        <w:rPr>
          <w:sz w:val="24"/>
          <w:szCs w:val="24"/>
        </w:rPr>
      </w:pPr>
    </w:p>
    <w:sectPr w:rsidR="00ED19E3">
      <w:pgSz w:w="11906" w:h="16838"/>
      <w:pgMar w:top="709" w:right="851"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6EC6" w:rsidRDefault="00636EC6">
      <w:r>
        <w:separator/>
      </w:r>
    </w:p>
  </w:endnote>
  <w:endnote w:type="continuationSeparator" w:id="0">
    <w:p w:rsidR="00636EC6" w:rsidRDefault="00636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6EC6" w:rsidRDefault="00636EC6">
      <w:r>
        <w:separator/>
      </w:r>
    </w:p>
  </w:footnote>
  <w:footnote w:type="continuationSeparator" w:id="0">
    <w:p w:rsidR="00636EC6" w:rsidRDefault="00636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972C2B"/>
    <w:multiLevelType w:val="multilevel"/>
    <w:tmpl w:val="20D4DE6E"/>
    <w:lvl w:ilvl="0">
      <w:start w:val="1"/>
      <w:numFmt w:val="decimal"/>
      <w:pStyle w:val="a"/>
      <w:lvlText w:val="%1."/>
      <w:lvlJc w:val="left"/>
      <w:pPr>
        <w:tabs>
          <w:tab w:val="left" w:pos="860"/>
        </w:tabs>
        <w:ind w:left="860" w:hanging="680"/>
      </w:pPr>
      <w:rPr>
        <w:rFonts w:ascii="Times New Roman" w:hAnsi="Times New Roman"/>
        <w:b/>
        <w:i w:val="0"/>
        <w:sz w:val="22"/>
        <w:szCs w:val="22"/>
      </w:rPr>
    </w:lvl>
    <w:lvl w:ilvl="1">
      <w:start w:val="1"/>
      <w:numFmt w:val="decimal"/>
      <w:pStyle w:val="a0"/>
      <w:lvlText w:val="%1.%2."/>
      <w:lvlJc w:val="left"/>
      <w:pPr>
        <w:tabs>
          <w:tab w:val="left" w:pos="680"/>
        </w:tabs>
        <w:ind w:left="680" w:hanging="680"/>
      </w:pPr>
    </w:lvl>
    <w:lvl w:ilvl="2">
      <w:start w:val="1"/>
      <w:numFmt w:val="decimal"/>
      <w:pStyle w:val="a1"/>
      <w:lvlText w:val="%1.%2.%3."/>
      <w:lvlJc w:val="left"/>
      <w:pPr>
        <w:tabs>
          <w:tab w:val="left" w:pos="680"/>
        </w:tabs>
        <w:ind w:left="680" w:hanging="680"/>
      </w:pPr>
      <w:rPr>
        <w:b w:val="0"/>
      </w:rPr>
    </w:lvl>
    <w:lvl w:ilvl="3">
      <w:start w:val="1"/>
      <w:numFmt w:val="bullet"/>
      <w:pStyle w:val="a2"/>
      <w:lvlText w:val="-"/>
      <w:lvlJc w:val="left"/>
      <w:pPr>
        <w:tabs>
          <w:tab w:val="left" w:pos="851"/>
        </w:tabs>
        <w:ind w:left="851" w:hanging="171"/>
      </w:pPr>
      <w:rPr>
        <w:rFonts w:ascii="Tw Cen MT Condensed Extra Bold" w:hAnsi="Tw Cen MT Condensed Extra Bold"/>
      </w:rPr>
    </w:lvl>
    <w:lvl w:ilvl="4">
      <w:start w:val="1"/>
      <w:numFmt w:val="decimal"/>
      <w:lvlText w:val="%1.%2.%3.%4.%5"/>
      <w:lvlJc w:val="left"/>
      <w:pPr>
        <w:tabs>
          <w:tab w:val="left" w:pos="765"/>
        </w:tabs>
        <w:ind w:left="765" w:hanging="1080"/>
      </w:pPr>
    </w:lvl>
    <w:lvl w:ilvl="5">
      <w:start w:val="1"/>
      <w:numFmt w:val="decimal"/>
      <w:lvlText w:val="%1.%2.%3.%4.%5.%6"/>
      <w:lvlJc w:val="left"/>
      <w:pPr>
        <w:tabs>
          <w:tab w:val="left" w:pos="765"/>
        </w:tabs>
        <w:ind w:left="765" w:hanging="1080"/>
      </w:pPr>
    </w:lvl>
    <w:lvl w:ilvl="6">
      <w:start w:val="1"/>
      <w:numFmt w:val="decimal"/>
      <w:lvlText w:val="%1.%2.%3.%4.%5.%6.%7"/>
      <w:lvlJc w:val="left"/>
      <w:pPr>
        <w:tabs>
          <w:tab w:val="left" w:pos="1125"/>
        </w:tabs>
        <w:ind w:left="1125" w:hanging="1440"/>
      </w:pPr>
    </w:lvl>
    <w:lvl w:ilvl="7">
      <w:start w:val="1"/>
      <w:numFmt w:val="decimal"/>
      <w:lvlText w:val="%1.%2.%3.%4.%5.%6.%7.%8"/>
      <w:lvlJc w:val="left"/>
      <w:pPr>
        <w:tabs>
          <w:tab w:val="left" w:pos="1125"/>
        </w:tabs>
        <w:ind w:left="1125" w:hanging="1440"/>
      </w:pPr>
    </w:lvl>
    <w:lvl w:ilvl="8">
      <w:start w:val="1"/>
      <w:numFmt w:val="decimal"/>
      <w:lvlText w:val="%1.%2.%3.%4.%5.%6.%7.%8.%9"/>
      <w:lvlJc w:val="left"/>
      <w:pPr>
        <w:tabs>
          <w:tab w:val="left" w:pos="1485"/>
        </w:tabs>
        <w:ind w:left="1485" w:hanging="1800"/>
      </w:pPr>
    </w:lvl>
  </w:abstractNum>
  <w:abstractNum w:abstractNumId="1" w15:restartNumberingAfterBreak="0">
    <w:nsid w:val="1E571AD9"/>
    <w:multiLevelType w:val="multilevel"/>
    <w:tmpl w:val="A0D0F89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rFonts w:cs="Times New Roman"/>
        <w:b w:val="0"/>
        <w:bCs w:val="0"/>
        <w:i w:val="0"/>
        <w:iCs w:val="0"/>
        <w:caps w:val="0"/>
        <w:strike w:val="0"/>
        <w:vanish w:val="0"/>
        <w:color w:val="000000"/>
        <w:spacing w:val="0"/>
        <w:position w:val="0"/>
        <w:sz w:val="24"/>
        <w:szCs w:val="24"/>
        <w:u w:val="none"/>
        <w:vertAlign w:val="baseline"/>
      </w:rPr>
    </w:lvl>
    <w:lvl w:ilvl="2">
      <w:start w:val="1"/>
      <w:numFmt w:val="decimal"/>
      <w:pStyle w:val="-1"/>
      <w:lvlText w:val="%1.%2.%3"/>
      <w:lvlJc w:val="left"/>
      <w:pPr>
        <w:tabs>
          <w:tab w:val="left" w:pos="851"/>
        </w:tabs>
        <w:ind w:left="851" w:hanging="851"/>
      </w:pPr>
      <w:rPr>
        <w:b w:val="0"/>
        <w:bCs w:val="0"/>
        <w:i w:val="0"/>
        <w:iCs w:val="0"/>
      </w:rPr>
    </w:lvl>
    <w:lvl w:ilvl="3">
      <w:start w:val="1"/>
      <w:numFmt w:val="lowerLetter"/>
      <w:pStyle w:val="-2"/>
      <w:lvlText w:val="%4)"/>
      <w:lvlJc w:val="left"/>
      <w:pPr>
        <w:tabs>
          <w:tab w:val="left" w:pos="1418"/>
        </w:tabs>
        <w:ind w:left="1418" w:hanging="567"/>
      </w:pPr>
      <w:rPr>
        <w:rFonts w:cs="Times New Roman"/>
        <w:b w:val="0"/>
        <w:bCs w:val="0"/>
        <w:i w:val="0"/>
        <w:iCs w:val="0"/>
        <w:caps w:val="0"/>
        <w:strike w:val="0"/>
        <w:vanish w:val="0"/>
        <w:color w:val="000000"/>
        <w:spacing w:val="0"/>
        <w:position w:val="0"/>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2" w15:restartNumberingAfterBreak="0">
    <w:nsid w:val="5B5E656C"/>
    <w:multiLevelType w:val="multilevel"/>
    <w:tmpl w:val="3C364BC4"/>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9E3"/>
    <w:rsid w:val="00175D68"/>
    <w:rsid w:val="005F7744"/>
    <w:rsid w:val="00636EC6"/>
    <w:rsid w:val="00ED19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76C7D"/>
  <w15:docId w15:val="{7AE8A2A6-7F18-468D-88FD-22755B66A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3">
    <w:name w:val="Normal"/>
    <w:qFormat/>
    <w:pPr>
      <w:jc w:val="both"/>
    </w:pPr>
    <w:rPr>
      <w:sz w:val="28"/>
    </w:rPr>
  </w:style>
  <w:style w:type="paragraph" w:styleId="1">
    <w:name w:val="heading 1"/>
    <w:basedOn w:val="a3"/>
    <w:next w:val="a3"/>
    <w:link w:val="10"/>
    <w:qFormat/>
    <w:pPr>
      <w:keepNext/>
      <w:spacing w:before="240" w:after="60"/>
      <w:outlineLvl w:val="0"/>
    </w:pPr>
    <w:rPr>
      <w:rFonts w:ascii="Cambria" w:hAnsi="Cambria"/>
      <w:b/>
      <w:bCs/>
      <w:sz w:val="32"/>
      <w:szCs w:val="32"/>
      <w:lang w:val="en-US" w:eastAsia="en-US"/>
    </w:rPr>
  </w:style>
  <w:style w:type="paragraph" w:styleId="2">
    <w:name w:val="heading 2"/>
    <w:basedOn w:val="a3"/>
    <w:next w:val="a3"/>
    <w:link w:val="20"/>
    <w:unhideWhenUsed/>
    <w:qFormat/>
    <w:pPr>
      <w:keepNext/>
      <w:spacing w:before="240" w:after="60"/>
      <w:jc w:val="left"/>
      <w:outlineLvl w:val="1"/>
    </w:pPr>
    <w:rPr>
      <w:rFonts w:ascii="Cambria" w:hAnsi="Cambria"/>
      <w:b/>
      <w:bCs/>
      <w:i/>
      <w:iCs/>
      <w:szCs w:val="28"/>
      <w:lang w:val="en-US" w:eastAsia="en-US"/>
    </w:rPr>
  </w:style>
  <w:style w:type="paragraph" w:styleId="3">
    <w:name w:val="heading 3"/>
    <w:basedOn w:val="a3"/>
    <w:next w:val="a3"/>
    <w:link w:val="30"/>
    <w:uiPriority w:val="9"/>
    <w:unhideWhenUsed/>
    <w:qFormat/>
    <w:pPr>
      <w:keepNext/>
      <w:spacing w:before="240" w:after="60"/>
      <w:jc w:val="left"/>
      <w:outlineLvl w:val="2"/>
    </w:pPr>
    <w:rPr>
      <w:rFonts w:ascii="Cambria" w:hAnsi="Cambria"/>
      <w:b/>
      <w:bCs/>
      <w:sz w:val="26"/>
      <w:szCs w:val="26"/>
      <w:lang w:val="en-US" w:eastAsia="en-US"/>
    </w:rPr>
  </w:style>
  <w:style w:type="paragraph" w:styleId="4">
    <w:name w:val="heading 4"/>
    <w:basedOn w:val="a3"/>
    <w:next w:val="a3"/>
    <w:link w:val="40"/>
    <w:uiPriority w:val="9"/>
    <w:unhideWhenUsed/>
    <w:qFormat/>
    <w:pPr>
      <w:keepNext/>
      <w:keepLines/>
      <w:spacing w:before="80" w:after="40"/>
      <w:outlineLvl w:val="3"/>
    </w:pPr>
    <w:rPr>
      <w:rFonts w:ascii="Arial" w:eastAsia="Arial" w:hAnsi="Arial" w:cs="Arial"/>
      <w:i/>
      <w:iCs/>
      <w:color w:val="365F91"/>
    </w:rPr>
  </w:style>
  <w:style w:type="paragraph" w:styleId="5">
    <w:name w:val="heading 5"/>
    <w:basedOn w:val="a3"/>
    <w:next w:val="a3"/>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3"/>
    <w:next w:val="a3"/>
    <w:link w:val="60"/>
    <w:uiPriority w:val="9"/>
    <w:unhideWhenUsed/>
    <w:qFormat/>
    <w:pPr>
      <w:keepNext/>
      <w:keepLines/>
      <w:spacing w:before="40"/>
      <w:outlineLvl w:val="5"/>
    </w:pPr>
    <w:rPr>
      <w:rFonts w:ascii="Arial" w:eastAsia="Arial" w:hAnsi="Arial" w:cs="Arial"/>
      <w:i/>
      <w:iCs/>
      <w:color w:val="595959"/>
    </w:rPr>
  </w:style>
  <w:style w:type="paragraph" w:styleId="7">
    <w:name w:val="heading 7"/>
    <w:basedOn w:val="a3"/>
    <w:next w:val="a3"/>
    <w:link w:val="70"/>
    <w:uiPriority w:val="9"/>
    <w:unhideWhenUsed/>
    <w:qFormat/>
    <w:pPr>
      <w:keepNext/>
      <w:keepLines/>
      <w:spacing w:before="40"/>
      <w:outlineLvl w:val="6"/>
    </w:pPr>
    <w:rPr>
      <w:rFonts w:ascii="Arial" w:eastAsia="Arial" w:hAnsi="Arial" w:cs="Arial"/>
      <w:color w:val="595959"/>
    </w:rPr>
  </w:style>
  <w:style w:type="paragraph" w:styleId="8">
    <w:name w:val="heading 8"/>
    <w:basedOn w:val="a3"/>
    <w:next w:val="a3"/>
    <w:link w:val="80"/>
    <w:uiPriority w:val="9"/>
    <w:unhideWhenUsed/>
    <w:qFormat/>
    <w:pPr>
      <w:keepNext/>
      <w:keepLines/>
      <w:outlineLvl w:val="7"/>
    </w:pPr>
    <w:rPr>
      <w:rFonts w:ascii="Arial" w:eastAsia="Arial" w:hAnsi="Arial" w:cs="Arial"/>
      <w:i/>
      <w:iCs/>
      <w:color w:val="272727"/>
    </w:rPr>
  </w:style>
  <w:style w:type="paragraph" w:styleId="9">
    <w:name w:val="heading 9"/>
    <w:basedOn w:val="a3"/>
    <w:next w:val="a3"/>
    <w:link w:val="90"/>
    <w:uiPriority w:val="9"/>
    <w:unhideWhenUsed/>
    <w:qFormat/>
    <w:pPr>
      <w:keepNext/>
      <w:keepLines/>
      <w:outlineLvl w:val="8"/>
    </w:pPr>
    <w:rPr>
      <w:rFonts w:ascii="Arial" w:eastAsia="Arial" w:hAnsi="Arial" w:cs="Arial"/>
      <w:i/>
      <w:iCs/>
      <w:color w:val="272727"/>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11">
    <w:name w:val="Plain Table 1"/>
    <w:basedOn w:val="a5"/>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5"/>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5"/>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5"/>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5"/>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0">
    <w:name w:val="Grid Table 1 Light"/>
    <w:basedOn w:val="a5"/>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0">
    <w:name w:val="Grid Table 2"/>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
    <w:name w:val="Grid Table 3"/>
    <w:basedOn w:val="a5"/>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
    <w:name w:val="Grid Table 4"/>
    <w:basedOn w:val="a5"/>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5">
    <w:name w:val="Grid Table 5 Dark"/>
    <w:basedOn w:val="a5"/>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6">
    <w:name w:val="Grid Table 6 Colorful"/>
    <w:basedOn w:val="a5"/>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7">
    <w:name w:val="Grid Table 7 Colorful"/>
    <w:basedOn w:val="a5"/>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11">
    <w:name w:val="List Table 1 Light"/>
    <w:basedOn w:val="a5"/>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1">
    <w:name w:val="List Table 2"/>
    <w:basedOn w:val="a5"/>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0">
    <w:name w:val="List Table 3"/>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0">
    <w:name w:val="List Table 4"/>
    <w:basedOn w:val="a5"/>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0">
    <w:name w:val="List Table 5 Dark"/>
    <w:basedOn w:val="a5"/>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0">
    <w:name w:val="List Table 6 Colorful"/>
    <w:basedOn w:val="a5"/>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0">
    <w:name w:val="List Table 7 Colorful"/>
    <w:basedOn w:val="a5"/>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styleId="a7">
    <w:name w:val="Intense Emphasis"/>
    <w:basedOn w:val="a4"/>
    <w:uiPriority w:val="21"/>
    <w:qFormat/>
    <w:rPr>
      <w:i/>
      <w:iCs/>
      <w:color w:val="365F91" w:themeColor="accent1" w:themeShade="BF"/>
    </w:rPr>
  </w:style>
  <w:style w:type="character" w:styleId="a8">
    <w:name w:val="Intense Reference"/>
    <w:basedOn w:val="a4"/>
    <w:uiPriority w:val="32"/>
    <w:qFormat/>
    <w:rPr>
      <w:b/>
      <w:bCs/>
      <w:smallCaps/>
      <w:color w:val="365F91" w:themeColor="accent1" w:themeShade="BF"/>
      <w:spacing w:val="5"/>
    </w:rPr>
  </w:style>
  <w:style w:type="character" w:styleId="a9">
    <w:name w:val="Subtle Emphasis"/>
    <w:basedOn w:val="a4"/>
    <w:uiPriority w:val="19"/>
    <w:qFormat/>
    <w:rPr>
      <w:i/>
      <w:iCs/>
      <w:color w:val="404040" w:themeColor="text1" w:themeTint="BF"/>
    </w:rPr>
  </w:style>
  <w:style w:type="character" w:styleId="aa">
    <w:name w:val="Subtle Reference"/>
    <w:basedOn w:val="a4"/>
    <w:uiPriority w:val="31"/>
    <w:qFormat/>
    <w:rPr>
      <w:smallCaps/>
      <w:color w:val="5A5A5A" w:themeColor="text1" w:themeTint="A5"/>
    </w:rPr>
  </w:style>
  <w:style w:type="character" w:styleId="ab">
    <w:name w:val="Book Title"/>
    <w:basedOn w:val="a4"/>
    <w:uiPriority w:val="33"/>
    <w:qFormat/>
    <w:rPr>
      <w:b/>
      <w:bCs/>
      <w:i/>
      <w:iCs/>
      <w:spacing w:val="5"/>
    </w:rPr>
  </w:style>
  <w:style w:type="paragraph" w:styleId="ac">
    <w:name w:val="TOC Heading"/>
    <w:uiPriority w:val="39"/>
    <w:unhideWhenUsed/>
  </w:style>
  <w:style w:type="character" w:styleId="ad">
    <w:name w:val="FollowedHyperlink"/>
    <w:uiPriority w:val="99"/>
    <w:semiHidden/>
    <w:unhideWhenUsed/>
    <w:rPr>
      <w:color w:val="800080"/>
      <w:u w:val="single"/>
    </w:rPr>
  </w:style>
  <w:style w:type="character" w:styleId="ae">
    <w:name w:val="footnote reference"/>
    <w:uiPriority w:val="99"/>
    <w:semiHidden/>
    <w:unhideWhenUsed/>
    <w:rPr>
      <w:vertAlign w:val="superscript"/>
    </w:rPr>
  </w:style>
  <w:style w:type="character" w:styleId="af">
    <w:name w:val="endnote reference"/>
    <w:uiPriority w:val="99"/>
    <w:semiHidden/>
    <w:unhideWhenUsed/>
    <w:rPr>
      <w:vertAlign w:val="superscript"/>
    </w:rPr>
  </w:style>
  <w:style w:type="character" w:styleId="af0">
    <w:name w:val="Emphasis"/>
    <w:uiPriority w:val="20"/>
    <w:qFormat/>
    <w:rPr>
      <w:i/>
      <w:iCs/>
    </w:rPr>
  </w:style>
  <w:style w:type="character" w:styleId="af1">
    <w:name w:val="Hyperlink"/>
    <w:rPr>
      <w:color w:val="0000FF"/>
      <w:u w:val="single"/>
    </w:rPr>
  </w:style>
  <w:style w:type="character" w:styleId="af2">
    <w:name w:val="Strong"/>
    <w:uiPriority w:val="22"/>
    <w:qFormat/>
    <w:rPr>
      <w:rFonts w:cs="Times New Roman"/>
      <w:b/>
      <w:bCs/>
    </w:rPr>
  </w:style>
  <w:style w:type="paragraph" w:styleId="af3">
    <w:name w:val="Balloon Text"/>
    <w:basedOn w:val="a3"/>
    <w:semiHidden/>
    <w:rPr>
      <w:rFonts w:ascii="Tahoma" w:hAnsi="Tahoma" w:cs="Tahoma"/>
      <w:sz w:val="16"/>
      <w:szCs w:val="16"/>
    </w:rPr>
  </w:style>
  <w:style w:type="paragraph" w:styleId="af4">
    <w:name w:val="Plain Text"/>
    <w:basedOn w:val="a3"/>
    <w:pPr>
      <w:jc w:val="left"/>
    </w:pPr>
    <w:rPr>
      <w:rFonts w:ascii="Courier New" w:hAnsi="Courier New" w:cs="Courier New"/>
      <w:sz w:val="20"/>
    </w:rPr>
  </w:style>
  <w:style w:type="paragraph" w:styleId="af5">
    <w:name w:val="endnote text"/>
    <w:basedOn w:val="a3"/>
    <w:link w:val="af6"/>
    <w:uiPriority w:val="99"/>
    <w:semiHidden/>
    <w:unhideWhenUsed/>
    <w:rPr>
      <w:sz w:val="20"/>
    </w:rPr>
  </w:style>
  <w:style w:type="paragraph" w:styleId="af7">
    <w:name w:val="caption"/>
    <w:basedOn w:val="a3"/>
    <w:next w:val="a3"/>
    <w:uiPriority w:val="35"/>
    <w:unhideWhenUsed/>
    <w:qFormat/>
    <w:pPr>
      <w:spacing w:after="200"/>
    </w:pPr>
    <w:rPr>
      <w:i/>
      <w:iCs/>
      <w:color w:val="1F497D"/>
      <w:sz w:val="18"/>
      <w:szCs w:val="18"/>
    </w:rPr>
  </w:style>
  <w:style w:type="paragraph" w:styleId="af8">
    <w:name w:val="Document Map"/>
    <w:basedOn w:val="a3"/>
    <w:semiHidden/>
    <w:pPr>
      <w:shd w:val="clear" w:color="auto" w:fill="000080"/>
    </w:pPr>
    <w:rPr>
      <w:rFonts w:ascii="Tahoma" w:hAnsi="Tahoma" w:cs="Tahoma"/>
      <w:sz w:val="20"/>
    </w:rPr>
  </w:style>
  <w:style w:type="paragraph" w:styleId="af9">
    <w:name w:val="footnote text"/>
    <w:basedOn w:val="a3"/>
    <w:link w:val="afa"/>
    <w:uiPriority w:val="99"/>
    <w:semiHidden/>
    <w:unhideWhenUsed/>
    <w:rPr>
      <w:sz w:val="20"/>
    </w:rPr>
  </w:style>
  <w:style w:type="paragraph" w:styleId="81">
    <w:name w:val="toc 8"/>
    <w:basedOn w:val="a3"/>
    <w:next w:val="a3"/>
    <w:uiPriority w:val="39"/>
    <w:unhideWhenUsed/>
    <w:pPr>
      <w:spacing w:after="100"/>
      <w:ind w:left="1540"/>
    </w:pPr>
  </w:style>
  <w:style w:type="paragraph" w:styleId="afb">
    <w:name w:val="header"/>
    <w:basedOn w:val="a3"/>
    <w:link w:val="afc"/>
    <w:uiPriority w:val="99"/>
    <w:unhideWhenUsed/>
    <w:pPr>
      <w:tabs>
        <w:tab w:val="center" w:pos="4844"/>
        <w:tab w:val="right" w:pos="9689"/>
      </w:tabs>
    </w:pPr>
  </w:style>
  <w:style w:type="paragraph" w:styleId="91">
    <w:name w:val="toc 9"/>
    <w:basedOn w:val="a3"/>
    <w:next w:val="a3"/>
    <w:uiPriority w:val="39"/>
    <w:unhideWhenUsed/>
    <w:pPr>
      <w:spacing w:after="100"/>
      <w:ind w:left="1760"/>
    </w:pPr>
  </w:style>
  <w:style w:type="paragraph" w:styleId="71">
    <w:name w:val="toc 7"/>
    <w:basedOn w:val="a3"/>
    <w:next w:val="a3"/>
    <w:uiPriority w:val="39"/>
    <w:unhideWhenUsed/>
    <w:pPr>
      <w:spacing w:after="100"/>
      <w:ind w:left="1320"/>
    </w:pPr>
  </w:style>
  <w:style w:type="paragraph" w:styleId="afd">
    <w:name w:val="Body Text"/>
    <w:basedOn w:val="a3"/>
    <w:link w:val="afe"/>
    <w:rPr>
      <w:lang w:val="en-US" w:eastAsia="en-US"/>
    </w:rPr>
  </w:style>
  <w:style w:type="paragraph" w:styleId="12">
    <w:name w:val="toc 1"/>
    <w:basedOn w:val="a3"/>
    <w:next w:val="a3"/>
    <w:uiPriority w:val="39"/>
    <w:unhideWhenUsed/>
    <w:pPr>
      <w:spacing w:after="100"/>
    </w:pPr>
  </w:style>
  <w:style w:type="paragraph" w:styleId="61">
    <w:name w:val="toc 6"/>
    <w:basedOn w:val="a3"/>
    <w:next w:val="a3"/>
    <w:uiPriority w:val="39"/>
    <w:unhideWhenUsed/>
    <w:pPr>
      <w:spacing w:after="100"/>
      <w:ind w:left="1100"/>
    </w:pPr>
  </w:style>
  <w:style w:type="paragraph" w:styleId="aff">
    <w:name w:val="table of figures"/>
    <w:basedOn w:val="a3"/>
    <w:next w:val="a3"/>
    <w:uiPriority w:val="99"/>
    <w:unhideWhenUsed/>
  </w:style>
  <w:style w:type="paragraph" w:styleId="32">
    <w:name w:val="toc 3"/>
    <w:basedOn w:val="a3"/>
    <w:next w:val="a3"/>
    <w:uiPriority w:val="39"/>
    <w:unhideWhenUsed/>
    <w:pPr>
      <w:spacing w:after="100"/>
      <w:ind w:left="440"/>
    </w:pPr>
  </w:style>
  <w:style w:type="paragraph" w:styleId="22">
    <w:name w:val="toc 2"/>
    <w:basedOn w:val="a3"/>
    <w:next w:val="a3"/>
    <w:uiPriority w:val="39"/>
    <w:unhideWhenUsed/>
    <w:pPr>
      <w:spacing w:after="100"/>
      <w:ind w:left="220"/>
    </w:pPr>
  </w:style>
  <w:style w:type="paragraph" w:styleId="42">
    <w:name w:val="toc 4"/>
    <w:basedOn w:val="a3"/>
    <w:next w:val="a3"/>
    <w:uiPriority w:val="39"/>
    <w:unhideWhenUsed/>
    <w:pPr>
      <w:spacing w:after="100"/>
      <w:ind w:left="660"/>
    </w:pPr>
  </w:style>
  <w:style w:type="paragraph" w:styleId="52">
    <w:name w:val="toc 5"/>
    <w:basedOn w:val="a3"/>
    <w:next w:val="a3"/>
    <w:uiPriority w:val="39"/>
    <w:unhideWhenUsed/>
    <w:pPr>
      <w:spacing w:after="100"/>
      <w:ind w:left="880"/>
    </w:pPr>
  </w:style>
  <w:style w:type="paragraph" w:styleId="aff0">
    <w:name w:val="Title"/>
    <w:basedOn w:val="a3"/>
    <w:next w:val="a3"/>
    <w:link w:val="aff1"/>
    <w:uiPriority w:val="10"/>
    <w:qFormat/>
    <w:pPr>
      <w:spacing w:after="80"/>
      <w:contextualSpacing/>
    </w:pPr>
    <w:rPr>
      <w:rFonts w:ascii="Arial" w:eastAsia="Arial" w:hAnsi="Arial" w:cs="Arial"/>
      <w:spacing w:val="-10"/>
      <w:sz w:val="56"/>
      <w:szCs w:val="56"/>
    </w:rPr>
  </w:style>
  <w:style w:type="paragraph" w:styleId="aff2">
    <w:name w:val="footer"/>
    <w:basedOn w:val="a3"/>
    <w:link w:val="aff3"/>
    <w:uiPriority w:val="99"/>
    <w:unhideWhenUsed/>
    <w:pPr>
      <w:tabs>
        <w:tab w:val="center" w:pos="4844"/>
        <w:tab w:val="right" w:pos="9689"/>
      </w:tabs>
    </w:pPr>
  </w:style>
  <w:style w:type="paragraph" w:styleId="aff4">
    <w:name w:val="Subtitle"/>
    <w:basedOn w:val="a3"/>
    <w:next w:val="a3"/>
    <w:link w:val="aff5"/>
    <w:uiPriority w:val="11"/>
    <w:qFormat/>
    <w:rPr>
      <w:color w:val="595959"/>
      <w:spacing w:val="15"/>
      <w:szCs w:val="28"/>
    </w:rPr>
  </w:style>
  <w:style w:type="table" w:styleId="aff6">
    <w:name w:val="Table Grid"/>
    <w:basedOn w:val="a5"/>
    <w:pPr>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a4"/>
    <w:uiPriority w:val="9"/>
    <w:qFormat/>
    <w:rPr>
      <w:rFonts w:ascii="Arial" w:eastAsia="Arial" w:hAnsi="Arial" w:cs="Arial"/>
      <w:i/>
      <w:iCs/>
      <w:color w:val="365F91" w:themeColor="accent1" w:themeShade="BF"/>
    </w:rPr>
  </w:style>
  <w:style w:type="character" w:customStyle="1" w:styleId="Heading5Char">
    <w:name w:val="Heading 5 Char"/>
    <w:basedOn w:val="a4"/>
    <w:uiPriority w:val="9"/>
    <w:qFormat/>
    <w:rPr>
      <w:rFonts w:ascii="Arial" w:eastAsia="Arial" w:hAnsi="Arial" w:cs="Arial"/>
      <w:color w:val="365F91" w:themeColor="accent1" w:themeShade="BF"/>
    </w:rPr>
  </w:style>
  <w:style w:type="character" w:customStyle="1" w:styleId="Heading6Char">
    <w:name w:val="Heading 6 Char"/>
    <w:basedOn w:val="a4"/>
    <w:uiPriority w:val="9"/>
    <w:qFormat/>
    <w:rPr>
      <w:rFonts w:ascii="Arial" w:eastAsia="Arial" w:hAnsi="Arial" w:cs="Arial"/>
      <w:i/>
      <w:iCs/>
      <w:color w:val="595959" w:themeColor="text1" w:themeTint="A6"/>
    </w:rPr>
  </w:style>
  <w:style w:type="character" w:customStyle="1" w:styleId="Heading7Char">
    <w:name w:val="Heading 7 Char"/>
    <w:basedOn w:val="a4"/>
    <w:uiPriority w:val="9"/>
    <w:qFormat/>
    <w:rPr>
      <w:rFonts w:ascii="Arial" w:eastAsia="Arial" w:hAnsi="Arial" w:cs="Arial"/>
      <w:color w:val="595959" w:themeColor="text1" w:themeTint="A6"/>
    </w:rPr>
  </w:style>
  <w:style w:type="character" w:customStyle="1" w:styleId="Heading8Char">
    <w:name w:val="Heading 8 Char"/>
    <w:basedOn w:val="a4"/>
    <w:uiPriority w:val="9"/>
    <w:qFormat/>
    <w:rPr>
      <w:rFonts w:ascii="Arial" w:eastAsia="Arial" w:hAnsi="Arial" w:cs="Arial"/>
      <w:i/>
      <w:iCs/>
      <w:color w:val="262626" w:themeColor="text1" w:themeTint="D9"/>
    </w:rPr>
  </w:style>
  <w:style w:type="character" w:customStyle="1" w:styleId="Heading9Char">
    <w:name w:val="Heading 9 Char"/>
    <w:basedOn w:val="a4"/>
    <w:uiPriority w:val="9"/>
    <w:qFormat/>
    <w:rPr>
      <w:rFonts w:ascii="Arial" w:eastAsia="Arial" w:hAnsi="Arial" w:cs="Arial"/>
      <w:i/>
      <w:iCs/>
      <w:color w:val="262626" w:themeColor="text1" w:themeTint="D9"/>
    </w:rPr>
  </w:style>
  <w:style w:type="character" w:customStyle="1" w:styleId="TitleChar">
    <w:name w:val="Title Char"/>
    <w:basedOn w:val="a4"/>
    <w:uiPriority w:val="10"/>
    <w:qFormat/>
    <w:rPr>
      <w:rFonts w:ascii="Arial" w:eastAsia="Arial" w:hAnsi="Arial" w:cs="Arial"/>
      <w:spacing w:val="-10"/>
      <w:sz w:val="56"/>
      <w:szCs w:val="56"/>
    </w:rPr>
  </w:style>
  <w:style w:type="character" w:customStyle="1" w:styleId="SubtitleChar">
    <w:name w:val="Subtitle Char"/>
    <w:basedOn w:val="a4"/>
    <w:uiPriority w:val="11"/>
    <w:qFormat/>
    <w:rPr>
      <w:color w:val="595959" w:themeColor="text1" w:themeTint="A6"/>
      <w:spacing w:val="15"/>
      <w:sz w:val="28"/>
      <w:szCs w:val="28"/>
    </w:rPr>
  </w:style>
  <w:style w:type="character" w:customStyle="1" w:styleId="QuoteChar">
    <w:name w:val="Quote Char"/>
    <w:basedOn w:val="a4"/>
    <w:uiPriority w:val="29"/>
    <w:rPr>
      <w:i/>
      <w:iCs/>
      <w:color w:val="404040" w:themeColor="text1" w:themeTint="BF"/>
    </w:rPr>
  </w:style>
  <w:style w:type="character" w:customStyle="1" w:styleId="IntenseQuoteChar">
    <w:name w:val="Intense Quote Char"/>
    <w:basedOn w:val="a4"/>
    <w:uiPriority w:val="30"/>
    <w:rPr>
      <w:i/>
      <w:iCs/>
      <w:color w:val="365F91" w:themeColor="accent1" w:themeShade="BF"/>
    </w:rPr>
  </w:style>
  <w:style w:type="character" w:customStyle="1" w:styleId="HeaderChar">
    <w:name w:val="Header Char"/>
    <w:basedOn w:val="a4"/>
    <w:uiPriority w:val="99"/>
    <w:qFormat/>
  </w:style>
  <w:style w:type="character" w:customStyle="1" w:styleId="FooterChar">
    <w:name w:val="Footer Char"/>
    <w:basedOn w:val="a4"/>
    <w:uiPriority w:val="99"/>
    <w:qFormat/>
  </w:style>
  <w:style w:type="character" w:customStyle="1" w:styleId="FootnoteTextChar">
    <w:name w:val="Footnote Text Char"/>
    <w:basedOn w:val="a4"/>
    <w:uiPriority w:val="99"/>
    <w:semiHidden/>
    <w:qFormat/>
    <w:rPr>
      <w:sz w:val="20"/>
      <w:szCs w:val="20"/>
    </w:rPr>
  </w:style>
  <w:style w:type="character" w:customStyle="1" w:styleId="EndnoteTextChar">
    <w:name w:val="Endnote Text Char"/>
    <w:basedOn w:val="a4"/>
    <w:uiPriority w:val="99"/>
    <w:semiHidden/>
    <w:qFormat/>
    <w:rPr>
      <w:sz w:val="20"/>
      <w:szCs w:val="20"/>
    </w:rPr>
  </w:style>
  <w:style w:type="table" w:customStyle="1" w:styleId="TableGridLight">
    <w:name w:val="Table Grid Light"/>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5"/>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5"/>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5"/>
    <w:uiPriority w:val="99"/>
    <w:qFormat/>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5"/>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5"/>
    <w:uiPriority w:val="99"/>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5"/>
    <w:uiPriority w:val="99"/>
    <w:qFormat/>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uiPriority w:val="99"/>
    <w:qFormat/>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5"/>
    <w:uiPriority w:val="99"/>
    <w:qFormat/>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0">
    <w:name w:val="Таблица-сетка 21"/>
    <w:basedOn w:val="a5"/>
    <w:uiPriority w:val="99"/>
    <w:qFormat/>
    <w:tblPr>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5"/>
    <w:uiPriority w:val="99"/>
    <w:tblPr>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5"/>
    <w:uiPriority w:val="99"/>
    <w:tblPr>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5"/>
    <w:uiPriority w:val="99"/>
    <w:tblPr>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5"/>
    <w:uiPriority w:val="99"/>
    <w:tblPr>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5"/>
    <w:uiPriority w:val="99"/>
    <w:tblPr>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5"/>
    <w:uiPriority w:val="99"/>
    <w:tblPr>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5"/>
    <w:uiPriority w:val="99"/>
    <w:tblPr>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5"/>
    <w:uiPriority w:val="59"/>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5"/>
    <w:uiPriority w:val="59"/>
    <w:tblPr>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5"/>
    <w:uiPriority w:val="59"/>
    <w:tblPr>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5"/>
    <w:uiPriority w:val="59"/>
    <w:tblPr>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5"/>
    <w:uiPriority w:val="59"/>
    <w:tblPr>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5"/>
    <w:uiPriority w:val="59"/>
    <w:tblPr>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5"/>
    <w:uiPriority w:val="59"/>
    <w:tblPr>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5"/>
    <w:uiPriority w:val="99"/>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5"/>
    <w:uiPriority w:val="99"/>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5"/>
    <w:uiPriority w:val="99"/>
    <w:tblPr>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5"/>
    <w:uiPriority w:val="99"/>
    <w:tblPr>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5"/>
    <w:uiPriority w:val="99"/>
    <w:tblPr>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5"/>
    <w:uiPriority w:val="99"/>
    <w:tblPr>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5"/>
    <w:uiPriority w:val="99"/>
    <w:tblPr>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5"/>
    <w:uiPriority w:val="99"/>
    <w:tblPr>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5"/>
    <w:uiPriority w:val="99"/>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5"/>
    <w:uiPriority w:val="99"/>
    <w:tblPr>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5"/>
    <w:uiPriority w:val="99"/>
    <w:tblPr>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5"/>
    <w:uiPriority w:val="99"/>
    <w:tblPr>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5"/>
    <w:uiPriority w:val="99"/>
    <w:tblPr>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5"/>
    <w:uiPriority w:val="99"/>
    <w:tblPr>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5"/>
    <w:uiPriority w:val="99"/>
    <w:tblPr>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5"/>
    <w:uiPriority w:val="99"/>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5"/>
    <w:uiPriority w:val="99"/>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5"/>
    <w:uiPriority w:val="99"/>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5"/>
    <w:uiPriority w:val="99"/>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5"/>
    <w:uiPriority w:val="99"/>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5"/>
    <w:uiPriority w:val="99"/>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5"/>
    <w:uiPriority w:val="99"/>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1">
    <w:name w:val="Список-таблица 21"/>
    <w:basedOn w:val="a5"/>
    <w:uiPriority w:val="99"/>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5"/>
    <w:uiPriority w:val="99"/>
    <w:tblPr>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5"/>
    <w:uiPriority w:val="99"/>
    <w:tblPr>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5"/>
    <w:uiPriority w:val="99"/>
    <w:tblPr>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5"/>
    <w:uiPriority w:val="99"/>
    <w:tblPr>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5"/>
    <w:uiPriority w:val="99"/>
    <w:tblPr>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5"/>
    <w:uiPriority w:val="99"/>
    <w:tblPr>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5"/>
    <w:uiPriority w:val="99"/>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uiPriority w:val="99"/>
    <w:tblPr>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5"/>
    <w:uiPriority w:val="99"/>
    <w:tblPr>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5"/>
    <w:uiPriority w:val="99"/>
    <w:tblPr>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5"/>
    <w:uiPriority w:val="99"/>
    <w:tblPr>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5"/>
    <w:uiPriority w:val="99"/>
    <w:tblPr>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5"/>
    <w:uiPriority w:val="99"/>
    <w:tblPr>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5"/>
    <w:uiPriority w:val="99"/>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5"/>
    <w:uiPriority w:val="99"/>
    <w:tblPr>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5"/>
    <w:uiPriority w:val="99"/>
    <w:tblPr>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5"/>
    <w:uiPriority w:val="99"/>
    <w:tblPr>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5"/>
    <w:uiPriority w:val="99"/>
    <w:tblPr>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5"/>
    <w:uiPriority w:val="99"/>
    <w:tblPr>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5"/>
    <w:uiPriority w:val="99"/>
    <w:tblPr>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5"/>
    <w:uiPriority w:val="99"/>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5"/>
    <w:uiPriority w:val="99"/>
    <w:tblPr>
      <w:tblBorders>
        <w:top w:val="single" w:sz="32" w:space="0" w:color="4F81BD"/>
        <w:left w:val="single" w:sz="32" w:space="0" w:color="4F81BD"/>
        <w:bottom w:val="single" w:sz="32" w:space="0" w:color="4F81BD"/>
        <w:right w:val="single" w:sz="32" w:space="0" w:color="4F81BD"/>
      </w:tblBorders>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5"/>
    <w:uiPriority w:val="99"/>
    <w:tblPr>
      <w:tblBorders>
        <w:top w:val="single" w:sz="32" w:space="0" w:color="D99695"/>
        <w:left w:val="single" w:sz="32" w:space="0" w:color="D99695"/>
        <w:bottom w:val="single" w:sz="32" w:space="0" w:color="D99695"/>
        <w:right w:val="single" w:sz="32" w:space="0" w:color="D99695"/>
      </w:tblBorders>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5"/>
    <w:uiPriority w:val="99"/>
    <w:tblPr>
      <w:tblBorders>
        <w:top w:val="single" w:sz="32" w:space="0" w:color="C3D69B"/>
        <w:left w:val="single" w:sz="32" w:space="0" w:color="C3D69B"/>
        <w:bottom w:val="single" w:sz="32" w:space="0" w:color="C3D69B"/>
        <w:right w:val="single" w:sz="32" w:space="0" w:color="C3D69B"/>
      </w:tblBorders>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5"/>
    <w:uiPriority w:val="99"/>
    <w:tblPr>
      <w:tblBorders>
        <w:top w:val="single" w:sz="32" w:space="0" w:color="B2A1C6"/>
        <w:left w:val="single" w:sz="32" w:space="0" w:color="B2A1C6"/>
        <w:bottom w:val="single" w:sz="32" w:space="0" w:color="B2A1C6"/>
        <w:right w:val="single" w:sz="32" w:space="0" w:color="B2A1C6"/>
      </w:tblBorders>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5"/>
    <w:uiPriority w:val="99"/>
    <w:tblPr>
      <w:tblBorders>
        <w:top w:val="single" w:sz="32" w:space="0" w:color="92CCDC"/>
        <w:left w:val="single" w:sz="32" w:space="0" w:color="92CCDC"/>
        <w:bottom w:val="single" w:sz="32" w:space="0" w:color="92CCDC"/>
        <w:right w:val="single" w:sz="32" w:space="0" w:color="92CCDC"/>
      </w:tblBorders>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5"/>
    <w:uiPriority w:val="99"/>
    <w:tblPr>
      <w:tblBorders>
        <w:top w:val="single" w:sz="32" w:space="0" w:color="FAC090"/>
        <w:left w:val="single" w:sz="32" w:space="0" w:color="FAC090"/>
        <w:bottom w:val="single" w:sz="32" w:space="0" w:color="FAC090"/>
        <w:right w:val="single" w:sz="32" w:space="0" w:color="FAC090"/>
      </w:tblBorders>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5"/>
    <w:uiPriority w:val="99"/>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5"/>
    <w:uiPriority w:val="99"/>
    <w:qFormat/>
    <w:tblPr>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5"/>
    <w:uiPriority w:val="99"/>
    <w:tblPr>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5"/>
    <w:uiPriority w:val="99"/>
    <w:tblPr>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5"/>
    <w:uiPriority w:val="99"/>
    <w:tblPr>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5"/>
    <w:uiPriority w:val="99"/>
    <w:tblPr>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5"/>
    <w:uiPriority w:val="99"/>
    <w:tblPr>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5"/>
    <w:uiPriority w:val="99"/>
    <w:tblPr>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5"/>
    <w:uiPriority w:val="99"/>
    <w:tblPr>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5"/>
    <w:uiPriority w:val="99"/>
    <w:tblPr>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5"/>
    <w:uiPriority w:val="99"/>
    <w:tblPr>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5"/>
    <w:uiPriority w:val="99"/>
    <w:tblPr>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5"/>
    <w:uiPriority w:val="99"/>
    <w:tblPr>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5"/>
    <w:uiPriority w:val="99"/>
    <w:tblPr>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5"/>
    <w:uiPriority w:val="99"/>
    <w:rPr>
      <w:color w:val="404040"/>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5"/>
    <w:uiPriority w:val="99"/>
    <w:rPr>
      <w:color w:val="404040"/>
    </w:rP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5"/>
    <w:uiPriority w:val="99"/>
    <w:rPr>
      <w:color w:val="404040"/>
    </w:rP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5"/>
    <w:uiPriority w:val="99"/>
    <w:rPr>
      <w:color w:val="404040"/>
    </w:rP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5"/>
    <w:uiPriority w:val="99"/>
    <w:rPr>
      <w:color w:val="404040"/>
    </w:rP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5"/>
    <w:uiPriority w:val="99"/>
    <w:rPr>
      <w:color w:val="404040"/>
    </w:rP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5"/>
    <w:uiPriority w:val="99"/>
    <w:rPr>
      <w:color w:val="404040"/>
    </w:rP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5"/>
    <w:uiPriority w:val="99"/>
    <w:rPr>
      <w:color w:val="404040"/>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5"/>
    <w:uiPriority w:val="99"/>
    <w:rPr>
      <w:color w:val="404040"/>
    </w:rPr>
    <w:tblPr>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5"/>
    <w:uiPriority w:val="99"/>
    <w:rPr>
      <w:color w:val="404040"/>
    </w:rPr>
    <w:tblPr>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5"/>
    <w:uiPriority w:val="99"/>
    <w:rPr>
      <w:color w:val="404040"/>
    </w:rPr>
    <w:tblPr>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5"/>
    <w:uiPriority w:val="99"/>
    <w:rPr>
      <w:color w:val="404040"/>
    </w:rPr>
    <w:tblPr>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5"/>
    <w:uiPriority w:val="99"/>
    <w:rPr>
      <w:color w:val="404040"/>
    </w:rPr>
    <w:tblPr>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5"/>
    <w:uiPriority w:val="99"/>
    <w:rPr>
      <w:color w:val="404040"/>
    </w:rPr>
    <w:tblPr>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5"/>
    <w:uiPriority w:val="99"/>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uiPriority w:val="99"/>
    <w:tblPr>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5"/>
    <w:uiPriority w:val="99"/>
    <w:tblPr>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5"/>
    <w:uiPriority w:val="99"/>
    <w:tblPr>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5"/>
    <w:uiPriority w:val="99"/>
    <w:tblPr>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5"/>
    <w:uiPriority w:val="99"/>
    <w:tblPr>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5"/>
    <w:uiPriority w:val="99"/>
    <w:tblPr>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40">
    <w:name w:val="Заголовок 4 Знак"/>
    <w:link w:val="4"/>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character" w:customStyle="1" w:styleId="aff1">
    <w:name w:val="Заголовок Знак"/>
    <w:link w:val="aff0"/>
    <w:uiPriority w:val="10"/>
    <w:rPr>
      <w:rFonts w:ascii="Arial" w:eastAsia="Arial" w:hAnsi="Arial" w:cs="Arial"/>
      <w:spacing w:val="-10"/>
      <w:sz w:val="56"/>
      <w:szCs w:val="56"/>
    </w:rPr>
  </w:style>
  <w:style w:type="character" w:customStyle="1" w:styleId="aff5">
    <w:name w:val="Подзаголовок Знак"/>
    <w:link w:val="aff4"/>
    <w:uiPriority w:val="11"/>
    <w:rPr>
      <w:color w:val="595959"/>
      <w:spacing w:val="15"/>
      <w:sz w:val="28"/>
      <w:szCs w:val="28"/>
    </w:rPr>
  </w:style>
  <w:style w:type="paragraph" w:styleId="23">
    <w:name w:val="Quote"/>
    <w:basedOn w:val="a3"/>
    <w:next w:val="a3"/>
    <w:link w:val="24"/>
    <w:uiPriority w:val="29"/>
    <w:qFormat/>
    <w:pPr>
      <w:spacing w:before="160"/>
      <w:jc w:val="center"/>
    </w:pPr>
    <w:rPr>
      <w:i/>
      <w:iCs/>
      <w:color w:val="404040"/>
    </w:rPr>
  </w:style>
  <w:style w:type="character" w:customStyle="1" w:styleId="24">
    <w:name w:val="Цитата 2 Знак"/>
    <w:link w:val="23"/>
    <w:uiPriority w:val="29"/>
    <w:rPr>
      <w:i/>
      <w:iCs/>
      <w:color w:val="404040"/>
    </w:rPr>
  </w:style>
  <w:style w:type="paragraph" w:styleId="aff7">
    <w:name w:val="List Paragraph"/>
    <w:basedOn w:val="a3"/>
    <w:link w:val="aff8"/>
    <w:uiPriority w:val="34"/>
    <w:qFormat/>
    <w:pPr>
      <w:ind w:left="720"/>
      <w:contextualSpacing/>
    </w:pPr>
  </w:style>
  <w:style w:type="character" w:customStyle="1" w:styleId="13">
    <w:name w:val="Сильное выделение1"/>
    <w:uiPriority w:val="21"/>
    <w:qFormat/>
    <w:rPr>
      <w:i/>
      <w:iCs/>
      <w:color w:val="365F91"/>
    </w:rPr>
  </w:style>
  <w:style w:type="paragraph" w:styleId="aff9">
    <w:name w:val="Intense Quote"/>
    <w:basedOn w:val="a3"/>
    <w:next w:val="a3"/>
    <w:link w:val="affa"/>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ffa">
    <w:name w:val="Выделенная цитата Знак"/>
    <w:link w:val="aff9"/>
    <w:uiPriority w:val="30"/>
    <w:rPr>
      <w:i/>
      <w:iCs/>
      <w:color w:val="365F91"/>
    </w:rPr>
  </w:style>
  <w:style w:type="character" w:customStyle="1" w:styleId="14">
    <w:name w:val="Сильная ссылка1"/>
    <w:uiPriority w:val="32"/>
    <w:qFormat/>
    <w:rPr>
      <w:b/>
      <w:bCs/>
      <w:smallCaps/>
      <w:color w:val="365F91"/>
      <w:spacing w:val="5"/>
    </w:rPr>
  </w:style>
  <w:style w:type="paragraph" w:styleId="affb">
    <w:name w:val="No Spacing"/>
    <w:basedOn w:val="a3"/>
    <w:uiPriority w:val="1"/>
    <w:qFormat/>
    <w:rPr>
      <w:rFonts w:ascii="Calibri" w:hAnsi="Calibri"/>
      <w:sz w:val="22"/>
      <w:szCs w:val="22"/>
    </w:rPr>
  </w:style>
  <w:style w:type="character" w:customStyle="1" w:styleId="15">
    <w:name w:val="Слабое выделение1"/>
    <w:uiPriority w:val="19"/>
    <w:qFormat/>
    <w:rPr>
      <w:i/>
      <w:iCs/>
      <w:color w:val="404040"/>
    </w:rPr>
  </w:style>
  <w:style w:type="character" w:customStyle="1" w:styleId="16">
    <w:name w:val="Слабая ссылка1"/>
    <w:uiPriority w:val="31"/>
    <w:qFormat/>
    <w:rPr>
      <w:smallCaps/>
      <w:color w:val="5A5A5A"/>
    </w:rPr>
  </w:style>
  <w:style w:type="character" w:customStyle="1" w:styleId="17">
    <w:name w:val="Название книги1"/>
    <w:uiPriority w:val="33"/>
    <w:qFormat/>
    <w:rPr>
      <w:b/>
      <w:bCs/>
      <w:i/>
      <w:iCs/>
      <w:spacing w:val="5"/>
    </w:rPr>
  </w:style>
  <w:style w:type="character" w:customStyle="1" w:styleId="afc">
    <w:name w:val="Верхний колонтитул Знак"/>
    <w:basedOn w:val="a4"/>
    <w:link w:val="afb"/>
    <w:uiPriority w:val="99"/>
  </w:style>
  <w:style w:type="character" w:customStyle="1" w:styleId="aff3">
    <w:name w:val="Нижний колонтитул Знак"/>
    <w:basedOn w:val="a4"/>
    <w:link w:val="aff2"/>
    <w:uiPriority w:val="99"/>
  </w:style>
  <w:style w:type="character" w:customStyle="1" w:styleId="afa">
    <w:name w:val="Текст сноски Знак"/>
    <w:link w:val="af9"/>
    <w:uiPriority w:val="99"/>
    <w:semiHidden/>
    <w:rPr>
      <w:sz w:val="20"/>
      <w:szCs w:val="20"/>
    </w:rPr>
  </w:style>
  <w:style w:type="character" w:customStyle="1" w:styleId="af6">
    <w:name w:val="Текст концевой сноски Знак"/>
    <w:link w:val="af5"/>
    <w:uiPriority w:val="99"/>
    <w:semiHidden/>
    <w:rPr>
      <w:sz w:val="20"/>
      <w:szCs w:val="20"/>
    </w:rPr>
  </w:style>
  <w:style w:type="character" w:styleId="affc">
    <w:name w:val="Placeholder Text"/>
    <w:uiPriority w:val="99"/>
    <w:semiHidden/>
    <w:rPr>
      <w:color w:val="666666"/>
    </w:rPr>
  </w:style>
  <w:style w:type="paragraph" w:customStyle="1" w:styleId="18">
    <w:name w:val="Заголовок оглавления1"/>
    <w:uiPriority w:val="39"/>
    <w:unhideWhenUsed/>
    <w:rPr>
      <w:lang w:eastAsia="zh-CN"/>
    </w:rPr>
  </w:style>
  <w:style w:type="paragraph" w:customStyle="1" w:styleId="affd">
    <w:name w:val="Знак"/>
    <w:basedOn w:val="a3"/>
    <w:pPr>
      <w:spacing w:before="100" w:beforeAutospacing="1" w:after="100" w:afterAutospacing="1"/>
      <w:jc w:val="left"/>
    </w:pPr>
    <w:rPr>
      <w:rFonts w:ascii="Tahoma" w:hAnsi="Tahoma"/>
      <w:sz w:val="20"/>
      <w:lang w:val="en-US" w:eastAsia="en-US"/>
    </w:rPr>
  </w:style>
  <w:style w:type="paragraph" w:customStyle="1" w:styleId="affe">
    <w:name w:val="Таблицы (моноширинный)"/>
    <w:basedOn w:val="a3"/>
    <w:next w:val="a3"/>
    <w:link w:val="afff"/>
    <w:uiPriority w:val="99"/>
    <w:pPr>
      <w:widowControl w:val="0"/>
    </w:pPr>
    <w:rPr>
      <w:rFonts w:ascii="Courier New" w:hAnsi="Courier New"/>
      <w:sz w:val="22"/>
      <w:szCs w:val="22"/>
      <w:lang w:val="en-US" w:eastAsia="en-US"/>
    </w:rPr>
  </w:style>
  <w:style w:type="paragraph" w:customStyle="1" w:styleId="111">
    <w:name w:val="Знак11"/>
    <w:basedOn w:val="a3"/>
    <w:pPr>
      <w:spacing w:before="100" w:beforeAutospacing="1" w:after="100" w:afterAutospacing="1"/>
      <w:jc w:val="left"/>
    </w:pPr>
    <w:rPr>
      <w:rFonts w:ascii="Tahoma" w:hAnsi="Tahoma" w:cs="Tahoma"/>
      <w:sz w:val="20"/>
      <w:lang w:val="en-US" w:eastAsia="en-US"/>
    </w:rPr>
  </w:style>
  <w:style w:type="paragraph" w:customStyle="1" w:styleId="19">
    <w:name w:val="Знак1"/>
    <w:basedOn w:val="a3"/>
    <w:pPr>
      <w:spacing w:before="100" w:beforeAutospacing="1" w:after="100" w:afterAutospacing="1"/>
      <w:jc w:val="left"/>
    </w:pPr>
    <w:rPr>
      <w:rFonts w:ascii="Tahoma" w:hAnsi="Tahoma"/>
      <w:sz w:val="20"/>
      <w:lang w:val="en-US" w:eastAsia="en-US"/>
    </w:rPr>
  </w:style>
  <w:style w:type="paragraph" w:customStyle="1" w:styleId="afff0">
    <w:name w:val="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Cell">
    <w:name w:val="ConsCell"/>
    <w:link w:val="ConsCell0"/>
    <w:pPr>
      <w:widowControl w:val="0"/>
    </w:pPr>
    <w:rPr>
      <w:rFonts w:ascii="Arial" w:hAnsi="Arial" w:cs="Arial"/>
    </w:rPr>
  </w:style>
  <w:style w:type="paragraph" w:customStyle="1" w:styleId="25">
    <w:name w:val="Знак2"/>
    <w:basedOn w:val="a3"/>
    <w:pPr>
      <w:spacing w:before="100" w:beforeAutospacing="1" w:after="100" w:afterAutospacing="1"/>
      <w:jc w:val="left"/>
    </w:pPr>
    <w:rPr>
      <w:rFonts w:ascii="Tahoma" w:hAnsi="Tahoma"/>
      <w:sz w:val="20"/>
      <w:lang w:val="en-US" w:eastAsia="en-US"/>
    </w:rPr>
  </w:style>
  <w:style w:type="paragraph" w:customStyle="1" w:styleId="211">
    <w:name w:val="Основной текст с отступом 21"/>
    <w:basedOn w:val="a3"/>
    <w:pPr>
      <w:ind w:left="708"/>
    </w:pPr>
    <w:rPr>
      <w:b/>
      <w:bCs/>
      <w:sz w:val="24"/>
      <w:szCs w:val="24"/>
      <w:lang w:eastAsia="ar-SA"/>
    </w:rPr>
  </w:style>
  <w:style w:type="paragraph" w:customStyle="1" w:styleId="112">
    <w:name w:val="Знак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ConsPlusNormal">
    <w:name w:val="ConsPlusNormal"/>
    <w:link w:val="ConsPlusNormal0"/>
    <w:pPr>
      <w:widowControl w:val="0"/>
      <w:ind w:firstLine="720"/>
    </w:pPr>
    <w:rPr>
      <w:rFonts w:ascii="Arial" w:hAnsi="Arial" w:cs="Arial"/>
    </w:rPr>
  </w:style>
  <w:style w:type="paragraph" w:customStyle="1" w:styleId="afff1">
    <w:name w:val="Знак Знак Знак 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2-11">
    <w:name w:val="содержание2-11"/>
    <w:basedOn w:val="a3"/>
    <w:pPr>
      <w:spacing w:after="60"/>
    </w:pPr>
    <w:rPr>
      <w:sz w:val="24"/>
      <w:szCs w:val="24"/>
    </w:rPr>
  </w:style>
  <w:style w:type="paragraph" w:customStyle="1" w:styleId="afff2">
    <w:name w:val="Знак Знак Знак Знак Знак Знак Знак Знак Знак Знак"/>
    <w:basedOn w:val="a3"/>
    <w:pPr>
      <w:spacing w:before="100" w:beforeAutospacing="1" w:after="100" w:afterAutospacing="1"/>
      <w:jc w:val="left"/>
    </w:pPr>
    <w:rPr>
      <w:rFonts w:ascii="Tahoma" w:hAnsi="Tahoma" w:cs="Tahoma"/>
      <w:sz w:val="20"/>
      <w:lang w:val="en-US" w:eastAsia="en-US"/>
    </w:rPr>
  </w:style>
  <w:style w:type="paragraph" w:customStyle="1" w:styleId="ConsPlusCell">
    <w:name w:val="ConsPlusCell"/>
    <w:pPr>
      <w:widowControl w:val="0"/>
    </w:pPr>
    <w:rPr>
      <w:rFonts w:ascii="Arial" w:hAnsi="Arial" w:cs="Arial"/>
    </w:rPr>
  </w:style>
  <w:style w:type="paragraph" w:customStyle="1" w:styleId="ConsPlusNonformat">
    <w:name w:val="ConsPlusNonformat"/>
    <w:link w:val="ConsPlusNonformat0"/>
    <w:pPr>
      <w:widowControl w:val="0"/>
    </w:pPr>
    <w:rPr>
      <w:rFonts w:ascii="Courier New" w:hAnsi="Courier New" w:cs="Courier New"/>
    </w:rPr>
  </w:style>
  <w:style w:type="character" w:customStyle="1" w:styleId="ConsPlusNonformat0">
    <w:name w:val="ConsPlusNonformat Знак"/>
    <w:link w:val="ConsPlusNonformat"/>
    <w:uiPriority w:val="99"/>
    <w:rPr>
      <w:rFonts w:ascii="Courier New" w:hAnsi="Courier New" w:cs="Courier New"/>
      <w:lang w:val="ru-RU" w:eastAsia="ru-RU" w:bidi="ar-SA"/>
    </w:rPr>
  </w:style>
  <w:style w:type="paragraph" w:customStyle="1" w:styleId="afff3">
    <w:name w:val="Знак Знак Знак Знак Знак Знак Знак"/>
    <w:basedOn w:val="a3"/>
    <w:pPr>
      <w:spacing w:before="100" w:beforeAutospacing="1" w:after="100" w:afterAutospacing="1"/>
      <w:jc w:val="left"/>
    </w:pPr>
    <w:rPr>
      <w:rFonts w:ascii="Tahoma" w:hAnsi="Tahoma"/>
      <w:sz w:val="20"/>
      <w:lang w:val="en-US" w:eastAsia="en-US"/>
    </w:rPr>
  </w:style>
  <w:style w:type="paragraph" w:customStyle="1" w:styleId="Standard">
    <w:name w:val="Standard"/>
    <w:pPr>
      <w:spacing w:after="200" w:line="276" w:lineRule="auto"/>
    </w:pPr>
    <w:rPr>
      <w:rFonts w:ascii="Calibri" w:hAnsi="Calibri" w:cs="Calibri"/>
      <w:sz w:val="22"/>
      <w:szCs w:val="22"/>
      <w:lang w:eastAsia="zh-CN"/>
    </w:rPr>
  </w:style>
  <w:style w:type="character" w:customStyle="1" w:styleId="iceouttxt4">
    <w:name w:val="iceouttxt4"/>
    <w:basedOn w:val="a4"/>
  </w:style>
  <w:style w:type="paragraph" w:customStyle="1" w:styleId="afff4">
    <w:name w:val="Обычный таблица"/>
    <w:basedOn w:val="a3"/>
    <w:link w:val="afff5"/>
    <w:pPr>
      <w:jc w:val="left"/>
    </w:pPr>
    <w:rPr>
      <w:sz w:val="18"/>
      <w:szCs w:val="18"/>
      <w:lang w:val="en-US" w:eastAsia="en-US"/>
    </w:rPr>
  </w:style>
  <w:style w:type="character" w:customStyle="1" w:styleId="afff5">
    <w:name w:val="Обычный таблица Знак"/>
    <w:link w:val="afff4"/>
    <w:rPr>
      <w:sz w:val="18"/>
      <w:szCs w:val="18"/>
    </w:rPr>
  </w:style>
  <w:style w:type="character" w:customStyle="1" w:styleId="20">
    <w:name w:val="Заголовок 2 Знак"/>
    <w:link w:val="2"/>
    <w:rPr>
      <w:rFonts w:ascii="Cambria" w:hAnsi="Cambria"/>
      <w:b/>
      <w:bCs/>
      <w:i/>
      <w:iCs/>
      <w:sz w:val="28"/>
      <w:szCs w:val="28"/>
    </w:rPr>
  </w:style>
  <w:style w:type="character" w:customStyle="1" w:styleId="30">
    <w:name w:val="Заголовок 3 Знак"/>
    <w:link w:val="3"/>
    <w:uiPriority w:val="9"/>
    <w:rPr>
      <w:rFonts w:ascii="Cambria" w:hAnsi="Cambria"/>
      <w:b/>
      <w:bCs/>
      <w:sz w:val="26"/>
      <w:szCs w:val="26"/>
    </w:rPr>
  </w:style>
  <w:style w:type="character" w:customStyle="1" w:styleId="afe">
    <w:name w:val="Основной текст Знак"/>
    <w:link w:val="afd"/>
    <w:rPr>
      <w:sz w:val="28"/>
    </w:rPr>
  </w:style>
  <w:style w:type="character" w:customStyle="1" w:styleId="blk">
    <w:name w:val="blk"/>
    <w:basedOn w:val="a4"/>
  </w:style>
  <w:style w:type="character" w:customStyle="1" w:styleId="r">
    <w:name w:val="r"/>
    <w:basedOn w:val="a4"/>
  </w:style>
  <w:style w:type="character" w:customStyle="1" w:styleId="10">
    <w:name w:val="Заголовок 1 Знак"/>
    <w:link w:val="1"/>
    <w:rPr>
      <w:rFonts w:ascii="Cambria" w:eastAsia="Times New Roman" w:hAnsi="Cambria" w:cs="Times New Roman"/>
      <w:b/>
      <w:bCs/>
      <w:sz w:val="32"/>
      <w:szCs w:val="32"/>
    </w:rPr>
  </w:style>
  <w:style w:type="paragraph" w:customStyle="1" w:styleId="a0">
    <w:name w:val="Пункт"/>
    <w:basedOn w:val="a3"/>
    <w:pPr>
      <w:numPr>
        <w:ilvl w:val="1"/>
        <w:numId w:val="1"/>
      </w:numPr>
      <w:spacing w:before="100" w:after="120"/>
    </w:pPr>
    <w:rPr>
      <w:sz w:val="24"/>
      <w:lang w:eastAsia="en-US"/>
    </w:rPr>
  </w:style>
  <w:style w:type="paragraph" w:customStyle="1" w:styleId="a1">
    <w:name w:val="Подпункт"/>
    <w:basedOn w:val="a3"/>
    <w:pPr>
      <w:numPr>
        <w:ilvl w:val="2"/>
        <w:numId w:val="1"/>
      </w:numPr>
      <w:spacing w:before="100" w:after="120"/>
    </w:pPr>
    <w:rPr>
      <w:sz w:val="24"/>
      <w:lang w:eastAsia="en-US"/>
    </w:rPr>
  </w:style>
  <w:style w:type="paragraph" w:customStyle="1" w:styleId="a">
    <w:name w:val="Раздел"/>
    <w:basedOn w:val="a3"/>
    <w:next w:val="a0"/>
    <w:pPr>
      <w:keepNext/>
      <w:keepLines/>
      <w:widowControl w:val="0"/>
      <w:numPr>
        <w:numId w:val="1"/>
      </w:numPr>
      <w:spacing w:before="100" w:after="120"/>
    </w:pPr>
    <w:rPr>
      <w:b/>
      <w:sz w:val="24"/>
      <w:szCs w:val="22"/>
      <w:lang w:eastAsia="en-US"/>
    </w:rPr>
  </w:style>
  <w:style w:type="paragraph" w:customStyle="1" w:styleId="a2">
    <w:name w:val="Буллет"/>
    <w:basedOn w:val="a3"/>
    <w:pPr>
      <w:numPr>
        <w:ilvl w:val="3"/>
        <w:numId w:val="1"/>
      </w:numPr>
      <w:spacing w:before="100" w:after="120"/>
    </w:pPr>
    <w:rPr>
      <w:sz w:val="24"/>
      <w:lang w:eastAsia="en-US"/>
    </w:rPr>
  </w:style>
  <w:style w:type="paragraph" w:customStyle="1" w:styleId="Normal1">
    <w:name w:val="Normal1"/>
    <w:rPr>
      <w:lang w:val="en-AU"/>
    </w:rPr>
  </w:style>
  <w:style w:type="character" w:customStyle="1" w:styleId="ConsPlusNormal0">
    <w:name w:val="ConsPlusNormal Знак"/>
    <w:link w:val="ConsPlusNormal"/>
    <w:rPr>
      <w:rFonts w:ascii="Arial" w:hAnsi="Arial" w:cs="Arial"/>
      <w:lang w:val="ru-RU" w:eastAsia="ru-RU" w:bidi="ar-SA"/>
    </w:rPr>
  </w:style>
  <w:style w:type="paragraph" w:customStyle="1" w:styleId="CharChar1CharChar1CharChar">
    <w:name w:val="Char Char Знак Знак1 Char Char1 Знак Знак Char Char"/>
    <w:basedOn w:val="a3"/>
    <w:uiPriority w:val="99"/>
    <w:pPr>
      <w:spacing w:before="100" w:beforeAutospacing="1" w:after="100" w:afterAutospacing="1"/>
      <w:jc w:val="left"/>
    </w:pPr>
    <w:rPr>
      <w:rFonts w:ascii="Tahoma" w:hAnsi="Tahoma" w:cs="Tahoma"/>
      <w:sz w:val="20"/>
      <w:lang w:val="en-US" w:eastAsia="en-US"/>
    </w:rPr>
  </w:style>
  <w:style w:type="paragraph" w:customStyle="1" w:styleId="ConsNonformat">
    <w:name w:val="ConsNonformat"/>
    <w:uiPriority w:val="99"/>
    <w:pPr>
      <w:widowControl w:val="0"/>
      <w:ind w:right="19772"/>
    </w:pPr>
    <w:rPr>
      <w:rFonts w:ascii="Courier New" w:hAnsi="Courier New" w:cs="Courier New"/>
    </w:rPr>
  </w:style>
  <w:style w:type="character" w:customStyle="1" w:styleId="ConsCell0">
    <w:name w:val="ConsCell Знак"/>
    <w:link w:val="ConsCell"/>
    <w:rPr>
      <w:rFonts w:ascii="Arial" w:hAnsi="Arial" w:cs="Arial"/>
      <w:lang w:val="ru-RU" w:eastAsia="ru-RU" w:bidi="ar-SA"/>
    </w:rPr>
  </w:style>
  <w:style w:type="character" w:customStyle="1" w:styleId="1a">
    <w:name w:val="Основной шрифт абзаца1"/>
  </w:style>
  <w:style w:type="paragraph" w:customStyle="1" w:styleId="-">
    <w:name w:val="Контракт-раздел"/>
    <w:basedOn w:val="a3"/>
    <w:next w:val="-0"/>
    <w:pPr>
      <w:keepNext/>
      <w:numPr>
        <w:numId w:val="2"/>
      </w:numPr>
      <w:tabs>
        <w:tab w:val="left" w:pos="540"/>
      </w:tabs>
      <w:spacing w:before="360" w:after="120"/>
      <w:jc w:val="center"/>
      <w:outlineLvl w:val="3"/>
    </w:pPr>
    <w:rPr>
      <w:b/>
      <w:bCs/>
      <w:caps/>
      <w:smallCaps/>
      <w:sz w:val="24"/>
      <w:szCs w:val="24"/>
    </w:rPr>
  </w:style>
  <w:style w:type="paragraph" w:customStyle="1" w:styleId="-0">
    <w:name w:val="Контракт-пункт"/>
    <w:basedOn w:val="a3"/>
    <w:pPr>
      <w:numPr>
        <w:ilvl w:val="1"/>
        <w:numId w:val="2"/>
      </w:numPr>
    </w:pPr>
    <w:rPr>
      <w:sz w:val="24"/>
      <w:szCs w:val="24"/>
    </w:rPr>
  </w:style>
  <w:style w:type="paragraph" w:customStyle="1" w:styleId="-1">
    <w:name w:val="Контракт-подпункт"/>
    <w:basedOn w:val="a3"/>
    <w:pPr>
      <w:numPr>
        <w:ilvl w:val="2"/>
        <w:numId w:val="2"/>
      </w:numPr>
    </w:pPr>
    <w:rPr>
      <w:sz w:val="24"/>
      <w:szCs w:val="24"/>
    </w:rPr>
  </w:style>
  <w:style w:type="paragraph" w:customStyle="1" w:styleId="-2">
    <w:name w:val="Контракт-подподпункт"/>
    <w:basedOn w:val="a3"/>
    <w:pPr>
      <w:numPr>
        <w:ilvl w:val="3"/>
        <w:numId w:val="2"/>
      </w:numPr>
    </w:pPr>
    <w:rPr>
      <w:sz w:val="24"/>
      <w:szCs w:val="24"/>
    </w:rPr>
  </w:style>
  <w:style w:type="paragraph" w:customStyle="1" w:styleId="afff6">
    <w:name w:val="Знак Знак Знак Знак Знак Знак Знак Знак Знак Знак Знак Знак Знак Знак Знак Знак"/>
    <w:basedOn w:val="a3"/>
    <w:pPr>
      <w:spacing w:before="100" w:beforeAutospacing="1" w:after="100" w:afterAutospacing="1"/>
      <w:jc w:val="left"/>
    </w:pPr>
    <w:rPr>
      <w:rFonts w:ascii="Tahoma" w:hAnsi="Tahoma"/>
      <w:sz w:val="20"/>
      <w:lang w:val="en-US" w:eastAsia="en-US"/>
    </w:rPr>
  </w:style>
  <w:style w:type="character" w:customStyle="1" w:styleId="afff">
    <w:name w:val="Таблицы (моноширинный) Знак"/>
    <w:link w:val="affe"/>
    <w:uiPriority w:val="99"/>
    <w:rPr>
      <w:rFonts w:ascii="Courier New" w:hAnsi="Courier New" w:cs="Courier New"/>
      <w:sz w:val="22"/>
      <w:szCs w:val="22"/>
    </w:rPr>
  </w:style>
  <w:style w:type="character" w:customStyle="1" w:styleId="1b">
    <w:name w:val="Неразрешенное упоминание1"/>
    <w:uiPriority w:val="99"/>
    <w:semiHidden/>
    <w:unhideWhenUsed/>
    <w:rPr>
      <w:color w:val="605E5C"/>
      <w:shd w:val="clear" w:color="auto" w:fill="E1DFDD"/>
    </w:rPr>
  </w:style>
  <w:style w:type="paragraph" w:customStyle="1" w:styleId="xl24">
    <w:name w:val="xl24"/>
    <w:basedOn w:val="a3"/>
    <w:pPr>
      <w:spacing w:before="100" w:after="100"/>
      <w:jc w:val="center"/>
    </w:pPr>
    <w:rPr>
      <w:sz w:val="24"/>
    </w:rPr>
  </w:style>
  <w:style w:type="character" w:customStyle="1" w:styleId="fontstyle01">
    <w:name w:val="fontstyle01"/>
    <w:rPr>
      <w:rFonts w:ascii="Times New Roman" w:hAnsi="Times New Roman" w:cs="Times New Roman"/>
      <w:color w:val="000000"/>
      <w:sz w:val="24"/>
      <w:szCs w:val="24"/>
    </w:rPr>
  </w:style>
  <w:style w:type="character" w:customStyle="1" w:styleId="aff8">
    <w:name w:val="Абзац списка Знак"/>
    <w:link w:val="aff7"/>
    <w:uiPriority w:val="34"/>
    <w:rPr>
      <w:sz w:val="28"/>
    </w:rPr>
  </w:style>
  <w:style w:type="character" w:customStyle="1" w:styleId="WW8Num20z5">
    <w:name w:val="WW8Num20z5"/>
    <w:uiPriority w:val="99"/>
  </w:style>
  <w:style w:type="character" w:styleId="afff7">
    <w:name w:val="Unresolved Mention"/>
    <w:basedOn w:val="a4"/>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tp.torgi82.ru"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nfo@gbuzovetcentr.ru" TargetMode="Externa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3425</Words>
  <Characters>19524</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Company>Администрация Смоленской</Company>
  <LinksUpToDate>false</LinksUpToDate>
  <CharactersWithSpaces>22904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creator>ГУГЗ</dc:creator>
  <cp:lastModifiedBy>Анна</cp:lastModifiedBy>
  <cp:revision>3</cp:revision>
  <dcterms:created xsi:type="dcterms:W3CDTF">2026-09-22T09:32:00Z</dcterms:created>
  <dcterms:modified xsi:type="dcterms:W3CDTF">2026-09-22T09:36:00Z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4AF83B4723304D138DE72D5531C6C4D7_13</vt:lpwstr>
  </property>
</Properties>
</file>