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D17" w:rsidRDefault="000E6F0B">
      <w:pPr>
        <w:spacing w:after="0" w:line="240" w:lineRule="auto"/>
        <w:ind w:left="6237"/>
        <w:jc w:val="right"/>
        <w:rPr>
          <w:rFonts w:ascii="Times New Roman" w:hAnsi="Times New Roman" w:cs="Times New Roman"/>
        </w:rPr>
      </w:pPr>
      <w:bookmarkStart w:id="0" w:name="_GoBack"/>
      <w:bookmarkEnd w:id="0"/>
      <w:r>
        <w:rPr>
          <w:rFonts w:ascii="Times New Roman" w:hAnsi="Times New Roman" w:cs="Times New Roman"/>
        </w:rPr>
        <w:t xml:space="preserve">Приложение № 5 </w:t>
      </w:r>
    </w:p>
    <w:p w:rsidR="00D55D17" w:rsidRDefault="000E6F0B">
      <w:pPr>
        <w:spacing w:after="0" w:line="240" w:lineRule="auto"/>
        <w:ind w:left="6237"/>
        <w:jc w:val="right"/>
        <w:rPr>
          <w:rFonts w:ascii="Times New Roman" w:hAnsi="Times New Roman" w:cs="Times New Roman"/>
        </w:rPr>
      </w:pPr>
      <w:r>
        <w:rPr>
          <w:rFonts w:ascii="Times New Roman" w:hAnsi="Times New Roman" w:cs="Times New Roman"/>
        </w:rPr>
        <w:t>к извещению об осуществлении закупки</w:t>
      </w:r>
    </w:p>
    <w:p w:rsidR="00D55D17" w:rsidRDefault="000E6F0B">
      <w:pPr>
        <w:spacing w:after="0" w:line="288"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w:t>
      </w:r>
    </w:p>
    <w:p w:rsidR="00D55D17" w:rsidRDefault="000E6F0B">
      <w:pPr>
        <w:spacing w:after="0" w:line="288"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sz w:val="20"/>
          <w:szCs w:val="20"/>
          <w:lang w:eastAsia="ru-RU"/>
        </w:rPr>
        <w:t>рассмотрения и оценки заявок на участие в запросе предложений</w:t>
      </w:r>
    </w:p>
    <w:p w:rsidR="00D55D17" w:rsidRDefault="00D55D17">
      <w:pPr>
        <w:spacing w:after="0" w:line="288" w:lineRule="auto"/>
        <w:jc w:val="center"/>
        <w:rPr>
          <w:rFonts w:ascii="Times New Roman" w:eastAsia="Times New Roman" w:hAnsi="Times New Roman" w:cs="Times New Roman"/>
          <w:b/>
          <w:bCs/>
          <w:sz w:val="20"/>
          <w:szCs w:val="20"/>
          <w:lang w:eastAsia="ru-RU"/>
        </w:rPr>
      </w:pPr>
    </w:p>
    <w:p w:rsidR="00D55D17" w:rsidRDefault="000E6F0B">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Критерии и показатели оценки заявок на участие в закупке:</w:t>
      </w:r>
    </w:p>
    <w:p w:rsidR="00D55D17" w:rsidRDefault="00D55D17">
      <w:pPr>
        <w:spacing w:after="0" w:line="288" w:lineRule="auto"/>
        <w:jc w:val="both"/>
        <w:rPr>
          <w:rFonts w:ascii="Times New Roman" w:eastAsia="Times New Roman" w:hAnsi="Times New Roman" w:cs="Times New Roman"/>
          <w:sz w:val="20"/>
          <w:szCs w:val="20"/>
          <w:lang w:eastAsia="ru-RU"/>
        </w:rPr>
      </w:pPr>
    </w:p>
    <w:tbl>
      <w:tblPr>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0"/>
        <w:gridCol w:w="1648"/>
        <w:gridCol w:w="1310"/>
        <w:gridCol w:w="1636"/>
        <w:gridCol w:w="1310"/>
        <w:gridCol w:w="1962"/>
        <w:gridCol w:w="2046"/>
        <w:gridCol w:w="4828"/>
      </w:tblGrid>
      <w:tr w:rsidR="00D55D17">
        <w:tc>
          <w:tcPr>
            <w:tcW w:w="350" w:type="dxa"/>
            <w:vAlign w:val="center"/>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w:t>
            </w:r>
          </w:p>
        </w:tc>
        <w:tc>
          <w:tcPr>
            <w:tcW w:w="1649" w:type="dxa"/>
            <w:vAlign w:val="center"/>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Критерий оценки</w:t>
            </w:r>
          </w:p>
        </w:tc>
        <w:tc>
          <w:tcPr>
            <w:tcW w:w="1311" w:type="dxa"/>
            <w:vAlign w:val="center"/>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Значимость критерия оценки</w:t>
            </w:r>
            <w:r>
              <w:rPr>
                <w:rFonts w:ascii="Times New Roman" w:eastAsia="Times New Roman" w:hAnsi="Times New Roman" w:cs="Times New Roman"/>
                <w:sz w:val="20"/>
                <w:szCs w:val="20"/>
                <w:lang w:eastAsia="ru-RU"/>
              </w:rPr>
              <w:br/>
            </w:r>
            <w:r w:rsidRPr="001B3D43">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З</w:t>
            </w:r>
            <w:r>
              <w:rPr>
                <w:rFonts w:ascii="Times New Roman" w:eastAsia="Times New Roman" w:hAnsi="Times New Roman" w:cs="Times New Roman"/>
                <w:sz w:val="20"/>
                <w:szCs w:val="20"/>
                <w:vertAlign w:val="subscript"/>
                <w:lang w:eastAsia="ru-RU"/>
              </w:rPr>
              <w:t xml:space="preserve"> </w:t>
            </w:r>
            <w:proofErr w:type="gramStart"/>
            <w:r>
              <w:rPr>
                <w:rFonts w:ascii="Times New Roman" w:eastAsia="Times New Roman" w:hAnsi="Times New Roman" w:cs="Times New Roman"/>
                <w:sz w:val="20"/>
                <w:szCs w:val="20"/>
                <w:vertAlign w:val="subscript"/>
                <w:lang w:eastAsia="ru-RU"/>
              </w:rPr>
              <w:t>к</w:t>
            </w:r>
            <w:r>
              <w:rPr>
                <w:rFonts w:ascii="Times New Roman" w:eastAsia="Times New Roman" w:hAnsi="Times New Roman" w:cs="Times New Roman"/>
                <w:sz w:val="20"/>
                <w:szCs w:val="20"/>
                <w:lang w:eastAsia="ru-RU"/>
              </w:rPr>
              <w:t xml:space="preserve"> )</w:t>
            </w:r>
            <w:proofErr w:type="gramEnd"/>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rPr>
              <w:t xml:space="preserve"> %</w:t>
            </w:r>
          </w:p>
        </w:tc>
        <w:tc>
          <w:tcPr>
            <w:tcW w:w="1637" w:type="dxa"/>
            <w:vAlign w:val="center"/>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Показатель оценки</w:t>
            </w:r>
          </w:p>
        </w:tc>
        <w:tc>
          <w:tcPr>
            <w:tcW w:w="1311" w:type="dxa"/>
            <w:vAlign w:val="center"/>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Значимость показателя оценки </w:t>
            </w:r>
            <w:r>
              <w:rPr>
                <w:rFonts w:ascii="Times New Roman" w:eastAsia="Times New Roman" w:hAnsi="Times New Roman" w:cs="Times New Roman"/>
                <w:sz w:val="20"/>
                <w:szCs w:val="20"/>
                <w:lang w:eastAsia="ru-RU"/>
              </w:rPr>
              <w:br/>
              <w:t xml:space="preserve">( З </w:t>
            </w:r>
            <w:proofErr w:type="gramStart"/>
            <w:r>
              <w:rPr>
                <w:rFonts w:ascii="Times New Roman" w:eastAsia="Times New Roman" w:hAnsi="Times New Roman" w:cs="Times New Roman"/>
                <w:sz w:val="20"/>
                <w:szCs w:val="20"/>
                <w:vertAlign w:val="subscript"/>
                <w:lang w:eastAsia="ru-RU"/>
              </w:rPr>
              <w:t xml:space="preserve">п </w:t>
            </w:r>
            <w:r>
              <w:rPr>
                <w:rFonts w:ascii="Times New Roman" w:eastAsia="Times New Roman" w:hAnsi="Times New Roman" w:cs="Times New Roman"/>
                <w:sz w:val="20"/>
                <w:szCs w:val="20"/>
                <w:lang w:eastAsia="ru-RU"/>
              </w:rPr>
              <w:t>)</w:t>
            </w:r>
            <w:proofErr w:type="gramEnd"/>
            <w:r>
              <w:rPr>
                <w:rFonts w:ascii="Times New Roman" w:eastAsia="Times New Roman" w:hAnsi="Times New Roman" w:cs="Times New Roman"/>
                <w:sz w:val="20"/>
                <w:szCs w:val="20"/>
                <w:lang w:eastAsia="ru-RU"/>
              </w:rPr>
              <w:t xml:space="preserve">, </w:t>
            </w:r>
            <w:r w:rsidRPr="001B3D43">
              <w:rPr>
                <w:rFonts w:ascii="Times New Roman" w:eastAsia="Times New Roman" w:hAnsi="Times New Roman" w:cs="Times New Roman"/>
                <w:sz w:val="20"/>
                <w:szCs w:val="20"/>
              </w:rPr>
              <w:t>%</w:t>
            </w:r>
          </w:p>
        </w:tc>
        <w:tc>
          <w:tcPr>
            <w:tcW w:w="1963" w:type="dxa"/>
            <w:vAlign w:val="center"/>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Детализация показателя оценки</w:t>
            </w:r>
          </w:p>
        </w:tc>
        <w:tc>
          <w:tcPr>
            <w:tcW w:w="2048" w:type="dxa"/>
            <w:vAlign w:val="center"/>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Значимость детализирующего показателя оценки, %</w:t>
            </w:r>
          </w:p>
        </w:tc>
        <w:tc>
          <w:tcPr>
            <w:tcW w:w="4832" w:type="dxa"/>
            <w:vAlign w:val="center"/>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Формула оценки или шкала оценки</w:t>
            </w:r>
          </w:p>
        </w:tc>
      </w:tr>
      <w:tr w:rsidR="00D55D17">
        <w:tc>
          <w:tcPr>
            <w:tcW w:w="350" w:type="dxa"/>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1.</w:t>
            </w:r>
          </w:p>
        </w:tc>
        <w:tc>
          <w:tcPr>
            <w:tcW w:w="1649" w:type="dxa"/>
          </w:tcPr>
          <w:p w:rsidR="00D55D17" w:rsidRDefault="000E6F0B">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lang w:eastAsia="ru-RU"/>
              </w:rPr>
              <w:t>Цена контракта</w:t>
            </w:r>
          </w:p>
        </w:tc>
        <w:tc>
          <w:tcPr>
            <w:tcW w:w="1311" w:type="dxa"/>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60</w:t>
            </w:r>
          </w:p>
        </w:tc>
        <w:tc>
          <w:tcPr>
            <w:tcW w:w="1637" w:type="dxa"/>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Цена, предложенная участником</w:t>
            </w:r>
          </w:p>
        </w:tc>
        <w:tc>
          <w:tcPr>
            <w:tcW w:w="1311" w:type="dxa"/>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100</w:t>
            </w:r>
          </w:p>
        </w:tc>
        <w:tc>
          <w:tcPr>
            <w:tcW w:w="1963" w:type="dxa"/>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w:t>
            </w:r>
          </w:p>
        </w:tc>
        <w:tc>
          <w:tcPr>
            <w:tcW w:w="2048" w:type="dxa"/>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w:t>
            </w:r>
          </w:p>
        </w:tc>
        <w:tc>
          <w:tcPr>
            <w:tcW w:w="4832" w:type="dxa"/>
          </w:tcPr>
          <w:p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Количество баллов по критерию оценки "цена договора, сумма цен единиц товара, работы, услуги", присваиваемое заявке,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по одной из следующих формул:</w:t>
            </w:r>
          </w:p>
          <w:p w:rsidR="00D55D17" w:rsidRDefault="00D55D17">
            <w:pPr>
              <w:widowControl w:val="0"/>
              <w:spacing w:after="0" w:line="240" w:lineRule="auto"/>
              <w:jc w:val="both"/>
              <w:rPr>
                <w:rFonts w:ascii="Times New Roman" w:hAnsi="Times New Roman" w:cs="Times New Roman"/>
                <w:color w:val="000000"/>
                <w:sz w:val="20"/>
                <w:szCs w:val="20"/>
              </w:rPr>
            </w:pPr>
          </w:p>
          <w:p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noProof/>
                <w:color w:val="000000"/>
                <w:sz w:val="20"/>
                <w:szCs w:val="20"/>
                <w:lang w:eastAsia="ru-RU"/>
              </w:rPr>
              <mc:AlternateContent>
                <mc:Choice Requires="wpg">
                  <w:drawing>
                    <wp:inline distT="0" distB="0" distL="0" distR="0">
                      <wp:extent cx="2114550" cy="5619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494222984" name="image1.png"/>
                              <pic:cNvPicPr/>
                            </pic:nvPicPr>
                            <pic:blipFill rotWithShape="1">
                              <a:blip r:embed="rId7"/>
                              <a:stretch/>
                            </pic:blipFill>
                            <pic:spPr bwMode="auto">
                              <a:xfrm>
                                <a:off x="0" y="0"/>
                                <a:ext cx="2114550" cy="561974"/>
                              </a:xfrm>
                              <a:prstGeom prst="rect">
                                <a:avLst/>
                              </a:prstGeom>
                            </pic:spPr>
                          </pic:pic>
                        </a:graphicData>
                      </a:graphic>
                    </wp:inline>
                  </w:drawing>
                </mc:Choice>
                <mc:Fallback xmlns:w16sdtdh="http://schemas.microsoft.com/office/word/2020/wordml/sdtdatahash" xmlns:w16="http://schemas.microsoft.com/office/word/2018/wordml" xmlns:w16cex="http://schemas.microsoft.com/office/word/2018/wordml/cex"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6.50pt;height:44.25pt;mso-wrap-distance-left:0.00pt;mso-wrap-distance-top:0.00pt;mso-wrap-distance-right:0.00pt;mso-wrap-distance-bottom:0.00pt;z-index:1;" stroked="false">
                      <v:imagedata r:id="rId15" o:title=""/>
                      <o:lock v:ext="edit" rotation="t"/>
                    </v:shape>
                  </w:pict>
                </mc:Fallback>
              </mc:AlternateContent>
            </w:r>
          </w:p>
          <w:p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где:</w:t>
            </w:r>
          </w:p>
          <w:p w:rsidR="00D55D17" w:rsidRDefault="000E6F0B">
            <w:pPr>
              <w:widowControl w:val="0"/>
              <w:spacing w:after="0" w:line="240" w:lineRule="auto"/>
              <w:jc w:val="both"/>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Цi</w:t>
            </w:r>
            <w:proofErr w:type="spellEnd"/>
            <w:r>
              <w:rPr>
                <w:rFonts w:ascii="Times New Roman" w:eastAsia="Times New Roman" w:hAnsi="Times New Roman" w:cs="Times New Roman"/>
                <w:color w:val="000000"/>
                <w:sz w:val="20"/>
                <w:szCs w:val="20"/>
              </w:rPr>
              <w:t xml:space="preserve"> - предложение участника закупки о цене договора, или о сумме цен всех договоров</w:t>
            </w:r>
            <w:r>
              <w:rPr>
                <w:rFonts w:ascii="Times New Roman" w:eastAsia="Times New Roman" w:hAnsi="Times New Roman" w:cs="Times New Roman"/>
                <w:color w:val="000000"/>
                <w:sz w:val="20"/>
                <w:szCs w:val="20"/>
              </w:rPr>
              <w:t xml:space="preserve">, заключаемых по результатам проведения совместного конкурса (в случае проведения совместного конкурса), или о сумме цен единиц товара, работы, услуги </w:t>
            </w:r>
          </w:p>
          <w:p w:rsidR="00D55D17" w:rsidRDefault="000E6F0B">
            <w:pPr>
              <w:widowControl w:val="0"/>
              <w:spacing w:after="0" w:line="240" w:lineRule="auto"/>
              <w:jc w:val="both"/>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Цл</w:t>
            </w:r>
            <w:proofErr w:type="spellEnd"/>
            <w:r>
              <w:rPr>
                <w:rFonts w:ascii="Times New Roman" w:eastAsia="Times New Roman" w:hAnsi="Times New Roman" w:cs="Times New Roman"/>
                <w:color w:val="000000"/>
                <w:sz w:val="20"/>
                <w:szCs w:val="20"/>
              </w:rPr>
              <w:t xml:space="preserve"> - наилучшее ценовое предложение из числа предложенных </w:t>
            </w:r>
          </w:p>
          <w:p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б) в случае если по результатам применения фор</w:t>
            </w:r>
            <w:r>
              <w:rPr>
                <w:rFonts w:ascii="Times New Roman" w:eastAsia="Times New Roman" w:hAnsi="Times New Roman" w:cs="Times New Roman"/>
                <w:color w:val="000000"/>
                <w:sz w:val="20"/>
                <w:szCs w:val="20"/>
              </w:rPr>
              <w:t xml:space="preserve">мулы, при оценке хотя бы одной заявки получено значение, являющееся отрицательным числом, значение количества баллов по критерию оценки "цена договора, сумма цен единиц товара, работы, услуги" всем заявкам, подлежащим в соответствии с Федеральным </w:t>
            </w:r>
            <w:hyperlink r:id="rId16" w:tooltip="about:blank" w:history="1">
              <w:r>
                <w:rPr>
                  <w:rFonts w:ascii="Times New Roman" w:eastAsia="Times New Roman" w:hAnsi="Times New Roman" w:cs="Times New Roman"/>
                  <w:color w:val="000000"/>
                  <w:sz w:val="20"/>
                  <w:szCs w:val="20"/>
                </w:rPr>
                <w:t>законом</w:t>
              </w:r>
            </w:hyperlink>
            <w:r>
              <w:rPr>
                <w:rFonts w:ascii="Times New Roman" w:eastAsia="Times New Roman" w:hAnsi="Times New Roman" w:cs="Times New Roman"/>
                <w:color w:val="000000"/>
                <w:sz w:val="20"/>
                <w:szCs w:val="20"/>
              </w:rPr>
              <w:t xml:space="preserve"> оценке по указанному критерию оценки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по формуле:</w:t>
            </w:r>
          </w:p>
          <w:p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noProof/>
                <w:color w:val="000000"/>
                <w:sz w:val="20"/>
                <w:szCs w:val="20"/>
                <w:lang w:eastAsia="ru-RU"/>
              </w:rPr>
              <w:lastRenderedPageBreak/>
              <mc:AlternateContent>
                <mc:Choice Requires="wpg">
                  <w:drawing>
                    <wp:inline distT="0" distB="0" distL="0" distR="0">
                      <wp:extent cx="2200275" cy="55245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382885402" name="image3.png"/>
                              <pic:cNvPicPr/>
                            </pic:nvPicPr>
                            <pic:blipFill rotWithShape="1">
                              <a:blip r:embed="rId17"/>
                              <a:stretch/>
                            </pic:blipFill>
                            <pic:spPr bwMode="auto">
                              <a:xfrm>
                                <a:off x="0" y="0"/>
                                <a:ext cx="2200275" cy="552449"/>
                              </a:xfrm>
                              <a:prstGeom prst="rect">
                                <a:avLst/>
                              </a:prstGeom>
                            </pic:spPr>
                          </pic:pic>
                        </a:graphicData>
                      </a:graphic>
                    </wp:inline>
                  </w:drawing>
                </mc:Choice>
                <mc:Fallback xmlns:w16sdtdh="http://schemas.microsoft.com/office/word/2020/wordml/sdtdatahash" xmlns:w16="http://schemas.microsoft.com/office/word/2018/wordml" xmlns:w16cex="http://schemas.microsoft.com/office/word/2018/wordml/cex"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73.25pt;height:43.50pt;mso-wrap-distance-left:0.00pt;mso-wrap-distance-top:0.00pt;mso-wrap-distance-right:0.00pt;mso-wrap-distance-bottom:0.00pt;z-index:1;" stroked="false">
                      <v:imagedata r:id="rId18" o:title=""/>
                      <o:lock v:ext="edit" rotation="t"/>
                    </v:shape>
                  </w:pict>
                </mc:Fallback>
              </mc:AlternateContent>
            </w:r>
          </w:p>
          <w:p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где </w:t>
            </w:r>
            <w:proofErr w:type="spellStart"/>
            <w:r>
              <w:rPr>
                <w:rFonts w:ascii="Times New Roman" w:eastAsia="Times New Roman" w:hAnsi="Times New Roman" w:cs="Times New Roman"/>
                <w:color w:val="000000"/>
                <w:sz w:val="20"/>
                <w:szCs w:val="20"/>
              </w:rPr>
              <w:t>Цнач</w:t>
            </w:r>
            <w:proofErr w:type="spellEnd"/>
            <w:r>
              <w:rPr>
                <w:rFonts w:ascii="Times New Roman" w:eastAsia="Times New Roman" w:hAnsi="Times New Roman" w:cs="Times New Roman"/>
                <w:color w:val="000000"/>
                <w:sz w:val="20"/>
                <w:szCs w:val="20"/>
              </w:rPr>
              <w:t xml:space="preserve"> - начальная (максимальная) цена договора, или сумма начальных (максимальных) цен каждого договора, заключаемого по результатам прове</w:t>
            </w:r>
            <w:r>
              <w:rPr>
                <w:rFonts w:ascii="Times New Roman" w:eastAsia="Times New Roman" w:hAnsi="Times New Roman" w:cs="Times New Roman"/>
                <w:color w:val="000000"/>
                <w:sz w:val="20"/>
                <w:szCs w:val="20"/>
              </w:rPr>
              <w:t>дения процедуры закупки, или начальная сумма цен единиц товаров, работ, услуг.</w:t>
            </w:r>
          </w:p>
          <w:p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Если при проведении процедуры подачи предложений о цене контракта либо о сумме цен единиц товара, работы, услуги подано ценовое предложение, предусматривающее снижение таких </w:t>
            </w:r>
            <w:r>
              <w:rPr>
                <w:rFonts w:ascii="Times New Roman" w:eastAsia="Times New Roman" w:hAnsi="Times New Roman" w:cs="Times New Roman"/>
                <w:color w:val="000000"/>
                <w:sz w:val="20"/>
                <w:szCs w:val="20"/>
              </w:rPr>
              <w:t xml:space="preserve">цены </w:t>
            </w:r>
            <w:proofErr w:type="spellStart"/>
            <w:r>
              <w:rPr>
                <w:rFonts w:ascii="Times New Roman" w:eastAsia="Times New Roman" w:hAnsi="Times New Roman" w:cs="Times New Roman"/>
                <w:color w:val="000000"/>
                <w:sz w:val="20"/>
                <w:szCs w:val="20"/>
              </w:rPr>
              <w:t>догговора</w:t>
            </w:r>
            <w:proofErr w:type="spellEnd"/>
            <w:r>
              <w:rPr>
                <w:rFonts w:ascii="Times New Roman" w:eastAsia="Times New Roman" w:hAnsi="Times New Roman" w:cs="Times New Roman"/>
                <w:color w:val="000000"/>
                <w:sz w:val="20"/>
                <w:szCs w:val="20"/>
              </w:rPr>
              <w:t xml:space="preserve"> либо суммы цен ниже нуля, значение количества баллов по критерию оценки "цена договора, сумма цен единиц товара, работы, услуги"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в следующем порядке:</w:t>
            </w:r>
          </w:p>
          <w:p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а) для подлежащей оценке заявки участника закупки, ценовое предложение к</w:t>
            </w:r>
            <w:r>
              <w:rPr>
                <w:rFonts w:ascii="Times New Roman" w:eastAsia="Times New Roman" w:hAnsi="Times New Roman" w:cs="Times New Roman"/>
                <w:color w:val="000000"/>
                <w:sz w:val="20"/>
                <w:szCs w:val="20"/>
              </w:rPr>
              <w:t>оторого не предусматривает снижение цены договора либо суммы цен ниже нуля, по критерию оценки "цена договора, сумма цен единиц товара, работы, услуги" значение количества баллов по указанному критерию оценки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по формуле:</w:t>
            </w:r>
          </w:p>
          <w:p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noProof/>
                <w:color w:val="000000"/>
                <w:sz w:val="20"/>
                <w:szCs w:val="20"/>
                <w:lang w:eastAsia="ru-RU"/>
              </w:rPr>
              <mc:AlternateContent>
                <mc:Choice Requires="wpg">
                  <w:drawing>
                    <wp:inline distT="0" distB="0" distL="0" distR="0">
                      <wp:extent cx="2324100" cy="54292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424191193" name="image2.png"/>
                              <pic:cNvPicPr/>
                            </pic:nvPicPr>
                            <pic:blipFill rotWithShape="1">
                              <a:blip r:embed="rId19"/>
                              <a:stretch/>
                            </pic:blipFill>
                            <pic:spPr bwMode="auto">
                              <a:xfrm>
                                <a:off x="0" y="0"/>
                                <a:ext cx="2324098" cy="542925"/>
                              </a:xfrm>
                              <a:prstGeom prst="rect">
                                <a:avLst/>
                              </a:prstGeom>
                            </pic:spPr>
                          </pic:pic>
                        </a:graphicData>
                      </a:graphic>
                    </wp:inline>
                  </w:drawing>
                </mc:Choice>
                <mc:Fallback xmlns:w16sdtdh="http://schemas.microsoft.com/office/word/2020/wordml/sdtdatahash" xmlns:w16="http://schemas.microsoft.com/office/word/2018/wordml" xmlns:w16cex="http://schemas.microsoft.com/office/word/2018/wordml/cex"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83.00pt;height:42.75pt;mso-wrap-distance-left:0.00pt;mso-wrap-distance-top:0.00pt;mso-wrap-distance-right:0.00pt;mso-wrap-distance-bottom:0.00pt;z-index:1;" stroked="false">
                      <v:imagedata r:id="rId20" o:title=""/>
                      <o:lock v:ext="edit" rotation="t"/>
                    </v:shape>
                  </w:pict>
                </mc:Fallback>
              </mc:AlternateContent>
            </w:r>
          </w:p>
          <w:p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б) для подлежа</w:t>
            </w:r>
            <w:r>
              <w:rPr>
                <w:rFonts w:ascii="Times New Roman" w:eastAsia="Times New Roman" w:hAnsi="Times New Roman" w:cs="Times New Roman"/>
                <w:color w:val="000000"/>
                <w:sz w:val="20"/>
                <w:szCs w:val="20"/>
              </w:rPr>
              <w:t>щей оценке заявки участника закупки, ценовое предложение которого предусматривает снижение цены договора либо суммы цен ниже нуля, по критерию оценки "цена договора, сумма цен единиц товара, работы, услуги" значение количества баллов по указанному критерию</w:t>
            </w:r>
            <w:r>
              <w:rPr>
                <w:rFonts w:ascii="Times New Roman" w:eastAsia="Times New Roman" w:hAnsi="Times New Roman" w:cs="Times New Roman"/>
                <w:color w:val="000000"/>
                <w:sz w:val="20"/>
                <w:szCs w:val="20"/>
              </w:rPr>
              <w:t xml:space="preserve"> оценки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по формуле:</w:t>
            </w:r>
          </w:p>
          <w:p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noProof/>
                <w:color w:val="000000"/>
                <w:sz w:val="20"/>
                <w:szCs w:val="20"/>
                <w:lang w:eastAsia="ru-RU"/>
              </w:rPr>
              <mc:AlternateContent>
                <mc:Choice Requires="wpg">
                  <w:drawing>
                    <wp:inline distT="0" distB="0" distL="0" distR="0">
                      <wp:extent cx="2124075" cy="561975"/>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1836113285" name="image5.png"/>
                              <pic:cNvPicPr/>
                            </pic:nvPicPr>
                            <pic:blipFill rotWithShape="1">
                              <a:blip r:embed="rId21"/>
                              <a:stretch/>
                            </pic:blipFill>
                            <pic:spPr bwMode="auto">
                              <a:xfrm>
                                <a:off x="0" y="0"/>
                                <a:ext cx="2124074" cy="561974"/>
                              </a:xfrm>
                              <a:prstGeom prst="rect">
                                <a:avLst/>
                              </a:prstGeom>
                            </pic:spPr>
                          </pic:pic>
                        </a:graphicData>
                      </a:graphic>
                    </wp:inline>
                  </w:drawing>
                </mc:Choice>
                <mc:Fallback xmlns:w16sdtdh="http://schemas.microsoft.com/office/word/2020/wordml/sdtdatahash" xmlns:w16="http://schemas.microsoft.com/office/word/2018/wordml" xmlns:w16cex="http://schemas.microsoft.com/office/word/2018/wordml/cex"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167.25pt;height:44.25pt;mso-wrap-distance-left:0.00pt;mso-wrap-distance-top:0.00pt;mso-wrap-distance-right:0.00pt;mso-wrap-distance-bottom:0.00pt;z-index:1;" stroked="false">
                      <v:imagedata r:id="rId22" o:title=""/>
                      <o:lock v:ext="edit" rotation="t"/>
                    </v:shape>
                  </w:pict>
                </mc:Fallback>
              </mc:AlternateContent>
            </w:r>
          </w:p>
          <w:p w:rsidR="00D55D17" w:rsidRDefault="000E6F0B">
            <w:pPr>
              <w:spacing w:after="0" w:line="240" w:lineRule="auto"/>
              <w:jc w:val="both"/>
              <w:rPr>
                <w:rFonts w:ascii="Times New Roman" w:hAnsi="Times New Roman" w:cs="Times New Roman"/>
                <w:sz w:val="20"/>
                <w:szCs w:val="20"/>
                <w:vertAlign w:val="subscript"/>
              </w:rPr>
            </w:pPr>
            <w:r>
              <w:rPr>
                <w:rFonts w:ascii="Times New Roman" w:eastAsia="Times New Roman" w:hAnsi="Times New Roman" w:cs="Times New Roman"/>
                <w:color w:val="000000"/>
                <w:sz w:val="20"/>
                <w:szCs w:val="20"/>
                <w:lang w:eastAsia="ru-RU"/>
              </w:rPr>
              <w:t xml:space="preserve">Для оценки участников принимаются в расчёт произведение полученного количества баллов и </w:t>
            </w:r>
            <w:r>
              <w:rPr>
                <w:rFonts w:ascii="Times New Roman" w:eastAsia="Times New Roman" w:hAnsi="Times New Roman" w:cs="Times New Roman"/>
                <w:color w:val="000000"/>
                <w:sz w:val="20"/>
                <w:szCs w:val="20"/>
                <w:lang w:eastAsia="ru-RU"/>
              </w:rPr>
              <w:lastRenderedPageBreak/>
              <w:t>значимости критерия:</w:t>
            </w:r>
            <w:r>
              <w:rPr>
                <w:rFonts w:ascii="Times New Roman" w:eastAsia="Times New Roman" w:hAnsi="Times New Roman" w:cs="Times New Roman"/>
                <w:color w:val="000000"/>
                <w:sz w:val="20"/>
                <w:szCs w:val="20"/>
                <w:lang w:eastAsia="ru-RU"/>
              </w:rPr>
              <w:br/>
              <w:t>С</w:t>
            </w:r>
            <w:r>
              <w:rPr>
                <w:rFonts w:ascii="Times New Roman" w:eastAsia="Times New Roman" w:hAnsi="Times New Roman" w:cs="Times New Roman"/>
                <w:color w:val="000000"/>
                <w:sz w:val="20"/>
                <w:szCs w:val="20"/>
                <w:vertAlign w:val="subscript"/>
                <w:lang w:eastAsia="ru-RU"/>
              </w:rPr>
              <w:t>БЦ</w:t>
            </w:r>
            <w:r>
              <w:rPr>
                <w:rFonts w:ascii="Times New Roman" w:eastAsia="Times New Roman" w:hAnsi="Times New Roman" w:cs="Times New Roman"/>
                <w:color w:val="000000"/>
                <w:sz w:val="20"/>
                <w:szCs w:val="20"/>
                <w:lang w:eastAsia="ru-RU"/>
              </w:rPr>
              <w:t xml:space="preserve"> = З</w:t>
            </w:r>
            <w:r w:rsidRPr="001B3D4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vertAlign w:val="subscript"/>
                <w:lang w:eastAsia="ru-RU"/>
              </w:rPr>
              <w:t>к</w:t>
            </w:r>
            <w:r>
              <w:rPr>
                <w:rFonts w:ascii="Times New Roman" w:eastAsia="Times New Roman" w:hAnsi="Times New Roman" w:cs="Times New Roman"/>
                <w:color w:val="000000"/>
                <w:sz w:val="20"/>
                <w:szCs w:val="20"/>
                <w:lang w:eastAsia="ru-RU"/>
              </w:rPr>
              <w:t xml:space="preserve"> х БЦ</w:t>
            </w:r>
            <w:r w:rsidRPr="001B3D43">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vertAlign w:val="subscript"/>
                <w:lang w:val="en-US"/>
              </w:rPr>
              <w:t>i</w:t>
            </w:r>
            <w:proofErr w:type="spellEnd"/>
          </w:p>
        </w:tc>
      </w:tr>
      <w:tr w:rsidR="00D55D17">
        <w:trPr>
          <w:trHeight w:val="1177"/>
        </w:trPr>
        <w:tc>
          <w:tcPr>
            <w:tcW w:w="350" w:type="dxa"/>
            <w:vMerge w:val="restart"/>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lastRenderedPageBreak/>
              <w:t>2.</w:t>
            </w:r>
          </w:p>
          <w:p w:rsidR="00D55D17" w:rsidRDefault="00D55D17">
            <w:pPr>
              <w:spacing w:after="0" w:line="240" w:lineRule="auto"/>
              <w:jc w:val="center"/>
              <w:rPr>
                <w:rFonts w:ascii="Times New Roman" w:eastAsia="Times New Roman" w:hAnsi="Times New Roman" w:cs="Times New Roman"/>
                <w:sz w:val="20"/>
                <w:szCs w:val="20"/>
              </w:rPr>
            </w:pPr>
          </w:p>
        </w:tc>
        <w:tc>
          <w:tcPr>
            <w:tcW w:w="1649" w:type="dxa"/>
            <w:vMerge w:val="restart"/>
          </w:tcPr>
          <w:p w:rsidR="00D55D17" w:rsidRDefault="000E6F0B">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lang w:eastAsia="ru-RU"/>
              </w:rPr>
              <w:t>Квалификация участников закупки, в том числе наличия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w:t>
            </w:r>
            <w:r>
              <w:rPr>
                <w:rFonts w:ascii="Times New Roman" w:eastAsia="Times New Roman" w:hAnsi="Times New Roman" w:cs="Times New Roman"/>
                <w:sz w:val="20"/>
                <w:szCs w:val="20"/>
                <w:lang w:eastAsia="ru-RU"/>
              </w:rPr>
              <w:t>в и иных работников определенного уровня квалификации (квалификация участников закупки)</w:t>
            </w:r>
          </w:p>
          <w:p w:rsidR="00D55D17" w:rsidRDefault="00D55D17">
            <w:pPr>
              <w:spacing w:after="0" w:line="240" w:lineRule="auto"/>
              <w:rPr>
                <w:rFonts w:ascii="Times New Roman" w:eastAsia="Times New Roman" w:hAnsi="Times New Roman" w:cs="Times New Roman"/>
                <w:sz w:val="20"/>
                <w:szCs w:val="20"/>
              </w:rPr>
            </w:pPr>
          </w:p>
        </w:tc>
        <w:tc>
          <w:tcPr>
            <w:tcW w:w="1311" w:type="dxa"/>
            <w:vMerge w:val="restart"/>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40</w:t>
            </w:r>
          </w:p>
          <w:p w:rsidR="00D55D17" w:rsidRDefault="00D55D17">
            <w:pPr>
              <w:spacing w:after="0" w:line="240" w:lineRule="auto"/>
              <w:jc w:val="center"/>
              <w:rPr>
                <w:rFonts w:ascii="Times New Roman" w:eastAsia="Times New Roman" w:hAnsi="Times New Roman" w:cs="Times New Roman"/>
                <w:sz w:val="20"/>
                <w:szCs w:val="20"/>
              </w:rPr>
            </w:pPr>
          </w:p>
        </w:tc>
        <w:tc>
          <w:tcPr>
            <w:tcW w:w="1637" w:type="dxa"/>
          </w:tcPr>
          <w:p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Наличие у участников закупки опыта поставки товара, выполнения работы, оказания услуги, связанного с предметом контракта</w:t>
            </w:r>
          </w:p>
          <w:p w:rsidR="00D55D17" w:rsidRDefault="00D55D17">
            <w:pPr>
              <w:spacing w:after="0" w:line="240" w:lineRule="auto"/>
              <w:rPr>
                <w:rFonts w:ascii="Times New Roman" w:hAnsi="Times New Roman" w:cs="Times New Roman"/>
                <w:sz w:val="20"/>
                <w:szCs w:val="20"/>
              </w:rPr>
            </w:pPr>
          </w:p>
          <w:p w:rsidR="00D55D17" w:rsidRDefault="00D55D17">
            <w:pPr>
              <w:spacing w:after="0" w:line="240" w:lineRule="auto"/>
              <w:rPr>
                <w:rFonts w:ascii="Times New Roman" w:hAnsi="Times New Roman" w:cs="Times New Roman"/>
                <w:sz w:val="20"/>
                <w:szCs w:val="20"/>
              </w:rPr>
            </w:pPr>
          </w:p>
        </w:tc>
        <w:tc>
          <w:tcPr>
            <w:tcW w:w="1311" w:type="dxa"/>
          </w:tcPr>
          <w:p w:rsidR="00D55D17" w:rsidRDefault="000E6F0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70</w:t>
            </w:r>
          </w:p>
        </w:tc>
        <w:tc>
          <w:tcPr>
            <w:tcW w:w="1963" w:type="dxa"/>
          </w:tcPr>
          <w:p w:rsidR="00D55D17" w:rsidRDefault="000E6F0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Характеристика квалификации участников закупки (общая цена исполненных участником закупки договоров)</w:t>
            </w:r>
          </w:p>
          <w:p w:rsidR="00D55D17" w:rsidRDefault="00D55D17">
            <w:pPr>
              <w:spacing w:after="0" w:line="240" w:lineRule="auto"/>
              <w:jc w:val="center"/>
              <w:rPr>
                <w:rFonts w:ascii="Times New Roman" w:hAnsi="Times New Roman" w:cs="Times New Roman"/>
                <w:sz w:val="20"/>
                <w:szCs w:val="20"/>
              </w:rPr>
            </w:pPr>
          </w:p>
          <w:p w:rsidR="00D55D17" w:rsidRDefault="00D55D17">
            <w:pPr>
              <w:spacing w:after="0" w:line="240" w:lineRule="auto"/>
              <w:jc w:val="center"/>
              <w:rPr>
                <w:rFonts w:ascii="Times New Roman" w:hAnsi="Times New Roman" w:cs="Times New Roman"/>
                <w:sz w:val="20"/>
                <w:szCs w:val="20"/>
              </w:rPr>
            </w:pPr>
          </w:p>
        </w:tc>
        <w:tc>
          <w:tcPr>
            <w:tcW w:w="2048" w:type="dxa"/>
          </w:tcPr>
          <w:p w:rsidR="00D55D17" w:rsidRDefault="000E6F0B">
            <w:pPr>
              <w:pStyle w:val="ConsPlusNormal0"/>
              <w:ind w:firstLine="0"/>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4832" w:type="dxa"/>
          </w:tcPr>
          <w:p w:rsidR="00D55D17" w:rsidRDefault="000E6F0B">
            <w:pPr>
              <w:pStyle w:val="aff7"/>
              <w:spacing w:before="0" w:beforeAutospacing="0" w:after="0" w:afterAutospacing="0"/>
              <w:ind w:firstLine="540"/>
              <w:jc w:val="both"/>
              <w:rPr>
                <w:sz w:val="20"/>
                <w:szCs w:val="20"/>
              </w:rPr>
            </w:pPr>
            <w:r>
              <w:rPr>
                <w:sz w:val="20"/>
                <w:szCs w:val="20"/>
              </w:rPr>
              <w:t>Лучшим является наибольшее значение характеристики квалификации участников закупки № 1 и установлено предельное максимальное значение (</w:t>
            </w:r>
            <w:r>
              <w:rPr>
                <w:rFonts w:eastAsiaTheme="minorHAnsi"/>
                <w:noProof/>
                <w:sz w:val="20"/>
                <w:szCs w:val="20"/>
                <w:lang w:eastAsia="en-US"/>
              </w:rPr>
              <mc:AlternateContent>
                <mc:Choice Requires="wpg">
                  <w:drawing>
                    <wp:inline distT="0" distB="0" distL="0" distR="0">
                      <wp:extent cx="218440" cy="151765"/>
                      <wp:effectExtent l="0" t="0" r="0" b="635"/>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pic:cNvPicPr>
                            </pic:nvPicPr>
                            <pic:blipFill rotWithShape="1">
                              <a:blip r:embed="rId23"/>
                              <a:stretch/>
                            </pic:blipFill>
                            <pic:spPr bwMode="auto">
                              <a:xfrm>
                                <a:off x="0" y="0"/>
                                <a:ext cx="229024" cy="159321"/>
                              </a:xfrm>
                              <a:prstGeom prst="rect">
                                <a:avLst/>
                              </a:prstGeom>
                              <a:noFill/>
                              <a:ln>
                                <a:noFill/>
                              </a:ln>
                            </pic:spPr>
                          </pic:pic>
                        </a:graphicData>
                      </a:graphic>
                    </wp:inline>
                  </w:drawing>
                </mc:Choice>
                <mc:Fallback xmlns:w16sdtdh="http://schemas.microsoft.com/office/word/2020/wordml/sdtdatahash" xmlns:w16="http://schemas.microsoft.com/office/word/2018/wordml" xmlns:w16cex="http://schemas.microsoft.com/office/word/2018/wordml/cex"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7.20pt;height:11.95pt;mso-wrap-distance-left:0.00pt;mso-wrap-distance-top:0.00pt;mso-wrap-distance-right:0.00pt;mso-wrap-distance-bottom:0.00pt;z-index:1;" stroked="f">
                      <v:imagedata r:id="rId24" o:title=""/>
                      <o:lock v:ext="edit" rotation="t"/>
                    </v:shape>
                  </w:pict>
                </mc:Fallback>
              </mc:AlternateContent>
            </w:r>
            <w:r>
              <w:rPr>
                <w:sz w:val="20"/>
                <w:szCs w:val="20"/>
              </w:rPr>
              <w:t xml:space="preserve">) </w:t>
            </w:r>
            <w:r>
              <w:rPr>
                <w:sz w:val="20"/>
                <w:szCs w:val="20"/>
              </w:rPr>
              <w:t>характеристики квалификации участников закупки № 1 - по формуле:</w:t>
            </w:r>
          </w:p>
          <w:p w:rsidR="00D55D17" w:rsidRDefault="000E6F0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inline distT="0" distB="0" distL="0" distR="0">
                      <wp:extent cx="1435735" cy="314325"/>
                      <wp:effectExtent l="0" t="0" r="0" b="0"/>
                      <wp:docPr id="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pic:cNvPicPr>
                            </pic:nvPicPr>
                            <pic:blipFill rotWithShape="1">
                              <a:blip r:embed="rId25"/>
                              <a:stretch/>
                            </pic:blipFill>
                            <pic:spPr bwMode="auto">
                              <a:xfrm>
                                <a:off x="0" y="0"/>
                                <a:ext cx="1446688" cy="316634"/>
                              </a:xfrm>
                              <a:prstGeom prst="rect">
                                <a:avLst/>
                              </a:prstGeom>
                              <a:noFill/>
                              <a:ln>
                                <a:noFill/>
                              </a:ln>
                            </pic:spPr>
                          </pic:pic>
                        </a:graphicData>
                      </a:graphic>
                    </wp:inline>
                  </w:drawing>
                </mc:Choice>
                <mc:Fallback xmlns:w16sdtdh="http://schemas.microsoft.com/office/word/2020/wordml/sdtdatahash" xmlns:w16="http://schemas.microsoft.com/office/word/2018/wordml" xmlns:w16cex="http://schemas.microsoft.com/office/word/2018/wordml/cex"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3.05pt;height:24.75pt;mso-wrap-distance-left:0.00pt;mso-wrap-distance-top:0.00pt;mso-wrap-distance-right:0.00pt;mso-wrap-distance-bottom:0.00pt;z-index:1;" stroked="f">
                      <v:imagedata r:id="rId26" o:title=""/>
                      <o:lock v:ext="edit" rotation="t"/>
                    </v:shape>
                  </w:pict>
                </mc:Fallback>
              </mc:AlternateContent>
            </w:r>
          </w:p>
          <w:p w:rsidR="00D55D17" w:rsidRDefault="000E6F0B">
            <w:pPr>
              <w:spacing w:after="0" w:line="240" w:lineRule="auto"/>
              <w:ind w:firstLine="31"/>
              <w:jc w:val="both"/>
              <w:rPr>
                <w:rFonts w:ascii="Times New Roman" w:hAnsi="Times New Roman" w:cs="Times New Roman"/>
                <w:sz w:val="20"/>
                <w:szCs w:val="20"/>
              </w:rPr>
            </w:pPr>
            <w:r>
              <w:rPr>
                <w:rFonts w:ascii="Times New Roman" w:eastAsia="Times New Roman" w:hAnsi="Times New Roman" w:cs="Times New Roman"/>
                <w:sz w:val="20"/>
                <w:szCs w:val="20"/>
              </w:rPr>
              <w:t>где:</w:t>
            </w:r>
          </w:p>
          <w:p w:rsidR="00D55D17" w:rsidRDefault="000E6F0B">
            <w:pPr>
              <w:spacing w:after="0" w:line="240" w:lineRule="auto"/>
              <w:ind w:firstLine="31"/>
              <w:jc w:val="both"/>
              <w:rPr>
                <w:rFonts w:ascii="Times New Roman" w:hAnsi="Times New Roman" w:cs="Times New Roman"/>
                <w:sz w:val="20"/>
                <w:szCs w:val="20"/>
              </w:rPr>
            </w:pPr>
            <w:proofErr w:type="spellStart"/>
            <w:r>
              <w:rPr>
                <w:rFonts w:ascii="Times New Roman" w:eastAsia="Times New Roman" w:hAnsi="Times New Roman" w:cs="Times New Roman"/>
                <w:sz w:val="20"/>
                <w:szCs w:val="20"/>
              </w:rPr>
              <w:t>Х</w:t>
            </w:r>
            <w:r>
              <w:rPr>
                <w:rFonts w:ascii="Times New Roman" w:eastAsia="Times New Roman" w:hAnsi="Times New Roman" w:cs="Times New Roman"/>
                <w:sz w:val="20"/>
                <w:szCs w:val="20"/>
                <w:vertAlign w:val="subscript"/>
              </w:rPr>
              <w:t>i</w:t>
            </w:r>
            <w:proofErr w:type="spellEnd"/>
            <w:r>
              <w:rPr>
                <w:rFonts w:ascii="Times New Roman" w:eastAsia="Times New Roman" w:hAnsi="Times New Roman" w:cs="Times New Roman"/>
                <w:sz w:val="20"/>
                <w:szCs w:val="20"/>
              </w:rPr>
              <w:t xml:space="preserve"> - значение характеристики квалификации участников закупки № 1, содержащееся в предложении участника закупки, заявка (часть заявки) которого подлежит в соответствии с Федеральным </w:t>
            </w:r>
            <w:hyperlink r:id="rId27" w:tooltip="consultantplus://offline/ref=B3C223EEA16C809702B1F50B25F6DEAC2D9B1BCA94925FD717EB04B7D37F30B694608ABEE2F92AC4FB377697B4W9z4H" w:history="1">
              <w:r>
                <w:rPr>
                  <w:rStyle w:val="afb"/>
                  <w:rFonts w:ascii="Times New Roman" w:eastAsia="Times New Roman" w:hAnsi="Times New Roman" w:cs="Times New Roman"/>
                  <w:sz w:val="20"/>
                  <w:szCs w:val="20"/>
                </w:rPr>
                <w:t>законом</w:t>
              </w:r>
            </w:hyperlink>
            <w:r>
              <w:rPr>
                <w:rFonts w:ascii="Times New Roman" w:eastAsia="Times New Roman" w:hAnsi="Times New Roman" w:cs="Times New Roman"/>
                <w:sz w:val="20"/>
                <w:szCs w:val="20"/>
              </w:rPr>
              <w:t xml:space="preserve"> оценке по критерию оценки "Квалификация участников закупки ";</w:t>
            </w:r>
          </w:p>
          <w:p w:rsidR="00D55D17" w:rsidRDefault="000E6F0B">
            <w:pPr>
              <w:spacing w:after="0" w:line="240" w:lineRule="auto"/>
              <w:ind w:firstLine="31"/>
              <w:jc w:val="both"/>
              <w:rPr>
                <w:rFonts w:ascii="Times New Roman" w:hAnsi="Times New Roman" w:cs="Times New Roman"/>
                <w:sz w:val="20"/>
                <w:szCs w:val="20"/>
              </w:rPr>
            </w:pPr>
            <w:r>
              <w:rPr>
                <w:rFonts w:ascii="Times New Roman" w:eastAsia="Times New Roman" w:hAnsi="Times New Roman" w:cs="Times New Roman"/>
                <w:sz w:val="20"/>
                <w:szCs w:val="20"/>
              </w:rPr>
              <w:t>Х</w:t>
            </w:r>
            <w:r>
              <w:rPr>
                <w:rFonts w:ascii="Times New Roman" w:eastAsia="Times New Roman" w:hAnsi="Times New Roman" w:cs="Times New Roman"/>
                <w:sz w:val="20"/>
                <w:szCs w:val="20"/>
                <w:vertAlign w:val="subscript"/>
                <w:lang w:val="en-US"/>
              </w:rPr>
              <w:t>min</w:t>
            </w:r>
            <w:r>
              <w:rPr>
                <w:rFonts w:ascii="Times New Roman" w:eastAsia="Times New Roman" w:hAnsi="Times New Roman" w:cs="Times New Roman"/>
                <w:sz w:val="20"/>
                <w:szCs w:val="20"/>
              </w:rPr>
              <w:t xml:space="preserve"> - лучшее значение характеристики квалификации участников закупки № 1, содержащееся в заявках (частях заявок), подлежащих в соответствии с Федеральным законом оценке по к</w:t>
            </w:r>
            <w:r>
              <w:rPr>
                <w:rFonts w:ascii="Times New Roman" w:eastAsia="Times New Roman" w:hAnsi="Times New Roman" w:cs="Times New Roman"/>
                <w:sz w:val="20"/>
                <w:szCs w:val="20"/>
              </w:rPr>
              <w:t xml:space="preserve">ритерию оценки "Квалификация участников закупки"; </w:t>
            </w:r>
          </w:p>
          <w:p w:rsidR="00D55D17" w:rsidRDefault="000E6F0B">
            <w:pPr>
              <w:spacing w:after="0" w:line="240" w:lineRule="auto"/>
              <w:ind w:firstLine="31"/>
              <w:jc w:val="both"/>
              <w:rPr>
                <w:rFonts w:ascii="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inline distT="0" distB="0" distL="0" distR="0">
                      <wp:extent cx="218440" cy="151765"/>
                      <wp:effectExtent l="0" t="0" r="0" b="635"/>
                      <wp:docPr id="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pic:cNvPicPr>
                            </pic:nvPicPr>
                            <pic:blipFill rotWithShape="1">
                              <a:blip r:embed="rId24"/>
                              <a:stretch/>
                            </pic:blipFill>
                            <pic:spPr bwMode="auto">
                              <a:xfrm>
                                <a:off x="0" y="0"/>
                                <a:ext cx="229024" cy="159321"/>
                              </a:xfrm>
                              <a:prstGeom prst="rect">
                                <a:avLst/>
                              </a:prstGeom>
                              <a:noFill/>
                              <a:ln>
                                <a:noFill/>
                              </a:ln>
                            </pic:spPr>
                          </pic:pic>
                        </a:graphicData>
                      </a:graphic>
                    </wp:inline>
                  </w:drawing>
                </mc:Choice>
                <mc:Fallback xmlns:w16sdtdh="http://schemas.microsoft.com/office/word/2020/wordml/sdtdatahash" xmlns:w16="http://schemas.microsoft.com/office/word/2018/wordml" xmlns:w16cex="http://schemas.microsoft.com/office/word/2018/wordml/cex"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7.20pt;height:11.95pt;mso-wrap-distance-left:0.00pt;mso-wrap-distance-top:0.00pt;mso-wrap-distance-right:0.00pt;mso-wrap-distance-bottom:0.00pt;z-index:1;" stroked="f">
                      <v:imagedata r:id="rId24" o:title=""/>
                      <o:lock v:ext="edit" rotation="t"/>
                    </v:shape>
                  </w:pict>
                </mc:Fallback>
              </mc:AlternateContent>
            </w:r>
            <w:r>
              <w:rPr>
                <w:rFonts w:ascii="Times New Roman" w:eastAsia="Times New Roman" w:hAnsi="Times New Roman" w:cs="Times New Roman"/>
                <w:sz w:val="20"/>
                <w:szCs w:val="20"/>
              </w:rPr>
              <w:t>- предельное максимальное значение Характеристики квалификации участников закупки № 1, установленное заказчиком – 10 000 000,00 рублей</w:t>
            </w:r>
          </w:p>
          <w:p w:rsidR="00D55D17" w:rsidRDefault="000E6F0B">
            <w:pPr>
              <w:spacing w:after="0" w:line="240" w:lineRule="auto"/>
              <w:ind w:firstLine="31"/>
              <w:jc w:val="both"/>
              <w:rPr>
                <w:rFonts w:ascii="Times New Roman" w:hAnsi="Times New Roman" w:cs="Times New Roman"/>
                <w:sz w:val="20"/>
                <w:szCs w:val="20"/>
              </w:rPr>
            </w:pPr>
            <w:r>
              <w:rPr>
                <w:rFonts w:ascii="Times New Roman" w:eastAsia="Times New Roman" w:hAnsi="Times New Roman" w:cs="Times New Roman"/>
                <w:sz w:val="20"/>
                <w:szCs w:val="20"/>
              </w:rPr>
              <w:t>Если в предложении участника закупки содержится значение Характеристи</w:t>
            </w:r>
            <w:r>
              <w:rPr>
                <w:rFonts w:ascii="Times New Roman" w:eastAsia="Times New Roman" w:hAnsi="Times New Roman" w:cs="Times New Roman"/>
                <w:sz w:val="20"/>
                <w:szCs w:val="20"/>
              </w:rPr>
              <w:t>ки квалификации участников закупки № 1, которое выше предельного максимального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 №</w:t>
            </w:r>
            <w:r>
              <w:rPr>
                <w:rFonts w:ascii="Times New Roman" w:eastAsia="Times New Roman" w:hAnsi="Times New Roman" w:cs="Times New Roman"/>
                <w:sz w:val="20"/>
                <w:szCs w:val="20"/>
              </w:rPr>
              <w:t xml:space="preserve"> 1.</w:t>
            </w:r>
          </w:p>
          <w:p w:rsidR="00D55D17" w:rsidRDefault="000E6F0B">
            <w:pPr>
              <w:pStyle w:val="ConsPlusNormal0"/>
              <w:ind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Оценка заявки (части заявки) по этому </w:t>
            </w:r>
            <w:proofErr w:type="gramStart"/>
            <w:r>
              <w:rPr>
                <w:rFonts w:ascii="Times New Roman" w:eastAsia="Times New Roman" w:hAnsi="Times New Roman" w:cs="Times New Roman"/>
                <w:sz w:val="20"/>
                <w:szCs w:val="20"/>
              </w:rPr>
              <w:t>показателю  определяется</w:t>
            </w:r>
            <w:proofErr w:type="gramEnd"/>
            <w:r>
              <w:rPr>
                <w:rFonts w:ascii="Times New Roman" w:eastAsia="Times New Roman" w:hAnsi="Times New Roman" w:cs="Times New Roman"/>
                <w:sz w:val="20"/>
                <w:szCs w:val="20"/>
              </w:rPr>
              <w:t xml:space="preserve">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w:t>
            </w:r>
            <w:r>
              <w:rPr>
                <w:rFonts w:ascii="Times New Roman" w:eastAsia="Times New Roman" w:hAnsi="Times New Roman" w:cs="Times New Roman"/>
                <w:sz w:val="20"/>
                <w:szCs w:val="20"/>
              </w:rPr>
              <w:t xml:space="preserve">елю, умноженного на значимость соответствующего детализирующего показателя и значимость критерия. </w:t>
            </w:r>
          </w:p>
          <w:p w:rsidR="00D55D17" w:rsidRDefault="00D55D17">
            <w:pPr>
              <w:pStyle w:val="ConsPlusNormal0"/>
              <w:ind w:firstLine="0"/>
              <w:jc w:val="both"/>
              <w:rPr>
                <w:rFonts w:ascii="Times New Roman" w:hAnsi="Times New Roman" w:cs="Times New Roman"/>
                <w:sz w:val="20"/>
                <w:szCs w:val="20"/>
              </w:rPr>
            </w:pPr>
          </w:p>
          <w:p w:rsidR="00D55D17" w:rsidRDefault="000E6F0B">
            <w:pPr>
              <w:pStyle w:val="ConsPlusNormal0"/>
              <w:ind w:firstLine="0"/>
              <w:jc w:val="both"/>
              <w:rPr>
                <w:rFonts w:ascii="Times New Roman" w:eastAsia="Times New Roman" w:hAnsi="Times New Roman" w:cs="Times New Roman"/>
                <w:color w:val="000000"/>
                <w:sz w:val="20"/>
                <w:szCs w:val="20"/>
                <w:vertAlign w:val="subscript"/>
              </w:rPr>
            </w:pPr>
            <w:r>
              <w:rPr>
                <w:rFonts w:ascii="Times New Roman" w:eastAsia="Times New Roman" w:hAnsi="Times New Roman" w:cs="Times New Roman"/>
                <w:color w:val="000000"/>
                <w:sz w:val="20"/>
                <w:szCs w:val="20"/>
                <w:lang w:eastAsia="ru-RU"/>
              </w:rPr>
              <w:t>С</w:t>
            </w:r>
            <w:r>
              <w:rPr>
                <w:rFonts w:ascii="Times New Roman" w:eastAsia="Times New Roman" w:hAnsi="Times New Roman" w:cs="Times New Roman"/>
                <w:color w:val="000000"/>
                <w:sz w:val="20"/>
                <w:szCs w:val="20"/>
                <w:vertAlign w:val="subscript"/>
                <w:lang w:eastAsia="ru-RU"/>
              </w:rPr>
              <w:t>БХ</w:t>
            </w:r>
            <w:r>
              <w:rPr>
                <w:rFonts w:ascii="Times New Roman" w:eastAsia="Times New Roman" w:hAnsi="Times New Roman" w:cs="Times New Roman"/>
                <w:color w:val="000000"/>
                <w:sz w:val="20"/>
                <w:szCs w:val="20"/>
                <w:lang w:eastAsia="ru-RU"/>
              </w:rPr>
              <w:t xml:space="preserve"> = З</w:t>
            </w:r>
            <w:r w:rsidRPr="001B3D4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vertAlign w:val="subscript"/>
                <w:lang w:eastAsia="ru-RU"/>
              </w:rPr>
              <w:t>к</w:t>
            </w:r>
            <w:r>
              <w:rPr>
                <w:rFonts w:ascii="Times New Roman" w:eastAsia="Times New Roman" w:hAnsi="Times New Roman" w:cs="Times New Roman"/>
                <w:color w:val="000000"/>
                <w:sz w:val="20"/>
                <w:szCs w:val="20"/>
                <w:lang w:eastAsia="ru-RU"/>
              </w:rPr>
              <w:t xml:space="preserve"> х </w:t>
            </w:r>
            <w:proofErr w:type="spellStart"/>
            <w:proofErr w:type="gramStart"/>
            <w:r>
              <w:rPr>
                <w:rFonts w:ascii="Times New Roman" w:eastAsia="Times New Roman" w:hAnsi="Times New Roman" w:cs="Times New Roman"/>
                <w:color w:val="000000"/>
                <w:sz w:val="20"/>
                <w:szCs w:val="20"/>
                <w:lang w:eastAsia="ru-RU"/>
              </w:rPr>
              <w:t>З</w:t>
            </w:r>
            <w:r>
              <w:rPr>
                <w:rFonts w:ascii="Times New Roman" w:eastAsia="Times New Roman" w:hAnsi="Times New Roman" w:cs="Times New Roman"/>
                <w:color w:val="000000"/>
                <w:sz w:val="20"/>
                <w:szCs w:val="20"/>
                <w:vertAlign w:val="subscript"/>
                <w:lang w:eastAsia="ru-RU"/>
              </w:rPr>
              <w:t>п</w:t>
            </w:r>
            <w:proofErr w:type="spellEnd"/>
            <w:r>
              <w:rPr>
                <w:rFonts w:ascii="Times New Roman" w:eastAsia="Times New Roman" w:hAnsi="Times New Roman" w:cs="Times New Roman"/>
                <w:color w:val="000000"/>
                <w:sz w:val="20"/>
                <w:szCs w:val="20"/>
                <w:lang w:eastAsia="ru-RU"/>
              </w:rPr>
              <w:t xml:space="preserve">  х</w:t>
            </w:r>
            <w:proofErr w:type="gramEnd"/>
            <w:r>
              <w:rPr>
                <w:rFonts w:ascii="Times New Roman" w:eastAsia="Times New Roman" w:hAnsi="Times New Roman" w:cs="Times New Roman"/>
                <w:color w:val="000000"/>
                <w:sz w:val="20"/>
                <w:szCs w:val="20"/>
                <w:lang w:eastAsia="ru-RU"/>
              </w:rPr>
              <w:t xml:space="preserve"> БХ</w:t>
            </w:r>
            <w:r w:rsidRPr="001B3D43">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vertAlign w:val="subscript"/>
                <w:lang w:val="en-US"/>
              </w:rPr>
              <w:t>i</w:t>
            </w:r>
            <w:proofErr w:type="spellEnd"/>
          </w:p>
          <w:p w:rsidR="00D55D17" w:rsidRDefault="00D55D17">
            <w:pPr>
              <w:pStyle w:val="ConsPlusNormal0"/>
              <w:ind w:firstLine="0"/>
              <w:jc w:val="both"/>
              <w:rPr>
                <w:rFonts w:ascii="Times New Roman" w:eastAsia="Times New Roman" w:hAnsi="Times New Roman" w:cs="Times New Roman"/>
                <w:color w:val="000000"/>
                <w:sz w:val="20"/>
                <w:szCs w:val="20"/>
                <w:vertAlign w:val="subscript"/>
              </w:rPr>
            </w:pPr>
          </w:p>
          <w:p w:rsidR="00D55D17" w:rsidRDefault="000E6F0B">
            <w:pPr>
              <w:pStyle w:val="ConsPlusNormal0"/>
              <w:ind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 этом среднее количество баллов определяется путем суммирования количества баллов, присвоенных каждым членом комиссии</w:t>
            </w:r>
            <w:r>
              <w:rPr>
                <w:rFonts w:ascii="Times New Roman" w:eastAsia="Times New Roman" w:hAnsi="Times New Roman" w:cs="Times New Roman"/>
                <w:sz w:val="20"/>
                <w:szCs w:val="20"/>
              </w:rPr>
              <w:t xml:space="preserve"> по осуществлению закупок, и последующего деления на количество таких членов.</w:t>
            </w:r>
          </w:p>
        </w:tc>
      </w:tr>
      <w:tr w:rsidR="00D55D17">
        <w:trPr>
          <w:trHeight w:val="1177"/>
        </w:trPr>
        <w:tc>
          <w:tcPr>
            <w:tcW w:w="350" w:type="dxa"/>
            <w:vMerge/>
          </w:tcPr>
          <w:p w:rsidR="00D55D17" w:rsidRDefault="00D55D17"/>
        </w:tc>
        <w:tc>
          <w:tcPr>
            <w:tcW w:w="1649" w:type="dxa"/>
            <w:vMerge/>
          </w:tcPr>
          <w:p w:rsidR="00D55D17" w:rsidRDefault="00D55D17"/>
        </w:tc>
        <w:tc>
          <w:tcPr>
            <w:tcW w:w="1311" w:type="dxa"/>
            <w:vMerge/>
          </w:tcPr>
          <w:p w:rsidR="00D55D17" w:rsidRDefault="00D55D17"/>
        </w:tc>
        <w:tc>
          <w:tcPr>
            <w:tcW w:w="1637" w:type="dxa"/>
            <w:vMerge w:val="restart"/>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Наличие у участников финансовых ресурсов, оборудования и других материальных ресурсов на праве собственности или ином законном основании</w:t>
            </w:r>
          </w:p>
          <w:p w:rsidR="00D55D17" w:rsidRDefault="00D55D17">
            <w:pPr>
              <w:spacing w:after="0" w:line="240" w:lineRule="auto"/>
              <w:jc w:val="both"/>
              <w:rPr>
                <w:rFonts w:ascii="Times New Roman" w:eastAsia="Times New Roman" w:hAnsi="Times New Roman" w:cs="Times New Roman"/>
                <w:sz w:val="20"/>
                <w:szCs w:val="20"/>
              </w:rPr>
            </w:pPr>
          </w:p>
        </w:tc>
        <w:tc>
          <w:tcPr>
            <w:tcW w:w="1311" w:type="dxa"/>
            <w:vMerge w:val="restart"/>
          </w:tcPr>
          <w:p w:rsidR="00D55D17" w:rsidRDefault="000E6F0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30</w:t>
            </w:r>
          </w:p>
        </w:tc>
        <w:tc>
          <w:tcPr>
            <w:tcW w:w="1963" w:type="dxa"/>
            <w:vMerge w:val="restart"/>
          </w:tcPr>
          <w:p w:rsidR="00D55D17" w:rsidRDefault="000E6F0B">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 xml:space="preserve">Характеристика квалификации участников закупки (нахождение в собственности либо в пользовании участника закупки: систем/оборудования, обеспечивающим соблюдение условий хранения/перевозки </w:t>
            </w:r>
            <w:r>
              <w:rPr>
                <w:rFonts w:ascii="Times New Roman" w:eastAsia="Times New Roman" w:hAnsi="Times New Roman" w:cs="Times New Roman"/>
                <w:color w:val="333333"/>
                <w:sz w:val="20"/>
                <w:szCs w:val="20"/>
                <w:shd w:val="clear" w:color="auto" w:fill="FFFFFF"/>
              </w:rPr>
              <w:t>(кондиционирование, холодильные установки, системы контроля доступа и</w:t>
            </w:r>
            <w:r>
              <w:rPr>
                <w:rFonts w:ascii="Times New Roman" w:eastAsia="Times New Roman" w:hAnsi="Times New Roman" w:cs="Times New Roman"/>
                <w:color w:val="333333"/>
                <w:sz w:val="20"/>
                <w:szCs w:val="20"/>
                <w:shd w:val="clear" w:color="auto" w:fill="FFFFFF"/>
              </w:rPr>
              <w:t xml:space="preserve"> т.д.) вакцины.</w:t>
            </w:r>
          </w:p>
          <w:p w:rsidR="00D55D17" w:rsidRDefault="00D55D17">
            <w:pPr>
              <w:spacing w:after="0" w:line="240" w:lineRule="auto"/>
              <w:jc w:val="center"/>
              <w:rPr>
                <w:rFonts w:ascii="Times New Roman" w:eastAsia="Times New Roman" w:hAnsi="Times New Roman" w:cs="Times New Roman"/>
                <w:sz w:val="20"/>
                <w:szCs w:val="20"/>
              </w:rPr>
            </w:pPr>
          </w:p>
        </w:tc>
        <w:tc>
          <w:tcPr>
            <w:tcW w:w="2048" w:type="dxa"/>
            <w:vMerge w:val="restart"/>
          </w:tcPr>
          <w:p w:rsidR="00D55D17" w:rsidRDefault="000E6F0B">
            <w:pPr>
              <w:pStyle w:val="ConsPlusNormal0"/>
              <w:ind w:firstLine="0"/>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4832" w:type="dxa"/>
            <w:vMerge w:val="restart"/>
          </w:tcPr>
          <w:p w:rsidR="00D55D17" w:rsidRDefault="000E6F0B">
            <w:pPr>
              <w:pStyle w:val="aff7"/>
              <w:spacing w:before="0" w:beforeAutospacing="0" w:after="0" w:afterAutospacing="0"/>
              <w:jc w:val="both"/>
              <w:rPr>
                <w:sz w:val="20"/>
                <w:szCs w:val="20"/>
              </w:rPr>
            </w:pPr>
            <w:r>
              <w:rPr>
                <w:sz w:val="20"/>
                <w:szCs w:val="20"/>
              </w:rPr>
              <w:t xml:space="preserve">Оценка заявки (части заявки) по этому </w:t>
            </w:r>
            <w:proofErr w:type="gramStart"/>
            <w:r>
              <w:rPr>
                <w:sz w:val="20"/>
                <w:szCs w:val="20"/>
              </w:rPr>
              <w:t>показателю  определяется</w:t>
            </w:r>
            <w:proofErr w:type="gramEnd"/>
            <w:r>
              <w:rPr>
                <w:sz w:val="20"/>
                <w:szCs w:val="20"/>
              </w:rPr>
              <w:t xml:space="preserve"> при наличии оборудования как БР</w:t>
            </w:r>
            <w:proofErr w:type="spellStart"/>
            <w:r>
              <w:rPr>
                <w:sz w:val="20"/>
                <w:szCs w:val="20"/>
                <w:vertAlign w:val="subscript"/>
                <w:lang w:val="en-US"/>
              </w:rPr>
              <w:t>i</w:t>
            </w:r>
            <w:proofErr w:type="spellEnd"/>
            <w:r>
              <w:rPr>
                <w:sz w:val="20"/>
                <w:szCs w:val="20"/>
                <w:vertAlign w:val="subscript"/>
                <w:lang w:val="en-US"/>
              </w:rPr>
              <w:t xml:space="preserve"> </w:t>
            </w:r>
            <w:r>
              <w:rPr>
                <w:sz w:val="20"/>
                <w:szCs w:val="20"/>
                <w:lang w:val="en-US"/>
              </w:rPr>
              <w:t>=</w:t>
            </w:r>
            <w:r>
              <w:rPr>
                <w:sz w:val="20"/>
                <w:szCs w:val="20"/>
                <w:lang w:val="en-US"/>
              </w:rPr>
              <w:t xml:space="preserve"> </w:t>
            </w:r>
            <w:r>
              <w:rPr>
                <w:sz w:val="20"/>
                <w:szCs w:val="20"/>
              </w:rPr>
              <w:t>100  (</w:t>
            </w:r>
            <w:r>
              <w:rPr>
                <w:sz w:val="20"/>
                <w:szCs w:val="20"/>
              </w:rPr>
              <w:t xml:space="preserve">значимость детализирующего показателя оценки ) и </w:t>
            </w:r>
            <w:r>
              <w:rPr>
                <w:sz w:val="20"/>
                <w:szCs w:val="20"/>
              </w:rPr>
              <w:t>БР</w:t>
            </w:r>
            <w:proofErr w:type="spellStart"/>
            <w:r>
              <w:rPr>
                <w:sz w:val="20"/>
                <w:szCs w:val="20"/>
                <w:vertAlign w:val="subscript"/>
                <w:lang w:val="en-US"/>
              </w:rPr>
              <w:t>i</w:t>
            </w:r>
            <w:proofErr w:type="spellEnd"/>
            <w:r>
              <w:rPr>
                <w:sz w:val="20"/>
                <w:szCs w:val="20"/>
                <w:vertAlign w:val="subscript"/>
                <w:lang w:val="en-US"/>
              </w:rPr>
              <w:t xml:space="preserve"> </w:t>
            </w:r>
            <w:r>
              <w:rPr>
                <w:sz w:val="20"/>
                <w:szCs w:val="20"/>
                <w:lang w:val="en-US"/>
              </w:rPr>
              <w:t>=</w:t>
            </w:r>
            <w:r>
              <w:rPr>
                <w:sz w:val="20"/>
                <w:szCs w:val="20"/>
                <w:lang w:val="en-US"/>
              </w:rPr>
              <w:t xml:space="preserve"> </w:t>
            </w:r>
            <w:r>
              <w:rPr>
                <w:sz w:val="20"/>
                <w:szCs w:val="20"/>
              </w:rPr>
              <w:t>0 % в случае отсутствия данного оборудования. Сумма балов по этому показателю определяется по формуле:</w:t>
            </w:r>
          </w:p>
          <w:p w:rsidR="00D55D17" w:rsidRDefault="00D55D17">
            <w:pPr>
              <w:pStyle w:val="aff7"/>
              <w:spacing w:before="0" w:beforeAutospacing="0" w:after="0" w:afterAutospacing="0"/>
              <w:jc w:val="both"/>
              <w:rPr>
                <w:sz w:val="20"/>
                <w:szCs w:val="20"/>
              </w:rPr>
            </w:pPr>
          </w:p>
          <w:p w:rsidR="00D55D17" w:rsidRDefault="000E6F0B">
            <w:pPr>
              <w:pStyle w:val="ConsPlusNormal0"/>
              <w:ind w:firstLine="0"/>
              <w:jc w:val="both"/>
              <w:rPr>
                <w:rFonts w:ascii="Times New Roman" w:eastAsia="Times New Roman" w:hAnsi="Times New Roman" w:cs="Times New Roman"/>
                <w:color w:val="000000"/>
                <w:sz w:val="20"/>
                <w:szCs w:val="20"/>
                <w:vertAlign w:val="subscript"/>
              </w:rPr>
            </w:pPr>
            <w:r>
              <w:rPr>
                <w:rFonts w:ascii="Times New Roman" w:eastAsia="Times New Roman" w:hAnsi="Times New Roman" w:cs="Times New Roman"/>
                <w:color w:val="000000"/>
                <w:sz w:val="20"/>
                <w:szCs w:val="20"/>
                <w:lang w:eastAsia="ru-RU"/>
              </w:rPr>
              <w:t>С</w:t>
            </w:r>
            <w:r>
              <w:rPr>
                <w:rFonts w:ascii="Times New Roman" w:eastAsia="Times New Roman" w:hAnsi="Times New Roman" w:cs="Times New Roman"/>
                <w:color w:val="000000"/>
                <w:sz w:val="20"/>
                <w:szCs w:val="20"/>
                <w:vertAlign w:val="subscript"/>
                <w:lang w:eastAsia="ru-RU"/>
              </w:rPr>
              <w:t>БР</w:t>
            </w:r>
            <w:r>
              <w:rPr>
                <w:rFonts w:ascii="Times New Roman" w:eastAsia="Times New Roman" w:hAnsi="Times New Roman" w:cs="Times New Roman"/>
                <w:color w:val="000000"/>
                <w:sz w:val="20"/>
                <w:szCs w:val="20"/>
                <w:lang w:eastAsia="ru-RU"/>
              </w:rPr>
              <w:t xml:space="preserve"> = З</w:t>
            </w:r>
            <w:r w:rsidRPr="001B3D4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vertAlign w:val="subscript"/>
                <w:lang w:eastAsia="ru-RU"/>
              </w:rPr>
              <w:t>к</w:t>
            </w:r>
            <w:r>
              <w:rPr>
                <w:rFonts w:ascii="Times New Roman" w:eastAsia="Times New Roman" w:hAnsi="Times New Roman" w:cs="Times New Roman"/>
                <w:color w:val="000000"/>
                <w:sz w:val="20"/>
                <w:szCs w:val="20"/>
                <w:lang w:eastAsia="ru-RU"/>
              </w:rPr>
              <w:t xml:space="preserve"> х </w:t>
            </w:r>
            <w:proofErr w:type="spellStart"/>
            <w:proofErr w:type="gramStart"/>
            <w:r>
              <w:rPr>
                <w:rFonts w:ascii="Times New Roman" w:eastAsia="Times New Roman" w:hAnsi="Times New Roman" w:cs="Times New Roman"/>
                <w:color w:val="000000"/>
                <w:sz w:val="20"/>
                <w:szCs w:val="20"/>
                <w:lang w:eastAsia="ru-RU"/>
              </w:rPr>
              <w:t>З</w:t>
            </w:r>
            <w:r>
              <w:rPr>
                <w:rFonts w:ascii="Times New Roman" w:eastAsia="Times New Roman" w:hAnsi="Times New Roman" w:cs="Times New Roman"/>
                <w:color w:val="000000"/>
                <w:sz w:val="20"/>
                <w:szCs w:val="20"/>
                <w:vertAlign w:val="subscript"/>
                <w:lang w:eastAsia="ru-RU"/>
              </w:rPr>
              <w:t>п</w:t>
            </w:r>
            <w:proofErr w:type="spellEnd"/>
            <w:r>
              <w:rPr>
                <w:rFonts w:ascii="Times New Roman" w:eastAsia="Times New Roman" w:hAnsi="Times New Roman" w:cs="Times New Roman"/>
                <w:color w:val="000000"/>
                <w:sz w:val="20"/>
                <w:szCs w:val="20"/>
                <w:lang w:eastAsia="ru-RU"/>
              </w:rPr>
              <w:t xml:space="preserve">  х</w:t>
            </w:r>
            <w:proofErr w:type="gramEnd"/>
            <w:r>
              <w:rPr>
                <w:rFonts w:ascii="Times New Roman" w:eastAsia="Times New Roman" w:hAnsi="Times New Roman" w:cs="Times New Roman"/>
                <w:color w:val="000000"/>
                <w:sz w:val="20"/>
                <w:szCs w:val="20"/>
                <w:lang w:eastAsia="ru-RU"/>
              </w:rPr>
              <w:t xml:space="preserve"> БР</w:t>
            </w:r>
            <w:r w:rsidRPr="001B3D43">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vertAlign w:val="subscript"/>
                <w:lang w:val="en-US"/>
              </w:rPr>
              <w:t>i</w:t>
            </w:r>
            <w:proofErr w:type="spellEnd"/>
          </w:p>
          <w:p w:rsidR="00D55D17" w:rsidRDefault="00D55D17">
            <w:pPr>
              <w:pStyle w:val="aff7"/>
              <w:spacing w:before="0" w:beforeAutospacing="0" w:after="0" w:afterAutospacing="0"/>
              <w:jc w:val="both"/>
              <w:rPr>
                <w:sz w:val="20"/>
                <w:szCs w:val="20"/>
              </w:rPr>
            </w:pPr>
          </w:p>
          <w:p w:rsidR="00D55D17" w:rsidRDefault="000E6F0B">
            <w:pPr>
              <w:pStyle w:val="ConsPlusNormal0"/>
              <w:ind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 этом среднее количество баллов определяется путем суммирования количества баллов, присвоенных каждым членом комиссии</w:t>
            </w:r>
            <w:r>
              <w:rPr>
                <w:rFonts w:ascii="Times New Roman" w:eastAsia="Times New Roman" w:hAnsi="Times New Roman" w:cs="Times New Roman"/>
                <w:sz w:val="20"/>
                <w:szCs w:val="20"/>
              </w:rPr>
              <w:t xml:space="preserve"> по осуществлению закупок, и последующего деления на количество таких членов.</w:t>
            </w:r>
          </w:p>
          <w:p w:rsidR="00D55D17" w:rsidRDefault="00D55D17">
            <w:pPr>
              <w:pStyle w:val="aff7"/>
              <w:spacing w:before="0" w:beforeAutospacing="0" w:after="0" w:afterAutospacing="0"/>
              <w:jc w:val="both"/>
              <w:rPr>
                <w:sz w:val="20"/>
                <w:szCs w:val="20"/>
              </w:rPr>
            </w:pPr>
          </w:p>
        </w:tc>
      </w:tr>
    </w:tbl>
    <w:p w:rsidR="00D55D17" w:rsidRDefault="00D55D17">
      <w:pPr>
        <w:spacing w:after="0" w:line="288" w:lineRule="auto"/>
        <w:jc w:val="both"/>
        <w:rPr>
          <w:rFonts w:ascii="Times New Roman" w:eastAsia="Times New Roman" w:hAnsi="Times New Roman" w:cs="Times New Roman"/>
          <w:b/>
          <w:bCs/>
          <w:sz w:val="20"/>
          <w:szCs w:val="20"/>
          <w:lang w:eastAsia="ru-RU"/>
        </w:rPr>
      </w:pPr>
    </w:p>
    <w:p w:rsidR="00D55D17" w:rsidRDefault="00D55D17">
      <w:pPr>
        <w:spacing w:after="0" w:line="288" w:lineRule="auto"/>
        <w:jc w:val="both"/>
        <w:rPr>
          <w:rFonts w:ascii="Times New Roman" w:eastAsia="Times New Roman" w:hAnsi="Times New Roman" w:cs="Times New Roman"/>
          <w:b/>
          <w:bCs/>
          <w:sz w:val="20"/>
          <w:szCs w:val="20"/>
          <w:lang w:eastAsia="ru-RU"/>
        </w:rPr>
      </w:pPr>
    </w:p>
    <w:p w:rsidR="00D55D17" w:rsidRDefault="000E6F0B">
      <w:pPr>
        <w:spacing w:after="0" w:line="288"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sz w:val="20"/>
          <w:szCs w:val="20"/>
          <w:lang w:eastAsia="ru-RU"/>
        </w:rPr>
        <w:t xml:space="preserve">Положения о применении отдельных критериев оценки, показателей оценки, детализирующих показателей, предусмотренных </w:t>
      </w:r>
      <w:hyperlink w:anchor="Par40" w:tooltip="#Par40" w:history="1">
        <w:r>
          <w:rPr>
            <w:rFonts w:ascii="Times New Roman" w:eastAsia="Times New Roman" w:hAnsi="Times New Roman" w:cs="Times New Roman"/>
            <w:b/>
            <w:sz w:val="20"/>
            <w:szCs w:val="20"/>
            <w:lang w:eastAsia="ru-RU"/>
          </w:rPr>
          <w:t>разделом II</w:t>
        </w:r>
      </w:hyperlink>
      <w:r>
        <w:rPr>
          <w:rFonts w:ascii="Times New Roman" w:eastAsia="Times New Roman" w:hAnsi="Times New Roman" w:cs="Times New Roman"/>
          <w:b/>
          <w:sz w:val="20"/>
          <w:szCs w:val="20"/>
          <w:lang w:eastAsia="ru-RU"/>
        </w:rPr>
        <w:t xml:space="preserve"> настоящего документа</w:t>
      </w:r>
      <w:r>
        <w:rPr>
          <w:rFonts w:ascii="Times New Roman" w:eastAsia="Times New Roman" w:hAnsi="Times New Roman" w:cs="Times New Roman"/>
          <w:b/>
          <w:bCs/>
          <w:sz w:val="20"/>
          <w:szCs w:val="20"/>
          <w:lang w:eastAsia="ru-RU"/>
        </w:rPr>
        <w:t>:</w:t>
      </w:r>
    </w:p>
    <w:p w:rsidR="00D55D17" w:rsidRDefault="00D55D17">
      <w:pPr>
        <w:spacing w:after="0" w:line="288" w:lineRule="auto"/>
        <w:jc w:val="both"/>
        <w:rPr>
          <w:rFonts w:ascii="Times New Roman" w:eastAsia="Times New Roman" w:hAnsi="Times New Roman" w:cs="Times New Roman"/>
          <w:b/>
          <w:bCs/>
          <w:sz w:val="20"/>
          <w:szCs w:val="20"/>
          <w:lang w:eastAsia="ru-RU"/>
        </w:rPr>
      </w:pPr>
    </w:p>
    <w:tbl>
      <w:tblPr>
        <w:tblW w:w="5182" w:type="pct"/>
        <w:tblCellMar>
          <w:top w:w="102" w:type="dxa"/>
          <w:left w:w="62" w:type="dxa"/>
          <w:bottom w:w="102" w:type="dxa"/>
          <w:right w:w="62" w:type="dxa"/>
        </w:tblCellMar>
        <w:tblLook w:val="04A0" w:firstRow="1" w:lastRow="0" w:firstColumn="1" w:lastColumn="0" w:noHBand="0" w:noVBand="1"/>
      </w:tblPr>
      <w:tblGrid>
        <w:gridCol w:w="607"/>
        <w:gridCol w:w="3528"/>
        <w:gridCol w:w="10955"/>
      </w:tblGrid>
      <w:tr w:rsidR="00D55D17">
        <w:tc>
          <w:tcPr>
            <w:tcW w:w="607" w:type="dxa"/>
            <w:tcBorders>
              <w:top w:val="single" w:sz="4" w:space="0" w:color="auto"/>
              <w:left w:val="single" w:sz="4" w:space="0" w:color="auto"/>
              <w:bottom w:val="single" w:sz="4" w:space="0" w:color="auto"/>
              <w:right w:val="single" w:sz="4" w:space="0" w:color="auto"/>
            </w:tcBorders>
            <w:vAlign w:val="center"/>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w:t>
            </w:r>
          </w:p>
        </w:tc>
        <w:tc>
          <w:tcPr>
            <w:tcW w:w="3530" w:type="dxa"/>
            <w:tcBorders>
              <w:top w:val="single" w:sz="4" w:space="0" w:color="auto"/>
              <w:left w:val="single" w:sz="4" w:space="0" w:color="auto"/>
              <w:bottom w:val="single" w:sz="4" w:space="0" w:color="auto"/>
              <w:right w:val="single" w:sz="4" w:space="0" w:color="auto"/>
            </w:tcBorders>
            <w:vAlign w:val="center"/>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Наименование неценового критерия оценки, показателя оценки, детализирующего показателя, при применении которого устанавливается положение, предусмотренное </w:t>
            </w:r>
            <w:hyperlink w:anchor="Par166" w:tooltip="#Par166" w:history="1">
              <w:r>
                <w:rPr>
                  <w:rFonts w:ascii="Times New Roman" w:eastAsia="Times New Roman" w:hAnsi="Times New Roman" w:cs="Times New Roman"/>
                  <w:sz w:val="20"/>
                  <w:szCs w:val="20"/>
                  <w:lang w:eastAsia="ru-RU"/>
                </w:rPr>
                <w:t>графой 3</w:t>
              </w:r>
            </w:hyperlink>
          </w:p>
        </w:tc>
        <w:tc>
          <w:tcPr>
            <w:tcW w:w="10963" w:type="dxa"/>
            <w:tcBorders>
              <w:top w:val="single" w:sz="4" w:space="0" w:color="auto"/>
              <w:left w:val="single" w:sz="4" w:space="0" w:color="auto"/>
              <w:bottom w:val="single" w:sz="4" w:space="0" w:color="auto"/>
              <w:right w:val="single" w:sz="4" w:space="0" w:color="auto"/>
            </w:tcBorders>
            <w:vAlign w:val="center"/>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Положение о применения критерия оценки, показателя оценки, показателя оценки, детализирующего показатель оценки</w:t>
            </w:r>
          </w:p>
        </w:tc>
      </w:tr>
      <w:tr w:rsidR="00D55D17">
        <w:tc>
          <w:tcPr>
            <w:tcW w:w="607" w:type="dxa"/>
            <w:tcBorders>
              <w:top w:val="single" w:sz="4" w:space="0" w:color="auto"/>
              <w:left w:val="single" w:sz="4" w:space="0" w:color="auto"/>
              <w:bottom w:val="single" w:sz="4" w:space="0" w:color="auto"/>
              <w:right w:val="single" w:sz="4" w:space="0" w:color="auto"/>
            </w:tcBorders>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1</w:t>
            </w:r>
          </w:p>
        </w:tc>
        <w:tc>
          <w:tcPr>
            <w:tcW w:w="3530" w:type="dxa"/>
            <w:tcBorders>
              <w:top w:val="single" w:sz="4" w:space="0" w:color="auto"/>
              <w:left w:val="single" w:sz="4" w:space="0" w:color="auto"/>
              <w:bottom w:val="single" w:sz="4" w:space="0" w:color="auto"/>
              <w:right w:val="single" w:sz="4" w:space="0" w:color="auto"/>
            </w:tcBorders>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2</w:t>
            </w:r>
          </w:p>
        </w:tc>
        <w:tc>
          <w:tcPr>
            <w:tcW w:w="10963" w:type="dxa"/>
            <w:tcBorders>
              <w:top w:val="single" w:sz="4" w:space="0" w:color="auto"/>
              <w:left w:val="single" w:sz="4" w:space="0" w:color="auto"/>
              <w:bottom w:val="single" w:sz="4" w:space="0" w:color="auto"/>
              <w:right w:val="single" w:sz="4" w:space="0" w:color="auto"/>
            </w:tcBorders>
          </w:tcPr>
          <w:p w:rsidR="00D55D17" w:rsidRDefault="000E6F0B">
            <w:pPr>
              <w:spacing w:after="0" w:line="240" w:lineRule="auto"/>
              <w:jc w:val="center"/>
              <w:rPr>
                <w:rFonts w:ascii="Times New Roman" w:hAnsi="Times New Roman" w:cs="Times New Roman"/>
                <w:sz w:val="20"/>
                <w:szCs w:val="20"/>
              </w:rPr>
            </w:pPr>
            <w:bookmarkStart w:id="1" w:name="Par166"/>
            <w:bookmarkEnd w:id="1"/>
            <w:r>
              <w:rPr>
                <w:rFonts w:ascii="Times New Roman" w:eastAsia="Times New Roman" w:hAnsi="Times New Roman" w:cs="Times New Roman"/>
                <w:sz w:val="20"/>
                <w:szCs w:val="20"/>
                <w:lang w:eastAsia="ru-RU"/>
              </w:rPr>
              <w:t>3</w:t>
            </w:r>
          </w:p>
        </w:tc>
      </w:tr>
      <w:tr w:rsidR="00D55D17">
        <w:trPr>
          <w:trHeight w:val="340"/>
        </w:trPr>
        <w:tc>
          <w:tcPr>
            <w:tcW w:w="607" w:type="dxa"/>
            <w:tcBorders>
              <w:top w:val="single" w:sz="4" w:space="0" w:color="auto"/>
              <w:left w:val="single" w:sz="4" w:space="0" w:color="auto"/>
              <w:bottom w:val="single" w:sz="4" w:space="0" w:color="auto"/>
              <w:right w:val="single" w:sz="4" w:space="0" w:color="auto"/>
            </w:tcBorders>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1</w:t>
            </w:r>
          </w:p>
        </w:tc>
        <w:tc>
          <w:tcPr>
            <w:tcW w:w="3530" w:type="dxa"/>
            <w:tcBorders>
              <w:top w:val="single" w:sz="4" w:space="0" w:color="auto"/>
              <w:left w:val="single" w:sz="4" w:space="0" w:color="auto"/>
              <w:bottom w:val="single" w:sz="4" w:space="0" w:color="auto"/>
              <w:right w:val="single" w:sz="4" w:space="0" w:color="auto"/>
            </w:tcBorders>
          </w:tcPr>
          <w:p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Критерий оценки:</w:t>
            </w:r>
          </w:p>
          <w:p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lastRenderedPageBreak/>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w:t>
            </w:r>
            <w:r>
              <w:rPr>
                <w:rFonts w:ascii="Times New Roman" w:eastAsia="Times New Roman" w:hAnsi="Times New Roman" w:cs="Times New Roman"/>
                <w:sz w:val="20"/>
                <w:szCs w:val="20"/>
                <w:lang w:eastAsia="ru-RU"/>
              </w:rPr>
              <w:t>в и иных работников определенного уровня квалификации.</w:t>
            </w:r>
          </w:p>
          <w:p w:rsidR="00D55D17" w:rsidRDefault="00D55D17">
            <w:pPr>
              <w:spacing w:after="0" w:line="240" w:lineRule="auto"/>
              <w:jc w:val="both"/>
              <w:rPr>
                <w:rFonts w:ascii="Times New Roman" w:hAnsi="Times New Roman" w:cs="Times New Roman"/>
                <w:sz w:val="20"/>
                <w:szCs w:val="20"/>
              </w:rPr>
            </w:pPr>
          </w:p>
          <w:p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По данному критерию установлен детализирующий показатель оценки:</w:t>
            </w:r>
          </w:p>
          <w:p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наличие у участников закупки опыта работы, аналогичного предмету закупки.</w:t>
            </w:r>
          </w:p>
          <w:p w:rsidR="00D55D17" w:rsidRDefault="00D55D17">
            <w:pPr>
              <w:spacing w:after="0" w:line="240" w:lineRule="auto"/>
              <w:jc w:val="both"/>
              <w:rPr>
                <w:rFonts w:ascii="Times New Roman" w:hAnsi="Times New Roman" w:cs="Times New Roman"/>
                <w:sz w:val="20"/>
                <w:szCs w:val="20"/>
              </w:rPr>
            </w:pPr>
          </w:p>
        </w:tc>
        <w:tc>
          <w:tcPr>
            <w:tcW w:w="10963" w:type="dxa"/>
            <w:tcBorders>
              <w:top w:val="single" w:sz="4" w:space="0" w:color="auto"/>
              <w:left w:val="single" w:sz="4" w:space="0" w:color="auto"/>
              <w:bottom w:val="single" w:sz="4" w:space="0" w:color="auto"/>
              <w:right w:val="single" w:sz="4" w:space="0" w:color="auto"/>
            </w:tcBorders>
          </w:tcPr>
          <w:p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lastRenderedPageBreak/>
              <w:t>К оценке принимается исключительно исполненный договор, предусматривающий поставку товаров ветеринарного назначения. Максимальная сумма договора, учитываемая для оценки - 10 000 000 руб.</w:t>
            </w:r>
          </w:p>
          <w:p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lastRenderedPageBreak/>
              <w:t>Перечень документов, подтверждающих наличие у участника закупки опыта</w:t>
            </w:r>
            <w:r>
              <w:rPr>
                <w:rFonts w:ascii="Times New Roman" w:eastAsia="Times New Roman" w:hAnsi="Times New Roman" w:cs="Times New Roman"/>
                <w:sz w:val="20"/>
                <w:szCs w:val="20"/>
              </w:rPr>
              <w:t xml:space="preserve"> выполнения контрактов/договоров, </w:t>
            </w:r>
            <w:r>
              <w:rPr>
                <w:rFonts w:ascii="Times New Roman" w:eastAsia="Times New Roman" w:hAnsi="Times New Roman" w:cs="Times New Roman"/>
                <w:sz w:val="20"/>
                <w:szCs w:val="20"/>
                <w:lang w:eastAsia="ru-RU"/>
              </w:rPr>
              <w:t>аналогичного предмету закупки.</w:t>
            </w:r>
            <w:r>
              <w:rPr>
                <w:rFonts w:ascii="Times New Roman" w:eastAsia="Times New Roman" w:hAnsi="Times New Roman" w:cs="Times New Roman"/>
                <w:sz w:val="20"/>
                <w:szCs w:val="20"/>
              </w:rPr>
              <w:t>:</w:t>
            </w:r>
          </w:p>
          <w:p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 исполненный договор (договоры);</w:t>
            </w:r>
          </w:p>
          <w:p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 документы о приёмке: товарные накладные, акт (акты) выполненных работ выполненных пусконаладочных работ, если контрактом/договором было предусмотрено их у</w:t>
            </w:r>
            <w:r>
              <w:rPr>
                <w:rFonts w:ascii="Times New Roman" w:eastAsia="Times New Roman" w:hAnsi="Times New Roman" w:cs="Times New Roman"/>
                <w:sz w:val="20"/>
                <w:szCs w:val="20"/>
              </w:rPr>
              <w:t>тверждение сторонами;</w:t>
            </w:r>
          </w:p>
          <w:p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 документацию, подтверждающую качество и соответствие поставляемых товаров требованиям к таким товарам, предъявляемым действующим законодательством Российской Федерации.</w:t>
            </w:r>
          </w:p>
          <w:p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Последний документ, подтверждающий приёмку товара без претензий</w:t>
            </w:r>
            <w:r>
              <w:rPr>
                <w:rFonts w:ascii="Times New Roman" w:eastAsia="Times New Roman" w:hAnsi="Times New Roman" w:cs="Times New Roman"/>
                <w:sz w:val="20"/>
                <w:szCs w:val="20"/>
              </w:rPr>
              <w:t>, составленный при исполнении договора должен быть подписан не ранее чем за 2 года до даты окончания срока подачи заявок;</w:t>
            </w:r>
          </w:p>
          <w:p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К оценке принимаются исполненные участником закупки с учетом правопреемства (в случае наличия в заявке подтверждающего документа) искл</w:t>
            </w:r>
            <w:r>
              <w:rPr>
                <w:rFonts w:ascii="Times New Roman" w:eastAsia="Times New Roman" w:hAnsi="Times New Roman" w:cs="Times New Roman"/>
                <w:sz w:val="20"/>
                <w:szCs w:val="20"/>
              </w:rPr>
              <w:t>ючительно контракты, заключенные и исполненные в соответствии с Федеральным  законом «О контрактной системе в сфере закупок товаров, работ, услуг для обеспечения государственных и муниципальных нужд» от 05.04.2013 № 44-ФЗ, и договоры, заключенные и исполне</w:t>
            </w:r>
            <w:r>
              <w:rPr>
                <w:rFonts w:ascii="Times New Roman" w:eastAsia="Times New Roman" w:hAnsi="Times New Roman" w:cs="Times New Roman"/>
                <w:sz w:val="20"/>
                <w:szCs w:val="20"/>
              </w:rPr>
              <w:t>нные в соответствии с Федеральным законом от 18.07.2011 № 223-ФЗ «О закупках товаров, работ, услуг отдельными видами юридических лиц».</w:t>
            </w:r>
          </w:p>
          <w:p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Если документы, подтверждающие наличие у участника закупки опыта выполнения работы, и информация о таких документах содер</w:t>
            </w:r>
            <w:r>
              <w:rPr>
                <w:rFonts w:ascii="Times New Roman" w:eastAsia="Times New Roman" w:hAnsi="Times New Roman" w:cs="Times New Roman"/>
                <w:sz w:val="20"/>
                <w:szCs w:val="20"/>
              </w:rPr>
              <w:t>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w:t>
            </w:r>
            <w:r>
              <w:rPr>
                <w:rFonts w:ascii="Times New Roman" w:eastAsia="Times New Roman" w:hAnsi="Times New Roman" w:cs="Times New Roman"/>
                <w:sz w:val="20"/>
                <w:szCs w:val="20"/>
              </w:rPr>
              <w:t>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К оценке принимаю</w:t>
            </w:r>
            <w:r>
              <w:rPr>
                <w:rFonts w:ascii="Times New Roman" w:eastAsia="Times New Roman" w:hAnsi="Times New Roman" w:cs="Times New Roman"/>
                <w:sz w:val="20"/>
                <w:szCs w:val="20"/>
              </w:rPr>
              <w:t>тся документы, в случае их представления в заявке в полном объеме и со всеми приложениями.</w:t>
            </w:r>
          </w:p>
          <w:p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Такие документы направляются в форме электронных документов или в форме электронных образов бумажных документов.</w:t>
            </w:r>
          </w:p>
          <w:p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Информация о предоставляемых участником закупки доку</w:t>
            </w:r>
            <w:r>
              <w:rPr>
                <w:rFonts w:ascii="Times New Roman" w:eastAsia="Times New Roman" w:hAnsi="Times New Roman" w:cs="Times New Roman"/>
                <w:sz w:val="20"/>
                <w:szCs w:val="20"/>
              </w:rPr>
              <w:t>ментах, подтверждающих наличие у участника закупки опыта выполнения работ, может быть систематизирована в прилагаемой к настоящему порядку форме № 1:</w:t>
            </w:r>
          </w:p>
        </w:tc>
      </w:tr>
      <w:tr w:rsidR="00D55D17">
        <w:trPr>
          <w:trHeight w:val="340"/>
        </w:trPr>
        <w:tc>
          <w:tcPr>
            <w:tcW w:w="607" w:type="dxa"/>
            <w:tcBorders>
              <w:top w:val="single" w:sz="4" w:space="0" w:color="auto"/>
              <w:left w:val="single" w:sz="4" w:space="0" w:color="auto"/>
              <w:bottom w:val="single" w:sz="4" w:space="0" w:color="auto"/>
              <w:right w:val="single" w:sz="4" w:space="0" w:color="auto"/>
            </w:tcBorders>
          </w:tcPr>
          <w:p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lastRenderedPageBreak/>
              <w:t>2.</w:t>
            </w:r>
          </w:p>
        </w:tc>
        <w:tc>
          <w:tcPr>
            <w:tcW w:w="3530" w:type="dxa"/>
            <w:tcBorders>
              <w:top w:val="single" w:sz="4" w:space="0" w:color="auto"/>
              <w:left w:val="single" w:sz="4" w:space="0" w:color="auto"/>
              <w:bottom w:val="single" w:sz="4" w:space="0" w:color="auto"/>
              <w:right w:val="single" w:sz="4" w:space="0" w:color="auto"/>
            </w:tcBorders>
          </w:tcPr>
          <w:p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Критерий оценки:</w:t>
            </w:r>
          </w:p>
          <w:p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w:t>
            </w:r>
            <w:r>
              <w:rPr>
                <w:rFonts w:ascii="Times New Roman" w:eastAsia="Times New Roman" w:hAnsi="Times New Roman" w:cs="Times New Roman"/>
                <w:sz w:val="20"/>
                <w:szCs w:val="20"/>
                <w:lang w:eastAsia="ru-RU"/>
              </w:rPr>
              <w:t>в и иных работников определенного уровня квалификации.</w:t>
            </w:r>
          </w:p>
          <w:p w:rsidR="00D55D17" w:rsidRDefault="00D55D17">
            <w:pPr>
              <w:spacing w:after="0" w:line="240" w:lineRule="auto"/>
              <w:jc w:val="both"/>
              <w:rPr>
                <w:rFonts w:ascii="Times New Roman" w:hAnsi="Times New Roman" w:cs="Times New Roman"/>
                <w:sz w:val="20"/>
                <w:szCs w:val="20"/>
              </w:rPr>
            </w:pPr>
          </w:p>
          <w:p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По данному критерию установлен детализирующий показатель оценки:</w:t>
            </w:r>
          </w:p>
          <w:p w:rsidR="00D55D17" w:rsidRDefault="000E6F0B">
            <w:pPr>
              <w:tabs>
                <w:tab w:val="left" w:pos="-360"/>
                <w:tab w:val="left" w:pos="360"/>
              </w:tabs>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наличие ресурсов в собственности либо в пользовании участника закупки.</w:t>
            </w:r>
          </w:p>
        </w:tc>
        <w:tc>
          <w:tcPr>
            <w:tcW w:w="10963" w:type="dxa"/>
            <w:tcBorders>
              <w:top w:val="single" w:sz="4" w:space="0" w:color="auto"/>
              <w:left w:val="single" w:sz="4" w:space="0" w:color="auto"/>
              <w:bottom w:val="single" w:sz="4" w:space="0" w:color="auto"/>
              <w:right w:val="single" w:sz="4" w:space="0" w:color="auto"/>
            </w:tcBorders>
          </w:tcPr>
          <w:p w:rsidR="00D55D17" w:rsidRDefault="000E6F0B">
            <w:pPr>
              <w:spacing w:after="0" w:line="240" w:lineRule="auto"/>
              <w:ind w:firstLine="283"/>
              <w:jc w:val="both"/>
              <w:rPr>
                <w:rFonts w:ascii="Times New Roman" w:hAnsi="Times New Roman" w:cs="Times New Roman"/>
                <w:sz w:val="20"/>
                <w:szCs w:val="20"/>
              </w:rPr>
            </w:pPr>
            <w:r>
              <w:rPr>
                <w:rFonts w:ascii="Times New Roman" w:eastAsia="Times New Roman" w:hAnsi="Times New Roman" w:cs="Times New Roman"/>
                <w:sz w:val="20"/>
                <w:szCs w:val="20"/>
              </w:rPr>
              <w:t xml:space="preserve">Оценивается наличие ресурсов в собственности либо в пользовании </w:t>
            </w:r>
            <w:r>
              <w:rPr>
                <w:rFonts w:ascii="Times New Roman" w:eastAsia="Times New Roman" w:hAnsi="Times New Roman" w:cs="Times New Roman"/>
                <w:sz w:val="20"/>
                <w:szCs w:val="20"/>
              </w:rPr>
              <w:t xml:space="preserve">участника закупки: систем/оборудования, обеспечивающим соблюдение условий хранения и перевозки </w:t>
            </w:r>
            <w:r>
              <w:rPr>
                <w:rFonts w:ascii="Times New Roman" w:eastAsia="Times New Roman" w:hAnsi="Times New Roman" w:cs="Times New Roman"/>
                <w:sz w:val="20"/>
                <w:szCs w:val="20"/>
                <w:shd w:val="clear" w:color="auto" w:fill="FFFFFF"/>
              </w:rPr>
              <w:t>(оборудование для транспортирования с учётом температурного режима, наличие системы контроля доступа и т.д.) вакцины.</w:t>
            </w:r>
          </w:p>
          <w:p w:rsidR="00D55D17" w:rsidRDefault="000E6F0B">
            <w:pPr>
              <w:spacing w:after="0" w:line="240" w:lineRule="auto"/>
              <w:ind w:firstLine="283"/>
              <w:jc w:val="both"/>
              <w:rPr>
                <w:rFonts w:ascii="Times New Roman" w:hAnsi="Times New Roman" w:cs="Times New Roman"/>
                <w:sz w:val="20"/>
                <w:szCs w:val="20"/>
              </w:rPr>
            </w:pPr>
            <w:r>
              <w:rPr>
                <w:rFonts w:ascii="Times New Roman" w:eastAsia="Times New Roman" w:hAnsi="Times New Roman" w:cs="Times New Roman"/>
                <w:sz w:val="20"/>
                <w:szCs w:val="20"/>
              </w:rPr>
              <w:t>Участник предоставляет заверенные копии док</w:t>
            </w:r>
            <w:r>
              <w:rPr>
                <w:rFonts w:ascii="Times New Roman" w:eastAsia="Times New Roman" w:hAnsi="Times New Roman" w:cs="Times New Roman"/>
                <w:sz w:val="20"/>
                <w:szCs w:val="20"/>
              </w:rPr>
              <w:t>ументов, подтверждающих нахождение в собственности либо в пользовании участника закупки транспортных средств специального назначения.</w:t>
            </w:r>
          </w:p>
        </w:tc>
      </w:tr>
    </w:tbl>
    <w:p w:rsidR="00D55D17" w:rsidRDefault="00D55D17">
      <w:pPr>
        <w:spacing w:after="0" w:line="288" w:lineRule="auto"/>
        <w:jc w:val="both"/>
        <w:rPr>
          <w:rFonts w:ascii="Times New Roman" w:eastAsia="Times New Roman" w:hAnsi="Times New Roman" w:cs="Times New Roman"/>
          <w:sz w:val="20"/>
          <w:szCs w:val="20"/>
          <w:lang w:eastAsia="ru-RU"/>
        </w:rPr>
      </w:pPr>
      <w:bookmarkStart w:id="2" w:name="Par177"/>
      <w:bookmarkStart w:id="3" w:name="Par176"/>
      <w:bookmarkEnd w:id="2"/>
      <w:bookmarkEnd w:id="3"/>
    </w:p>
    <w:p w:rsidR="00D55D17" w:rsidRDefault="00D55D17">
      <w:pPr>
        <w:spacing w:after="0" w:line="288" w:lineRule="auto"/>
        <w:jc w:val="both"/>
        <w:rPr>
          <w:rFonts w:ascii="Times New Roman" w:hAnsi="Times New Roman" w:cs="Times New Roman"/>
        </w:rPr>
      </w:pPr>
    </w:p>
    <w:sectPr w:rsidR="00D55D17">
      <w:headerReference w:type="even" r:id="rId28"/>
      <w:headerReference w:type="default" r:id="rId29"/>
      <w:footerReference w:type="even" r:id="rId30"/>
      <w:footerReference w:type="default" r:id="rId31"/>
      <w:headerReference w:type="first" r:id="rId32"/>
      <w:footerReference w:type="first" r:id="rId33"/>
      <w:pgSz w:w="16838" w:h="11906" w:orient="landscape"/>
      <w:pgMar w:top="567" w:right="1134" w:bottom="426"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6F0B" w:rsidRDefault="000E6F0B">
      <w:pPr>
        <w:spacing w:line="240" w:lineRule="auto"/>
      </w:pPr>
      <w:r>
        <w:separator/>
      </w:r>
    </w:p>
  </w:endnote>
  <w:endnote w:type="continuationSeparator" w:id="0">
    <w:p w:rsidR="000E6F0B" w:rsidRDefault="000E6F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D17" w:rsidRDefault="00D55D17">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D17" w:rsidRDefault="00D55D17">
    <w:pPr>
      <w:pStyle w:val="af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D17" w:rsidRDefault="00D55D17">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6F0B" w:rsidRDefault="000E6F0B">
      <w:pPr>
        <w:spacing w:after="0"/>
      </w:pPr>
      <w:r>
        <w:separator/>
      </w:r>
    </w:p>
  </w:footnote>
  <w:footnote w:type="continuationSeparator" w:id="0">
    <w:p w:rsidR="000E6F0B" w:rsidRDefault="000E6F0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D17" w:rsidRDefault="00D55D17">
    <w:pPr>
      <w:pStyle w:val="af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D17" w:rsidRDefault="00D55D17">
    <w:pPr>
      <w:pStyle w:val="af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D17" w:rsidRDefault="00D55D17">
    <w:pPr>
      <w:pStyle w:val="aff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D17"/>
    <w:rsid w:val="000E6F0B"/>
    <w:rsid w:val="001B3D43"/>
    <w:rsid w:val="00D55D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E8A2A6-7F18-468D-88FD-22755B66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0">
    <w:name w:val="Заголовок 1 Знак"/>
    <w:basedOn w:val="a0"/>
    <w:link w:val="1"/>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line="240" w:lineRule="auto"/>
      <w:contextualSpacing/>
    </w:pPr>
    <w:rPr>
      <w:rFonts w:ascii="Arial" w:eastAsia="Arial" w:hAnsi="Arial" w:cs="Arial"/>
      <w:spacing w:val="-10"/>
      <w:sz w:val="56"/>
      <w:szCs w:val="56"/>
    </w:rPr>
  </w:style>
  <w:style w:type="character" w:customStyle="1" w:styleId="a4">
    <w:name w:val="Заголовок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Subtle Reference"/>
    <w:basedOn w:val="a0"/>
    <w:uiPriority w:val="31"/>
    <w:qFormat/>
    <w:rPr>
      <w:smallCaps/>
      <w:color w:val="5A5A5A" w:themeColor="text1" w:themeTint="A5"/>
    </w:rPr>
  </w:style>
  <w:style w:type="character" w:styleId="ad">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e">
    <w:name w:val="caption"/>
    <w:basedOn w:val="a"/>
    <w:next w:val="a"/>
    <w:uiPriority w:val="35"/>
    <w:unhideWhenUsed/>
    <w:qFormat/>
    <w:pPr>
      <w:spacing w:line="240" w:lineRule="auto"/>
    </w:pPr>
    <w:rPr>
      <w:i/>
      <w:iCs/>
      <w:color w:val="1F497D" w:themeColor="text2"/>
      <w:sz w:val="18"/>
      <w:szCs w:val="18"/>
    </w:rPr>
  </w:style>
  <w:style w:type="paragraph" w:styleId="af">
    <w:name w:val="footnote text"/>
    <w:basedOn w:val="a"/>
    <w:link w:val="af0"/>
    <w:uiPriority w:val="99"/>
    <w:semiHidden/>
    <w:unhideWhenUsed/>
    <w:pPr>
      <w:spacing w:after="0" w:line="240" w:lineRule="auto"/>
    </w:pPr>
    <w:rPr>
      <w:sz w:val="20"/>
      <w:szCs w:val="20"/>
    </w:rPr>
  </w:style>
  <w:style w:type="character" w:customStyle="1" w:styleId="af0">
    <w:name w:val="Текст сноски Знак"/>
    <w:basedOn w:val="a0"/>
    <w:link w:val="af"/>
    <w:uiPriority w:val="99"/>
    <w:semiHidden/>
    <w:rPr>
      <w:sz w:val="20"/>
      <w:szCs w:val="20"/>
    </w:rPr>
  </w:style>
  <w:style w:type="character" w:styleId="af1">
    <w:name w:val="footnote reference"/>
    <w:basedOn w:val="a0"/>
    <w:uiPriority w:val="99"/>
    <w:semiHidden/>
    <w:unhideWhenUsed/>
    <w:rPr>
      <w:vertAlign w:val="superscript"/>
    </w:rPr>
  </w:style>
  <w:style w:type="paragraph" w:styleId="af2">
    <w:name w:val="endnote text"/>
    <w:basedOn w:val="a"/>
    <w:link w:val="af3"/>
    <w:uiPriority w:val="99"/>
    <w:semiHidden/>
    <w:unhideWhenUsed/>
    <w:pPr>
      <w:spacing w:after="0" w:line="240" w:lineRule="auto"/>
    </w:pPr>
    <w:rPr>
      <w:sz w:val="20"/>
      <w:szCs w:val="20"/>
    </w:rPr>
  </w:style>
  <w:style w:type="character" w:customStyle="1" w:styleId="af3">
    <w:name w:val="Текст концевой сноски Знак"/>
    <w:basedOn w:val="a0"/>
    <w:link w:val="af2"/>
    <w:uiPriority w:val="99"/>
    <w:semiHidden/>
    <w:rPr>
      <w:sz w:val="20"/>
      <w:szCs w:val="20"/>
    </w:rPr>
  </w:style>
  <w:style w:type="character" w:styleId="af4">
    <w:name w:val="endnote reference"/>
    <w:basedOn w:val="a0"/>
    <w:uiPriority w:val="99"/>
    <w:semiHidden/>
    <w:unhideWhenUsed/>
    <w:rPr>
      <w:vertAlign w:val="superscript"/>
    </w:rPr>
  </w:style>
  <w:style w:type="character" w:styleId="af5">
    <w:name w:val="FollowedHyperlink"/>
    <w:basedOn w:val="a0"/>
    <w:uiPriority w:val="99"/>
    <w:semiHidden/>
    <w:unhideWhenUsed/>
    <w:rPr>
      <w:color w:val="800080"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6">
    <w:name w:val="Placeholder Text"/>
    <w:basedOn w:val="a0"/>
    <w:uiPriority w:val="99"/>
    <w:semiHidden/>
    <w:rPr>
      <w:color w:val="666666"/>
    </w:rPr>
  </w:style>
  <w:style w:type="paragraph" w:styleId="af7">
    <w:name w:val="TOC Heading"/>
    <w:uiPriority w:val="39"/>
    <w:unhideWhenUsed/>
  </w:style>
  <w:style w:type="paragraph" w:styleId="af8">
    <w:name w:val="table of figures"/>
    <w:basedOn w:val="a"/>
    <w:next w:val="a"/>
    <w:uiPriority w:val="99"/>
    <w:unhideWhenUsed/>
    <w:pPr>
      <w:spacing w:after="0"/>
    </w:pPr>
  </w:style>
  <w:style w:type="character" w:styleId="af9">
    <w:name w:val="annotation reference"/>
    <w:basedOn w:val="a0"/>
    <w:uiPriority w:val="99"/>
    <w:semiHidden/>
    <w:unhideWhenUsed/>
    <w:qFormat/>
    <w:rPr>
      <w:sz w:val="16"/>
      <w:szCs w:val="16"/>
    </w:rPr>
  </w:style>
  <w:style w:type="character" w:styleId="afa">
    <w:name w:val="Emphasis"/>
    <w:basedOn w:val="a0"/>
    <w:uiPriority w:val="20"/>
    <w:qFormat/>
    <w:rPr>
      <w:i/>
      <w:iCs/>
    </w:rPr>
  </w:style>
  <w:style w:type="character" w:styleId="afb">
    <w:name w:val="Hyperlink"/>
    <w:uiPriority w:val="99"/>
    <w:unhideWhenUsed/>
    <w:qFormat/>
    <w:rPr>
      <w:color w:val="0000FF"/>
      <w:u w:val="single"/>
    </w:rPr>
  </w:style>
  <w:style w:type="character" w:styleId="afc">
    <w:name w:val="Strong"/>
    <w:basedOn w:val="a0"/>
    <w:uiPriority w:val="22"/>
    <w:qFormat/>
    <w:rPr>
      <w:b/>
      <w:bCs/>
    </w:rPr>
  </w:style>
  <w:style w:type="paragraph" w:styleId="afd">
    <w:name w:val="Balloon Text"/>
    <w:basedOn w:val="a"/>
    <w:link w:val="afe"/>
    <w:uiPriority w:val="99"/>
    <w:semiHidden/>
    <w:unhideWhenUsed/>
    <w:qFormat/>
    <w:pPr>
      <w:spacing w:after="0" w:line="240" w:lineRule="auto"/>
    </w:pPr>
    <w:rPr>
      <w:rFonts w:ascii="Tahoma" w:hAnsi="Tahoma" w:cs="Tahoma"/>
      <w:sz w:val="16"/>
      <w:szCs w:val="16"/>
    </w:rPr>
  </w:style>
  <w:style w:type="paragraph" w:styleId="25">
    <w:name w:val="Body Text 2"/>
    <w:basedOn w:val="a"/>
    <w:link w:val="26"/>
    <w:uiPriority w:val="99"/>
    <w:semiHidden/>
    <w:unhideWhenUsed/>
    <w:qFormat/>
    <w:pPr>
      <w:spacing w:after="120" w:line="480" w:lineRule="auto"/>
    </w:pPr>
    <w:rPr>
      <w:rFonts w:ascii="Times New Roman" w:eastAsia="Times New Roman" w:hAnsi="Times New Roman" w:cs="Times New Roman"/>
      <w:sz w:val="24"/>
      <w:szCs w:val="24"/>
      <w:lang w:eastAsia="ru-RU"/>
    </w:rPr>
  </w:style>
  <w:style w:type="paragraph" w:styleId="aff">
    <w:name w:val="annotation text"/>
    <w:basedOn w:val="a"/>
    <w:link w:val="aff0"/>
    <w:uiPriority w:val="99"/>
    <w:semiHidden/>
    <w:unhideWhenUsed/>
    <w:qFormat/>
    <w:pPr>
      <w:spacing w:line="240" w:lineRule="auto"/>
    </w:pPr>
    <w:rPr>
      <w:sz w:val="20"/>
      <w:szCs w:val="20"/>
    </w:rPr>
  </w:style>
  <w:style w:type="paragraph" w:styleId="aff1">
    <w:name w:val="annotation subject"/>
    <w:basedOn w:val="aff"/>
    <w:next w:val="aff"/>
    <w:link w:val="aff2"/>
    <w:uiPriority w:val="99"/>
    <w:semiHidden/>
    <w:unhideWhenUsed/>
    <w:qFormat/>
    <w:rPr>
      <w:b/>
      <w:bCs/>
    </w:rPr>
  </w:style>
  <w:style w:type="paragraph" w:styleId="aff3">
    <w:name w:val="header"/>
    <w:basedOn w:val="a"/>
    <w:link w:val="aff4"/>
    <w:uiPriority w:val="99"/>
    <w:unhideWhenUsed/>
    <w:qFormat/>
    <w:pPr>
      <w:tabs>
        <w:tab w:val="center" w:pos="4677"/>
        <w:tab w:val="right" w:pos="9355"/>
      </w:tabs>
      <w:spacing w:after="0" w:line="240" w:lineRule="auto"/>
    </w:pPr>
  </w:style>
  <w:style w:type="paragraph" w:styleId="aff5">
    <w:name w:val="footer"/>
    <w:basedOn w:val="a"/>
    <w:link w:val="aff6"/>
    <w:uiPriority w:val="99"/>
    <w:unhideWhenUsed/>
    <w:qFormat/>
    <w:pPr>
      <w:tabs>
        <w:tab w:val="center" w:pos="4677"/>
        <w:tab w:val="right" w:pos="9355"/>
      </w:tabs>
      <w:spacing w:after="0" w:line="240" w:lineRule="auto"/>
    </w:pPr>
  </w:style>
  <w:style w:type="paragraph" w:styleId="aff7">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8">
    <w:name w:val="Table Grid"/>
    <w:basedOn w:val="a1"/>
    <w:uiPriority w:val="39"/>
    <w:qFormat/>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e">
    <w:name w:val="Текст выноски Знак"/>
    <w:basedOn w:val="a0"/>
    <w:link w:val="afd"/>
    <w:uiPriority w:val="99"/>
    <w:semiHidden/>
    <w:qFormat/>
    <w:rPr>
      <w:rFonts w:ascii="Tahoma" w:hAnsi="Tahoma" w:cs="Tahoma"/>
      <w:sz w:val="16"/>
      <w:szCs w:val="16"/>
    </w:rPr>
  </w:style>
  <w:style w:type="character" w:customStyle="1" w:styleId="ConsPlusNormal">
    <w:name w:val="ConsPlusNormal Знак"/>
    <w:link w:val="ConsPlusNormal0"/>
    <w:rPr>
      <w:rFonts w:ascii="Arial" w:hAnsi="Arial" w:cs="Arial"/>
    </w:rPr>
  </w:style>
  <w:style w:type="paragraph" w:customStyle="1" w:styleId="ConsPlusNormal0">
    <w:name w:val="ConsPlusNormal"/>
    <w:link w:val="ConsPlusNormal"/>
    <w:qFormat/>
    <w:pPr>
      <w:widowControl w:val="0"/>
      <w:ind w:firstLine="720"/>
      <w:jc w:val="center"/>
    </w:pPr>
    <w:rPr>
      <w:rFonts w:ascii="Arial" w:hAnsi="Arial" w:cs="Arial"/>
      <w:sz w:val="22"/>
      <w:szCs w:val="22"/>
      <w:lang w:eastAsia="en-US"/>
    </w:rPr>
  </w:style>
  <w:style w:type="character" w:customStyle="1" w:styleId="aff4">
    <w:name w:val="Верхний колонтитул Знак"/>
    <w:basedOn w:val="a0"/>
    <w:link w:val="aff3"/>
    <w:uiPriority w:val="99"/>
    <w:qFormat/>
  </w:style>
  <w:style w:type="character" w:customStyle="1" w:styleId="aff6">
    <w:name w:val="Нижний колонтитул Знак"/>
    <w:basedOn w:val="a0"/>
    <w:link w:val="aff5"/>
    <w:uiPriority w:val="99"/>
    <w:qFormat/>
  </w:style>
  <w:style w:type="paragraph" w:customStyle="1" w:styleId="33">
    <w:name w:val="Абзац списка3"/>
    <w:basedOn w:val="a"/>
    <w:pPr>
      <w:ind w:left="720"/>
    </w:pPr>
    <w:rPr>
      <w:rFonts w:ascii="Calibri" w:eastAsia="Times New Roman" w:hAnsi="Calibri" w:cs="Calibri"/>
    </w:rPr>
  </w:style>
  <w:style w:type="paragraph" w:styleId="aff9">
    <w:name w:val="List Paragraph"/>
    <w:basedOn w:val="a"/>
    <w:link w:val="affa"/>
    <w:uiPriority w:val="34"/>
    <w:qFormat/>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fa">
    <w:name w:val="Абзац списка Знак"/>
    <w:link w:val="aff9"/>
    <w:uiPriority w:val="34"/>
    <w:qFormat/>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uiPriority w:val="99"/>
    <w:semiHidden/>
    <w:qFormat/>
    <w:rPr>
      <w:rFonts w:ascii="Times New Roman" w:eastAsia="Times New Roman" w:hAnsi="Times New Roman" w:cs="Times New Roman"/>
      <w:sz w:val="24"/>
      <w:szCs w:val="24"/>
      <w:lang w:eastAsia="ru-RU"/>
    </w:rPr>
  </w:style>
  <w:style w:type="paragraph" w:customStyle="1" w:styleId="ConsNormal">
    <w:name w:val="ConsNormal"/>
    <w:link w:val="ConsNormal0"/>
    <w:uiPriority w:val="99"/>
    <w:qFormat/>
    <w:pPr>
      <w:widowControl w:val="0"/>
      <w:ind w:right="19772" w:firstLine="720"/>
    </w:pPr>
    <w:rPr>
      <w:rFonts w:ascii="Arial" w:eastAsia="Times New Roman" w:hAnsi="Arial" w:cs="Arial"/>
    </w:rPr>
  </w:style>
  <w:style w:type="character" w:customStyle="1" w:styleId="ConsNormal0">
    <w:name w:val="ConsNormal Знак"/>
    <w:link w:val="ConsNormal"/>
    <w:uiPriority w:val="99"/>
    <w:qFormat/>
    <w:rPr>
      <w:rFonts w:ascii="Arial" w:eastAsia="Times New Roman" w:hAnsi="Arial" w:cs="Arial"/>
      <w:sz w:val="20"/>
      <w:szCs w:val="20"/>
      <w:lang w:eastAsia="ru-RU"/>
    </w:rPr>
  </w:style>
  <w:style w:type="character" w:customStyle="1" w:styleId="aff0">
    <w:name w:val="Текст примечания Знак"/>
    <w:basedOn w:val="a0"/>
    <w:link w:val="aff"/>
    <w:uiPriority w:val="99"/>
    <w:semiHidden/>
    <w:qFormat/>
    <w:rPr>
      <w:sz w:val="20"/>
      <w:szCs w:val="20"/>
    </w:rPr>
  </w:style>
  <w:style w:type="character" w:customStyle="1" w:styleId="aff2">
    <w:name w:val="Тема примечания Знак"/>
    <w:basedOn w:val="aff0"/>
    <w:link w:val="aff1"/>
    <w:uiPriority w:val="99"/>
    <w:semiHidden/>
    <w:qFormat/>
    <w:rPr>
      <w:b/>
      <w:bCs/>
      <w:sz w:val="20"/>
      <w:szCs w:val="20"/>
    </w:rPr>
  </w:style>
  <w:style w:type="paragraph" w:styleId="affb">
    <w:name w:val="No Spacing"/>
    <w:qFormat/>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8" Type="http://schemas.openxmlformats.org/officeDocument/2006/relationships/image" Target="media/image20.png"/><Relationship Id="rId26" Type="http://schemas.openxmlformats.org/officeDocument/2006/relationships/image" Target="media/image60.png"/><Relationship Id="rId3" Type="http://schemas.openxmlformats.org/officeDocument/2006/relationships/settings" Target="settings.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image" Target="media/image6.pn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about:blank" TargetMode="External"/><Relationship Id="rId20" Type="http://schemas.openxmlformats.org/officeDocument/2006/relationships/image" Target="media/image30.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24" Type="http://schemas.openxmlformats.org/officeDocument/2006/relationships/image" Target="media/image50.png"/><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5.png"/><Relationship Id="rId28" Type="http://schemas.openxmlformats.org/officeDocument/2006/relationships/header" Target="header1.xml"/><Relationship Id="rId19" Type="http://schemas.openxmlformats.org/officeDocument/2006/relationships/image" Target="media/image3.png"/><Relationship Id="rId31" Type="http://schemas.openxmlformats.org/officeDocument/2006/relationships/footer" Target="footer2.xml"/><Relationship Id="rId4" Type="http://schemas.openxmlformats.org/officeDocument/2006/relationships/webSettings" Target="webSettings.xml"/><Relationship Id="rId22" Type="http://schemas.openxmlformats.org/officeDocument/2006/relationships/image" Target="media/image40.png"/><Relationship Id="rId27" Type="http://schemas.openxmlformats.org/officeDocument/2006/relationships/hyperlink" Target="consultantplus://offline/ref=B3C223EEA16C809702B1F50B25F6DEAC2D9B1BCA94925FD717EB04B7D37F30B694608ABEE2F92AC4FB377697B4W9z4H"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EF0CB-0B4D-4B75-AD0D-8CC7CEEFB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1573</Words>
  <Characters>8967</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Анна</cp:lastModifiedBy>
  <cp:revision>2</cp:revision>
  <dcterms:created xsi:type="dcterms:W3CDTF">2026-09-22T09:31:00Z</dcterms:created>
  <dcterms:modified xsi:type="dcterms:W3CDTF">2026-09-22T09:31:00Z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eyJoZGlkIjoiOGNiNGEzYzcxMGVmNjk5NjkxZDIxM2FjMzlkMmQ4NzYifQ==</vt:lpwstr>
  </property>
  <property fmtid="{D5CDD505-2E9C-101B-9397-08002B2CF9AE}" pid="3" name="KSOProductBuildVer">
    <vt:lpwstr>1049-12.1.0.28032</vt:lpwstr>
  </property>
  <property fmtid="{D5CDD505-2E9C-101B-9397-08002B2CF9AE}" pid="4" name="ICV">
    <vt:lpwstr>B89F0EE8A049410790EAF48F4218FBF1_13</vt:lpwstr>
  </property>
</Properties>
</file>