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330" w:rsidRDefault="008B45D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zh-CN"/>
        </w:rPr>
        <w:t xml:space="preserve">Описание объекта закупки </w:t>
      </w:r>
    </w:p>
    <w:p w:rsidR="00BF0330" w:rsidRDefault="008B45DA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Поставка лекарственных средств для ветеринарного применения для обеспечения проведения противоэпизоотических мероприятий в 2026 году.</w:t>
      </w:r>
    </w:p>
    <w:p w:rsidR="00BF0330" w:rsidRDefault="008B45DA">
      <w:pPr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Вакцина для профилактической оральной иммунизации против бешенства диких плотоядных животных</w:t>
      </w:r>
      <w:r>
        <w:rPr>
          <w:rFonts w:ascii="Times New Roman" w:eastAsia="Arial Unicode MS" w:hAnsi="Times New Roman"/>
          <w:sz w:val="24"/>
          <w:szCs w:val="24"/>
        </w:rPr>
        <w:t>.</w:t>
      </w:r>
    </w:p>
    <w:p w:rsidR="00BF0330" w:rsidRDefault="008B45DA">
      <w:pPr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качественным характеристикам вакцины для профилактической оральной иммунизации против бешенства диких плотоядных животных, требуемой к поставке, включая максимальные и (или) минимальные значения показателей, позволяющих определить соответствие</w:t>
      </w:r>
      <w:r>
        <w:rPr>
          <w:rFonts w:ascii="Times New Roman" w:hAnsi="Times New Roman"/>
          <w:b/>
          <w:bCs/>
          <w:sz w:val="24"/>
          <w:szCs w:val="24"/>
        </w:rPr>
        <w:t xml:space="preserve"> закупаемых товаров установленным Государственным заказчиком требованиям, а также значения таких показателей, которые не могут изменяться</w:t>
      </w: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016"/>
        <w:gridCol w:w="6550"/>
      </w:tblGrid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Требования</w:t>
            </w:r>
          </w:p>
        </w:tc>
      </w:tr>
      <w:tr w:rsidR="00BF0330">
        <w:trPr>
          <w:trHeight w:val="40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средства для ветеринарного применения в соотв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етствии с нормативным документом (НД)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лекарственного средства для ветеринарного применения в соответствии с наименованием, указанным в государственном реестре лекарственных средств для ветеринарного применения и ре</w:t>
            </w:r>
            <w:r>
              <w:rPr>
                <w:rFonts w:ascii="Times New Roman" w:hAnsi="Times New Roman"/>
                <w:sz w:val="24"/>
                <w:szCs w:val="24"/>
              </w:rPr>
              <w:t>гистрационном удостоверении лекарственного средства для ветеринарного применения, выданном Федеральной службой по ветеринарному и фитосанитарному надзору в соответствии с Федеральным законом от 12 апреля 2010 г. № 61-ФЗ «Об обращении лекарственных средств»</w:t>
            </w:r>
          </w:p>
        </w:tc>
      </w:tr>
      <w:tr w:rsidR="00BF0330">
        <w:trPr>
          <w:trHeight w:val="40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 и срок </w:t>
            </w:r>
          </w:p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документа, </w:t>
            </w:r>
          </w:p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подтверждающего </w:t>
            </w:r>
          </w:p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государственную </w:t>
            </w:r>
          </w:p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регистрацию 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Указать номер и дату окончания действия документа, подтверждающего государственную регистрацию лекарственного средства для ветеринар</w:t>
            </w:r>
            <w:r>
              <w:rPr>
                <w:rFonts w:ascii="Times New Roman" w:hAnsi="Times New Roman"/>
                <w:sz w:val="24"/>
                <w:szCs w:val="24"/>
              </w:rPr>
              <w:t>ного применения, выданного Федеральной службой по ветеринарному и фитосанитарному надзору в соответствии с Федеральным законом от 12 апреля 2010 г. № 61-ФЗ «Об обращении лекарственных средств» (срок действия не должен быть истекшим на момент подачи заявки)</w:t>
            </w:r>
          </w:p>
        </w:tc>
      </w:tr>
      <w:tr w:rsidR="00BF0330">
        <w:trPr>
          <w:trHeight w:val="401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Международное непатентованное наименование или при отсутствии такого наименование химическое, группировочное наименование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Вакцина*</w:t>
            </w:r>
          </w:p>
        </w:tc>
      </w:tr>
      <w:tr w:rsidR="00BF0330">
        <w:trPr>
          <w:trHeight w:val="401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Депонирование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Штамм, используемый при производстве зарегистрированного в установленном порядке и допущенных к обращению на территории Российской Федерации лекарственного средства для ветеринарного применения, должен быть депонирован в коллекции </w:t>
            </w:r>
            <w:hyperlink r:id="rId7" w:history="1">
              <w:r>
                <w:rPr>
                  <w:rFonts w:ascii="Times New Roman" w:hAnsi="Times New Roman"/>
                  <w:sz w:val="24"/>
                  <w:szCs w:val="24"/>
                </w:rPr>
                <w:br w:type="textWrapping" w:clear="all"/>
              </w:r>
              <w:r>
                <w:rPr>
                  <w:rFonts w:ascii="Times New Roman" w:hAnsi="Times New Roman"/>
                  <w:sz w:val="24"/>
                  <w:szCs w:val="24"/>
                </w:rPr>
                <w:t>в соответствии со ст. 11 Федерального закона от 30 декабря 2020 г. № 492-ФЗ «О биологической безопасности в Российской Ф</w:t>
              </w:r>
              <w:r>
                <w:rPr>
                  <w:rFonts w:ascii="Times New Roman" w:hAnsi="Times New Roman"/>
                  <w:sz w:val="24"/>
                  <w:szCs w:val="24"/>
                </w:rPr>
                <w:t xml:space="preserve">едерации» </w:t>
              </w:r>
            </w:hyperlink>
          </w:p>
        </w:tc>
      </w:tr>
      <w:tr w:rsidR="00BF0330">
        <w:trPr>
          <w:trHeight w:val="42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бешенства диких плотоядных животных</w:t>
            </w:r>
          </w:p>
        </w:tc>
      </w:tr>
      <w:tr w:rsidR="00BF0330">
        <w:trPr>
          <w:trHeight w:val="34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характеристики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Брикет-приманка. </w:t>
            </w:r>
          </w:p>
        </w:tc>
      </w:tr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Инфекционная активность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одной иммунизирующей дозе должно содержаться не менее 10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6,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0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50/ см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или 10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6,0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FFU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50/ см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3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6,0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ККИД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50/ см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аттенуированного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вируса бешенства</w:t>
            </w:r>
          </w:p>
          <w:p w:rsidR="00BF0330" w:rsidRDefault="00BF03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иммунитета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менее 6 месяцев</w:t>
            </w:r>
          </w:p>
        </w:tc>
      </w:tr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Фасовка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1 дозы</w:t>
            </w:r>
          </w:p>
        </w:tc>
      </w:tr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10 месяцев</w:t>
            </w:r>
          </w:p>
        </w:tc>
      </w:tr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Запах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Специфический, привлекательный для плотоядных</w:t>
            </w:r>
          </w:p>
        </w:tc>
      </w:tr>
      <w:tr w:rsidR="00BF0330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Безвредность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Должна быть безвредна</w:t>
            </w:r>
          </w:p>
        </w:tc>
      </w:tr>
      <w:tr w:rsidR="00BF0330">
        <w:trPr>
          <w:trHeight w:val="276"/>
          <w:jc w:val="center"/>
        </w:trPr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180 000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</w:tbl>
    <w:p w:rsidR="00BF0330" w:rsidRDefault="00BF0330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0330" w:rsidRDefault="008B45DA">
      <w:pPr>
        <w:tabs>
          <w:tab w:val="left" w:pos="1276"/>
        </w:tabs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</w:rPr>
      </w:pPr>
      <w:r>
        <w:rPr>
          <w:rFonts w:ascii="Times New Roman" w:eastAsia="Arial Unicode MS" w:hAnsi="Times New Roman"/>
          <w:sz w:val="20"/>
          <w:szCs w:val="20"/>
          <w:lang w:eastAsia="ru-RU"/>
        </w:rPr>
        <w:t>* указывается в соответствии с регистрационным удостоверением лекарственного препарата для ветеринарного применения</w:t>
      </w:r>
    </w:p>
    <w:p w:rsidR="00BF0330" w:rsidRDefault="00BF0330">
      <w:pPr>
        <w:tabs>
          <w:tab w:val="left" w:pos="127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Поставщик обеспечивает условия хранения товаров во время транспортировки</w:t>
      </w:r>
      <w:r>
        <w:rPr>
          <w:rFonts w:ascii="Times New Roman" w:eastAsia="Times New Roman" w:hAnsi="Times New Roman"/>
          <w:color w:val="000000"/>
          <w:sz w:val="24"/>
          <w:szCs w:val="24"/>
        </w:rPr>
        <w:t>, включая температурный режим.</w:t>
      </w:r>
    </w:p>
    <w:p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В целях отслеживания и контроля оборота Товара на всех этапах, Товар должен проходить через систему маркировки ветеринарных препаратов «Честный знак».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Маркировка Товара содержит наименование изделия, наименование фирмы-изгото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вителя, юридический адрес изготовителя, дату выпуска и гарантийный срок службы. Маркировка упаковки строго соответствует маркировке Товара.</w:t>
      </w:r>
    </w:p>
    <w:p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Упаковка содержит информацию о наименовании и товарном знаке предприятия-изготовителя, полное наименование препарата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>, номер серии, номер контроля, количество доз препарата, дата изготовления (мес., год), срок годности, условия хранения и транспортирования. В упаковку вложена инструкция по применению вакцины.</w:t>
      </w:r>
    </w:p>
    <w:p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Вакцина, поставляемая без маркировки, с нарушением целостности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упаковки, условий хранения и/или истекшим сроком годности подлежит утилизации Поставщиком за счет собственных средств.</w:t>
      </w:r>
    </w:p>
    <w:p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Остаточный срок годности не менее 10 месяцев на момент поставки.</w:t>
      </w:r>
    </w:p>
    <w:p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Товар при поставке должен сопровождаться следующими документами:</w:t>
      </w:r>
    </w:p>
    <w:p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инст</w:t>
      </w:r>
      <w:r>
        <w:rPr>
          <w:rFonts w:ascii="Times New Roman" w:eastAsia="Times New Roman" w:hAnsi="Times New Roman"/>
          <w:color w:val="000000"/>
          <w:sz w:val="24"/>
          <w:szCs w:val="24"/>
        </w:rPr>
        <w:t>рукция по применению препаратов на русском языке;</w:t>
      </w:r>
    </w:p>
    <w:p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регистрационное удостоверение;</w:t>
      </w:r>
    </w:p>
    <w:p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сертификат соответствия на товар;</w:t>
      </w:r>
    </w:p>
    <w:p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документ, подтверждающий качество поставленной серии Товара.</w:t>
      </w:r>
    </w:p>
    <w:p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. К поставке принимаются лекарственные препараты для ветерина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рного применения, имеющие регистрационное удостоверение лекарственного препарата для ветеринарного применения, выданного уполномоченным органом государством-членом Евразийского экономического союза.</w:t>
      </w:r>
    </w:p>
    <w:p w:rsidR="00BF0330" w:rsidRDefault="008B45DA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Поставщик обязан осуществить доставку товаров до места на</w:t>
      </w:r>
      <w:r>
        <w:rPr>
          <w:rFonts w:ascii="Times New Roman" w:eastAsia="Times New Roman" w:hAnsi="Times New Roman"/>
          <w:sz w:val="24"/>
          <w:szCs w:val="24"/>
        </w:rPr>
        <w:t xml:space="preserve">значения способом, обеспечивающим их сохранность </w:t>
      </w:r>
      <w:r>
        <w:rPr>
          <w:rFonts w:ascii="Times New Roman" w:eastAsia="Times New Roman" w:hAnsi="Times New Roman"/>
          <w:b/>
          <w:sz w:val="24"/>
          <w:szCs w:val="24"/>
        </w:rPr>
        <w:t>без повторного замораживания</w:t>
      </w:r>
      <w:r>
        <w:rPr>
          <w:rFonts w:ascii="Times New Roman" w:eastAsia="Times New Roman" w:hAnsi="Times New Roman"/>
          <w:sz w:val="24"/>
          <w:szCs w:val="24"/>
        </w:rPr>
        <w:t>, т. е. обеспечить транспортировку при температуре от минус 10°С до минус 20°С.</w:t>
      </w:r>
    </w:p>
    <w:p w:rsidR="00BF0330" w:rsidRDefault="008B45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случае передачи товара ненадлежащего качества Поставщик обязан своими средствами и за свой произв</w:t>
      </w:r>
      <w:r>
        <w:rPr>
          <w:rFonts w:ascii="Times New Roman" w:eastAsia="Times New Roman" w:hAnsi="Times New Roman"/>
          <w:sz w:val="24"/>
          <w:szCs w:val="24"/>
        </w:rPr>
        <w:t>ести замену некачественного товара на качественный.</w:t>
      </w:r>
    </w:p>
    <w:p w:rsidR="00BF0330" w:rsidRDefault="008B4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Поставка Товара, все виды погрузоразгрузочных работ,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включая  работы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 применением  грузоподъемных средств, осуществляется силами и средствами Поставщика</w:t>
      </w:r>
      <w:r>
        <w:rPr>
          <w:rFonts w:ascii="Times New Roman" w:eastAsia="Times New Roman" w:hAnsi="Times New Roman"/>
          <w:sz w:val="24"/>
          <w:szCs w:val="24"/>
        </w:rPr>
        <w:t>. Местом поставки товара и местом исполнения обязат</w:t>
      </w:r>
      <w:r>
        <w:rPr>
          <w:rFonts w:ascii="Times New Roman" w:eastAsia="Times New Roman" w:hAnsi="Times New Roman"/>
          <w:sz w:val="24"/>
          <w:szCs w:val="24"/>
        </w:rPr>
        <w:t xml:space="preserve">ельств по настоящему Договору (далее – место поставки) является ГБУ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ЗО  «</w:t>
      </w:r>
      <w:proofErr w:type="gramEnd"/>
      <w:r>
        <w:rPr>
          <w:rFonts w:ascii="Times New Roman" w:eastAsia="Times New Roman" w:hAnsi="Times New Roman"/>
          <w:sz w:val="24"/>
          <w:szCs w:val="24"/>
        </w:rPr>
        <w:t>Ветеринарный центр» с адресами:</w:t>
      </w:r>
    </w:p>
    <w:p w:rsidR="00BF0330" w:rsidRDefault="008B45DA">
      <w:pPr>
        <w:pStyle w:val="ConsPlusNonformat"/>
        <w:numPr>
          <w:ilvl w:val="0"/>
          <w:numId w:val="7"/>
        </w:numPr>
        <w:tabs>
          <w:tab w:val="num" w:pos="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офис - </w:t>
      </w:r>
      <w:r>
        <w:rPr>
          <w:rFonts w:ascii="Times New Roman" w:hAnsi="Times New Roman" w:cs="Times New Roman"/>
          <w:sz w:val="24"/>
          <w:szCs w:val="24"/>
        </w:rPr>
        <w:t xml:space="preserve">Запорожская область, г. Мелитополь,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Седовцев</w:t>
      </w:r>
      <w:proofErr w:type="spellEnd"/>
      <w:r>
        <w:rPr>
          <w:rFonts w:ascii="Times New Roman" w:hAnsi="Times New Roman" w:cs="Times New Roman"/>
          <w:sz w:val="24"/>
          <w:szCs w:val="24"/>
        </w:rPr>
        <w:t>, д.101/1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 г. Мелитополь</w:t>
      </w:r>
      <w:r>
        <w:rPr>
          <w:rFonts w:ascii="Times New Roman" w:eastAsia="Times New Roman" w:hAnsi="Times New Roman"/>
          <w:color w:val="000000" w:themeColor="text1"/>
          <w:position w:val="1"/>
          <w:sz w:val="24"/>
          <w:szCs w:val="24"/>
        </w:rPr>
        <w:t xml:space="preserve">, </w:t>
      </w:r>
      <w:bookmarkStart w:id="1" w:name="_Hlk154585221"/>
      <w:r>
        <w:rPr>
          <w:rFonts w:ascii="Times New Roman" w:eastAsia="Times New Roman" w:hAnsi="Times New Roman"/>
          <w:color w:val="000000" w:themeColor="text1"/>
          <w:position w:val="1"/>
          <w:sz w:val="24"/>
          <w:szCs w:val="24"/>
        </w:rPr>
        <w:t>расположенный по адресу:</w:t>
      </w:r>
      <w:bookmarkEnd w:id="1"/>
      <w:r>
        <w:rPr>
          <w:rFonts w:ascii="Times New Roman" w:eastAsia="Times New Roman" w:hAnsi="Times New Roman"/>
          <w:color w:val="000000" w:themeColor="text1"/>
          <w:position w:val="-1"/>
          <w:sz w:val="24"/>
          <w:szCs w:val="24"/>
        </w:rPr>
        <w:t xml:space="preserve"> 272313, Российская Федерация, Запорожская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область, г. Мелитополь, ул. Ломоносова, 101.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Мелитопольском районе, расположенный по адресу: 272309, Российская Федерация, Запорожская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область, г. Мелитополь, ул.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Седовцев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, 101/1.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Веселовском районе, расположенный по адресу: 272202, Российская Федерация, Запорожская область, Веселовский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Веселое, ул. Пушкина, 2А.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 xml:space="preserve">Филиал ГБУ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Запорожской области «Ветеринарный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центр»   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                              в Приазовском районе, расположенный по адресу: 272401, Российская Федерация, Запорожская область, Приазовский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Приазовское, ул. Богдана Хмельницкого, 21.</w:t>
      </w:r>
    </w:p>
    <w:p w:rsidR="00BF0330" w:rsidRDefault="008B45DA">
      <w:pPr>
        <w:widowControl w:val="0"/>
        <w:tabs>
          <w:tab w:val="left" w:pos="716"/>
        </w:tabs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У Запорожской области «Ветеринарный центр» в 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Акимовском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районе, расположенный по адресу: 272503, Российская Федерация, Запорожская область,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Акимовский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Акимовка, ул. Центральная (Ленина), 170.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 Васильевском районе, расположенный по адресу: 271601, Российская Федерация, Запорожская область, Васильевский район, с. Подгорное,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Ветгородок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, 2.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Михайловском районе, расположенный по адресу: 272002,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Российская Федерация, Запорожская область, Михайловский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Михайловка, ул. Артезианская, 8.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Каменско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-Днепровском районе, расположенный по адресу: 271304, Российская Федерация, Запорожская облас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ть,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Каменско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-Днепровский район, г. Каменка-Днепровская, ул. Маяковского, 71.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3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 городе Бердянске и Бердянском районе, расположенный по адресу: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271100,  Российская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Федерация, Запорожская область, г. Бердянс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к, ул. Коммунаров, 1-А.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5"/>
          <w:tab w:val="left" w:pos="309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Черниговском районе, расположенный по адресу: 271202, Российская Федерация, Запорожская область, Черниговский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Черниговка, ул. Украинская, 94.</w:t>
      </w:r>
    </w:p>
    <w:p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бласти «Ветеринарный центр» в Приморском районе, расположенный по адресу: 272102, Российская Федерация, Запорожская область, Приморский район, г. Приморск, ул. Мелитопольское шоссе, 13.</w:t>
      </w:r>
    </w:p>
    <w:p w:rsidR="00BF0330" w:rsidRDefault="008B45DA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 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Токмакском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район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е, расположенный по адресу: 271700, Российская Федерация, Запорожская область,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Токмакский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район, г. Токмак, ул. Степная, 4.</w:t>
      </w:r>
    </w:p>
    <w:p w:rsidR="00BF0330" w:rsidRDefault="008B45DA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 Куйбышевском районе, расположенный по адресу: 271001, Российская Федерация, За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порожская область, Куйбышевский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Куйбышево, ул. Николая Шумейко, 96.</w:t>
      </w:r>
    </w:p>
    <w:p w:rsidR="00BF0330" w:rsidRDefault="00BF03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0330" w:rsidRDefault="008B45D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Поставка осуществляется в течение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10  дней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со дня, следующего за днем получения заявки от заказчика на адрес электронной почты поставщика</w:t>
      </w:r>
      <w:r>
        <w:rPr>
          <w:rFonts w:ascii="Times New Roman" w:eastAsia="Times New Roman" w:hAnsi="Times New Roman"/>
          <w:sz w:val="24"/>
          <w:szCs w:val="24"/>
        </w:rPr>
        <w:t xml:space="preserve">. В заявке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Заказки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должен указать количество Товара, доставляемого по каждому адресу и контактные данные ответственных должностных лиц Заказчика в каждом филиале, при этом весь товар должен быть доставлен единоразово в сжатые сроки. Поставщик за один рабоч</w:t>
      </w:r>
      <w:r>
        <w:rPr>
          <w:rFonts w:ascii="Times New Roman" w:eastAsia="Times New Roman" w:hAnsi="Times New Roman"/>
          <w:sz w:val="24"/>
          <w:szCs w:val="24"/>
        </w:rPr>
        <w:t xml:space="preserve">ий день до даты предполагаемой поставки извещает ответственных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сотрудноков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Заказчика о поставке Товара.</w:t>
      </w:r>
    </w:p>
    <w:p w:rsidR="00BF0330" w:rsidRDefault="00BF03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0330" w:rsidRDefault="00BF0330">
      <w:pPr>
        <w:rPr>
          <w:sz w:val="24"/>
          <w:szCs w:val="24"/>
        </w:rPr>
      </w:pPr>
    </w:p>
    <w:p w:rsidR="00BF0330" w:rsidRDefault="00BF0330">
      <w:pPr>
        <w:rPr>
          <w:sz w:val="24"/>
          <w:szCs w:val="24"/>
        </w:rPr>
      </w:pPr>
    </w:p>
    <w:sectPr w:rsidR="00BF0330">
      <w:endnotePr>
        <w:numFmt w:val="decimal"/>
      </w:endnotePr>
      <w:pgSz w:w="11906" w:h="16838"/>
      <w:pgMar w:top="851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5DA" w:rsidRDefault="008B45DA">
      <w:pPr>
        <w:spacing w:after="0" w:line="240" w:lineRule="auto"/>
      </w:pPr>
      <w:r>
        <w:separator/>
      </w:r>
    </w:p>
  </w:endnote>
  <w:endnote w:type="continuationSeparator" w:id="0">
    <w:p w:rsidR="008B45DA" w:rsidRDefault="008B4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5DA" w:rsidRDefault="008B45DA">
      <w:r>
        <w:separator/>
      </w:r>
    </w:p>
  </w:footnote>
  <w:footnote w:type="continuationSeparator" w:id="0">
    <w:p w:rsidR="008B45DA" w:rsidRDefault="008B4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73721"/>
    <w:multiLevelType w:val="multilevel"/>
    <w:tmpl w:val="64A469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B1823"/>
    <w:multiLevelType w:val="multilevel"/>
    <w:tmpl w:val="F528C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4732"/>
    <w:multiLevelType w:val="multilevel"/>
    <w:tmpl w:val="95D2FE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8183581"/>
    <w:multiLevelType w:val="multilevel"/>
    <w:tmpl w:val="1810A05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9EC6C53"/>
    <w:multiLevelType w:val="multilevel"/>
    <w:tmpl w:val="4F3E8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643504"/>
    <w:multiLevelType w:val="multilevel"/>
    <w:tmpl w:val="8CA40A4E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93130CC"/>
    <w:multiLevelType w:val="multilevel"/>
    <w:tmpl w:val="BA5E3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30"/>
    <w:rsid w:val="00722292"/>
    <w:rsid w:val="008B45DA"/>
    <w:rsid w:val="00BF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8A2A6-7F18-468D-88FD-22755B6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left="7783"/>
      <w:outlineLvl w:val="6"/>
    </w:pPr>
    <w:rPr>
      <w:rFonts w:ascii="Times New Roman" w:eastAsia="Times New Roman" w:hAnsi="Times New Roman"/>
      <w:color w:val="000000"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lang w:eastAsia="ru-RU"/>
    </w:rPr>
  </w:style>
  <w:style w:type="paragraph" w:styleId="aff3">
    <w:name w:val="Balloon Text"/>
    <w:basedOn w:val="a"/>
    <w:link w:val="aff4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link w:val="aff3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4"/>
      <w:szCs w:val="24"/>
      <w:lang w:val="en-US" w:eastAsia="en-US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60">
    <w:name w:val="Заголовок 6 Знак"/>
    <w:link w:val="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character" w:customStyle="1" w:styleId="af6">
    <w:name w:val="Нижний колонтитул Знак"/>
    <w:link w:val="af5"/>
    <w:uiPriority w:val="9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5">
    <w:name w:val="Body Text Indent"/>
    <w:basedOn w:val="a"/>
    <w:link w:val="aff6"/>
    <w:pPr>
      <w:spacing w:after="0" w:line="240" w:lineRule="auto"/>
      <w:ind w:left="77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6">
    <w:name w:val="Основной текст с отступом Знак"/>
    <w:link w:val="af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page number"/>
    <w:basedOn w:val="a0"/>
  </w:style>
  <w:style w:type="character" w:customStyle="1" w:styleId="af4">
    <w:name w:val="Верхний колонтитул Знак"/>
    <w:link w:val="af3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9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js-phone-number">
    <w:name w:val="js-phone-number"/>
  </w:style>
  <w:style w:type="numbering" w:customStyle="1" w:styleId="25">
    <w:name w:val="Нет списка2"/>
    <w:next w:val="a2"/>
    <w:semiHidden/>
    <w:unhideWhenUsed/>
  </w:style>
  <w:style w:type="numbering" w:customStyle="1" w:styleId="33">
    <w:name w:val="Нет списка3"/>
    <w:next w:val="a2"/>
    <w:semiHidden/>
  </w:style>
  <w:style w:type="table" w:customStyle="1" w:styleId="14">
    <w:name w:val="Сетка таблицы1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3">
    <w:name w:val="Нет списка4"/>
    <w:next w:val="a2"/>
    <w:semiHidden/>
  </w:style>
  <w:style w:type="table" w:customStyle="1" w:styleId="26">
    <w:name w:val="Сетка таблицы2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3">
    <w:name w:val="Нет списка5"/>
    <w:next w:val="a2"/>
    <w:semiHidden/>
  </w:style>
  <w:style w:type="table" w:customStyle="1" w:styleId="34">
    <w:name w:val="Сетка таблицы3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">
    <w:name w:val="Нет списка6"/>
    <w:next w:val="a2"/>
    <w:semiHidden/>
  </w:style>
  <w:style w:type="table" w:customStyle="1" w:styleId="44">
    <w:name w:val="Сетка таблицы4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">
    <w:name w:val="Нет списка7"/>
    <w:next w:val="a2"/>
    <w:semiHidden/>
  </w:style>
  <w:style w:type="table" w:customStyle="1" w:styleId="54">
    <w:name w:val="Сетка таблицы5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a">
    <w:name w:val="annotation reference"/>
    <w:uiPriority w:val="99"/>
    <w:unhideWhenUsed/>
    <w:rPr>
      <w:sz w:val="16"/>
      <w:szCs w:val="16"/>
    </w:rPr>
  </w:style>
  <w:style w:type="paragraph" w:styleId="affb">
    <w:name w:val="annotation text"/>
    <w:basedOn w:val="a"/>
    <w:link w:val="affc"/>
    <w:uiPriority w:val="99"/>
    <w:unhideWhenUsed/>
    <w:rPr>
      <w:sz w:val="20"/>
      <w:szCs w:val="20"/>
    </w:rPr>
  </w:style>
  <w:style w:type="character" w:customStyle="1" w:styleId="affc">
    <w:name w:val="Текст примечания Знак"/>
    <w:link w:val="affb"/>
    <w:uiPriority w:val="99"/>
    <w:rPr>
      <w:lang w:eastAsia="en-US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Pr>
      <w:b/>
      <w:bCs/>
    </w:rPr>
  </w:style>
  <w:style w:type="character" w:customStyle="1" w:styleId="affe">
    <w:name w:val="Тема примечания Знак"/>
    <w:link w:val="affd"/>
    <w:uiPriority w:val="99"/>
    <w:semiHidden/>
    <w:rPr>
      <w:b/>
      <w:bCs/>
      <w:lang w:eastAsia="en-US"/>
    </w:rPr>
  </w:style>
  <w:style w:type="numbering" w:customStyle="1" w:styleId="82">
    <w:name w:val="Нет списка8"/>
    <w:next w:val="a2"/>
    <w:semiHidden/>
  </w:style>
  <w:style w:type="numbering" w:customStyle="1" w:styleId="92">
    <w:name w:val="Нет списка9"/>
    <w:next w:val="a2"/>
    <w:semiHidden/>
    <w:unhideWhenUsed/>
  </w:style>
  <w:style w:type="numbering" w:customStyle="1" w:styleId="100">
    <w:name w:val="Нет списка10"/>
    <w:next w:val="a2"/>
    <w:semiHidden/>
  </w:style>
  <w:style w:type="paragraph" w:customStyle="1" w:styleId="afff">
    <w:name w:val="Знак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16AF726A270D4FE2A8AD19640B42D0D28809D77E9F24C4E2837658E0703B0DD65A1CF69DA91AE599BA956BDDD3609C518853F5A42FFD7968s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Извекова Ксения Андреевна</dc:creator>
  <cp:lastModifiedBy>Анна</cp:lastModifiedBy>
  <cp:revision>2</cp:revision>
  <dcterms:created xsi:type="dcterms:W3CDTF">2026-09-22T09:31:00Z</dcterms:created>
  <dcterms:modified xsi:type="dcterms:W3CDTF">2026-09-22T09:31:00Z</dcterms:modified>
  <cp:version>983040</cp:version>
</cp:coreProperties>
</file>