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1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Style15"/>
        <w:tabs>
          <w:tab w:val="clear" w:pos="708"/>
          <w:tab w:val="left" w:pos="6276" w:leader="none"/>
          <w:tab w:val="left" w:pos="7697" w:leader="none"/>
        </w:tabs>
        <w:spacing w:lineRule="auto" w:line="216" w:before="88" w:after="0"/>
        <w:ind w:left="3686" w:right="-1" w:hanging="0"/>
        <w:jc w:val="right"/>
        <w:rPr>
          <w:spacing w:val="-8"/>
          <w:w w:val="90"/>
        </w:rPr>
      </w:pPr>
      <w:r>
        <w:rPr>
          <w:w w:val="90"/>
        </w:rPr>
        <w:t>Приложение</w:t>
      </w:r>
      <w:r>
        <w:rPr>
          <w:spacing w:val="-7"/>
        </w:rPr>
        <w:t xml:space="preserve"> </w:t>
      </w:r>
      <w:r>
        <w:rPr>
          <w:w w:val="90"/>
        </w:rPr>
        <w:t>№1</w:t>
      </w:r>
      <w:r>
        <w:rPr>
          <w:spacing w:val="-11"/>
          <w:w w:val="90"/>
        </w:rPr>
        <w:t xml:space="preserve"> </w:t>
      </w:r>
      <w:r>
        <w:rPr>
          <w:w w:val="90"/>
        </w:rPr>
        <w:t>к</w:t>
      </w:r>
      <w:r>
        <w:rPr>
          <w:spacing w:val="-10"/>
          <w:w w:val="90"/>
        </w:rPr>
        <w:t xml:space="preserve"> </w:t>
      </w:r>
      <w:r>
        <w:rPr>
          <w:w w:val="90"/>
        </w:rPr>
        <w:t>договору</w:t>
      </w:r>
      <w:r>
        <w:rPr>
          <w:spacing w:val="-10"/>
          <w:w w:val="90"/>
        </w:rPr>
        <w:t xml:space="preserve"> </w:t>
      </w:r>
      <w:r>
        <w:rPr>
          <w:w w:val="90"/>
        </w:rPr>
        <w:t xml:space="preserve">№_____ от </w:t>
      </w:r>
      <w:r>
        <w:rPr>
          <w:spacing w:val="20"/>
          <w:w w:val="95"/>
        </w:rPr>
        <w:t>«</w:t>
      </w:r>
      <w:r>
        <w:rPr>
          <w:w w:val="90"/>
        </w:rPr>
        <w:t>_____</w:t>
      </w:r>
      <w:r>
        <w:rPr>
          <w:w w:val="95"/>
        </w:rPr>
        <w:t>»</w:t>
      </w:r>
      <w:r>
        <w:rPr>
          <w:w w:val="90"/>
        </w:rPr>
        <w:t>__________2026</w:t>
      </w:r>
      <w:r>
        <w:rPr>
          <w:spacing w:val="2"/>
        </w:rPr>
        <w:t xml:space="preserve"> </w:t>
      </w:r>
      <w:r>
        <w:rPr>
          <w:spacing w:val="-8"/>
          <w:w w:val="90"/>
        </w:rPr>
        <w:t>года</w:t>
      </w:r>
    </w:p>
    <w:p>
      <w:pPr>
        <w:pStyle w:val="Style15"/>
        <w:tabs>
          <w:tab w:val="clear" w:pos="708"/>
          <w:tab w:val="left" w:pos="6276" w:leader="none"/>
          <w:tab w:val="left" w:pos="7697" w:leader="none"/>
        </w:tabs>
        <w:spacing w:lineRule="auto" w:line="216" w:before="88" w:after="0"/>
        <w:ind w:left="3686" w:right="-1" w:hanging="0"/>
        <w:jc w:val="right"/>
        <w:rPr>
          <w:spacing w:val="-8"/>
          <w:w w:val="90"/>
        </w:rPr>
      </w:pPr>
      <w:r>
        <w:rPr>
          <w:spacing w:val="-8"/>
          <w:w w:val="90"/>
        </w:rPr>
      </w:r>
    </w:p>
    <w:p>
      <w:pPr>
        <w:pStyle w:val="Style15"/>
        <w:tabs>
          <w:tab w:val="clear" w:pos="708"/>
          <w:tab w:val="left" w:pos="6276" w:leader="none"/>
          <w:tab w:val="left" w:pos="7697" w:leader="none"/>
        </w:tabs>
        <w:spacing w:lineRule="auto" w:line="216" w:before="88" w:after="0"/>
        <w:ind w:left="4820" w:right="953" w:hanging="0"/>
        <w:jc w:val="right"/>
        <w:rPr/>
      </w:pPr>
      <w:r>
        <w:rPr/>
      </w:r>
    </w:p>
    <w:tbl>
      <w:tblPr>
        <w:tblStyle w:val="a5"/>
        <w:tblW w:w="10539" w:type="dxa"/>
        <w:jc w:val="left"/>
        <w:tblInd w:w="-679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323"/>
        <w:gridCol w:w="5215"/>
      </w:tblGrid>
      <w:tr>
        <w:trPr/>
        <w:tc>
          <w:tcPr>
            <w:tcW w:w="53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Style15"/>
              <w:rPr>
                <w:lang w:val="ru-RU"/>
              </w:rPr>
            </w:pPr>
            <w:r>
              <w:rPr>
                <w:b/>
                <w:spacing w:val="-2"/>
                <w:lang w:val="ru-RU"/>
              </w:rPr>
              <w:t>Утверждено:</w:t>
            </w:r>
          </w:p>
          <w:p>
            <w:pPr>
              <w:pStyle w:val="Style15"/>
              <w:rPr>
                <w:spacing w:val="-2"/>
                <w:lang w:val="ru-RU"/>
              </w:rPr>
            </w:pPr>
            <w:r>
              <w:rPr>
                <w:spacing w:val="-2"/>
                <w:lang w:val="ru-RU"/>
              </w:rPr>
            </w:r>
          </w:p>
          <w:p>
            <w:pPr>
              <w:pStyle w:val="Style15"/>
              <w:rPr>
                <w:lang w:val="ru-RU"/>
              </w:rPr>
            </w:pPr>
            <w:r>
              <w:rPr>
                <w:spacing w:val="-2"/>
                <w:lang w:val="ru-RU"/>
              </w:rPr>
              <w:t>Генеральный директор ООО «Энерготранс»</w:t>
            </w:r>
          </w:p>
          <w:p>
            <w:pPr>
              <w:pStyle w:val="Style15"/>
              <w:rPr>
                <w:lang w:val="ru-RU"/>
              </w:rPr>
            </w:pPr>
            <w:r>
              <w:rPr>
                <w:lang w:val="ru-RU"/>
              </w:rPr>
            </w:r>
          </w:p>
          <w:p>
            <w:pPr>
              <w:pStyle w:val="Style15"/>
              <w:rPr>
                <w:lang w:val="ru-RU"/>
              </w:rPr>
            </w:pPr>
            <w:r>
              <w:rPr>
                <w:lang w:val="ru-RU"/>
              </w:rPr>
              <w:t>________________ Похвищев Р.А.</w:t>
            </w:r>
          </w:p>
        </w:tc>
        <w:tc>
          <w:tcPr>
            <w:tcW w:w="52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Style15"/>
              <w:rPr>
                <w:b/>
                <w:b/>
                <w:spacing w:val="-2"/>
              </w:rPr>
            </w:pPr>
            <w:r>
              <w:rPr>
                <w:b/>
                <w:spacing w:val="-2"/>
                <w:lang w:val="ru-RU"/>
              </w:rPr>
              <w:t>Согласовано</w:t>
            </w:r>
            <w:r>
              <w:rPr>
                <w:b/>
                <w:spacing w:val="-2"/>
                <w:lang w:val="en-US"/>
              </w:rPr>
              <w:t>:</w:t>
            </w:r>
          </w:p>
          <w:p>
            <w:pPr>
              <w:pStyle w:val="Style15"/>
              <w:rPr>
                <w:lang w:val="ru-RU"/>
              </w:rPr>
            </w:pPr>
            <w:r>
              <w:rPr>
                <w:lang w:val="ru-RU"/>
              </w:rPr>
            </w:r>
          </w:p>
          <w:p>
            <w:pPr>
              <w:pStyle w:val="Style15"/>
              <w:rPr>
                <w:lang w:val="ru-RU"/>
              </w:rPr>
            </w:pPr>
            <w:r>
              <w:rPr>
                <w:spacing w:val="-2"/>
                <w:lang w:val="ru-RU"/>
              </w:rPr>
              <w:t>_____________________________________</w:t>
            </w:r>
          </w:p>
          <w:p>
            <w:pPr>
              <w:pStyle w:val="Style15"/>
              <w:rPr>
                <w:lang w:val="ru-RU"/>
              </w:rPr>
            </w:pPr>
            <w:r>
              <w:rPr>
                <w:lang w:val="ru-RU"/>
              </w:rPr>
            </w:r>
          </w:p>
          <w:p>
            <w:pPr>
              <w:pStyle w:val="Style15"/>
              <w:rPr>
                <w:lang w:val="ru-RU"/>
              </w:rPr>
            </w:pPr>
            <w:r>
              <w:rPr>
                <w:lang w:val="ru-RU"/>
              </w:rPr>
              <w:t>_____________________________________</w:t>
            </w:r>
          </w:p>
        </w:tc>
      </w:tr>
    </w:tbl>
    <w:p>
      <w:pPr>
        <w:pStyle w:val="Normal"/>
        <w:rPr/>
      </w:pPr>
      <w:r>
        <w:rPr/>
      </w:r>
    </w:p>
    <w:p>
      <w:pPr>
        <w:pStyle w:val="Style15"/>
        <w:rPr>
          <w:b/>
          <w:b/>
          <w:w w:val="110"/>
          <w:sz w:val="28"/>
          <w:szCs w:val="28"/>
        </w:rPr>
      </w:pPr>
      <w:r>
        <w:rPr>
          <w:b/>
          <w:w w:val="110"/>
          <w:sz w:val="28"/>
          <w:szCs w:val="28"/>
        </w:rPr>
      </w:r>
    </w:p>
    <w:p>
      <w:pPr>
        <w:pStyle w:val="Style15"/>
        <w:ind w:left="82" w:hanging="0"/>
        <w:jc w:val="center"/>
        <w:rPr>
          <w:color w:val="080808"/>
          <w:spacing w:val="-2"/>
          <w:w w:val="110"/>
          <w:sz w:val="28"/>
          <w:szCs w:val="28"/>
          <w:u w:val="single"/>
        </w:rPr>
      </w:pPr>
      <w:r>
        <w:rPr>
          <w:w w:val="110"/>
          <w:sz w:val="28"/>
          <w:szCs w:val="28"/>
          <w:u w:val="single"/>
        </w:rPr>
        <w:t>ТЕХНИЧЕСКОЕ</w:t>
      </w:r>
      <w:r>
        <w:rPr>
          <w:spacing w:val="18"/>
          <w:w w:val="110"/>
          <w:sz w:val="28"/>
          <w:szCs w:val="28"/>
          <w:u w:val="single"/>
        </w:rPr>
        <w:t xml:space="preserve">  </w:t>
      </w:r>
      <w:r>
        <w:rPr>
          <w:color w:val="080808"/>
          <w:spacing w:val="-2"/>
          <w:w w:val="110"/>
          <w:sz w:val="28"/>
          <w:szCs w:val="28"/>
          <w:u w:val="single"/>
        </w:rPr>
        <w:t>ЗАДАНИЕ</w:t>
      </w:r>
    </w:p>
    <w:p>
      <w:pPr>
        <w:pStyle w:val="Normal"/>
        <w:spacing w:lineRule="auto" w:line="276" w:before="0" w:after="200"/>
        <w:jc w:val="center"/>
        <w:rPr>
          <w:sz w:val="28"/>
          <w:szCs w:val="28"/>
          <w:u w:val="single"/>
          <w:lang w:eastAsia="zh-CN"/>
        </w:rPr>
      </w:pPr>
      <w:r>
        <w:rPr>
          <w:sz w:val="28"/>
          <w:szCs w:val="28"/>
          <w:u w:val="single"/>
          <w:lang w:eastAsia="zh-CN"/>
        </w:rPr>
        <w:t>на проектные (изыскательские) работы и строительно-монтажные работы</w:t>
      </w:r>
    </w:p>
    <w:p>
      <w:pPr>
        <w:pStyle w:val="1"/>
        <w:spacing w:before="21" w:after="0"/>
        <w:ind w:right="1" w:hanging="0"/>
        <w:jc w:val="both"/>
        <w:rPr>
          <w:b w:val="false"/>
          <w:b w:val="false"/>
          <w:sz w:val="28"/>
          <w:szCs w:val="28"/>
        </w:rPr>
      </w:pPr>
      <w:r>
        <w:rPr>
          <w:b w:val="false"/>
          <w:sz w:val="28"/>
          <w:szCs w:val="28"/>
        </w:rPr>
        <w:t>на объект: «Реконструкция</w:t>
      </w:r>
      <w:r>
        <w:rPr>
          <w:b w:val="false"/>
          <w:spacing w:val="38"/>
          <w:sz w:val="28"/>
          <w:szCs w:val="28"/>
        </w:rPr>
        <w:t xml:space="preserve"> </w:t>
      </w:r>
      <w:r>
        <w:rPr>
          <w:b w:val="false"/>
          <w:sz w:val="28"/>
          <w:szCs w:val="28"/>
        </w:rPr>
        <w:t>линии электропередачи ВЛ-0,4 кВ от КТП-1359 протяженностью 2,9км., модернизация подстанции КТП-1359 с увеличением трансформаторной мощности на 0,08 МВА до 0,400 МВА в п. Возрожденный»</w:t>
      </w:r>
    </w:p>
    <w:p>
      <w:pPr>
        <w:pStyle w:val="Style15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1"/>
        <w:spacing w:before="21" w:after="0"/>
        <w:ind w:right="1" w:hanging="0"/>
        <w:jc w:val="both"/>
        <w:rPr>
          <w:b w:val="false"/>
          <w:b w:val="false"/>
          <w:sz w:val="28"/>
          <w:szCs w:val="28"/>
          <w:u w:val="single"/>
          <w:lang w:eastAsia="zh-CN"/>
        </w:rPr>
      </w:pPr>
      <w:r>
        <w:rPr>
          <w:b w:val="false"/>
          <w:sz w:val="28"/>
          <w:szCs w:val="28"/>
        </w:rPr>
        <w:t xml:space="preserve">1.   </w:t>
      </w:r>
      <w:r>
        <w:rPr>
          <w:b w:val="false"/>
          <w:sz w:val="28"/>
          <w:szCs w:val="28"/>
          <w:u w:val="single"/>
          <w:lang w:eastAsia="zh-CN"/>
        </w:rPr>
        <w:t>Проектные (изыскательские) работы</w:t>
      </w:r>
    </w:p>
    <w:p>
      <w:pPr>
        <w:pStyle w:val="1"/>
        <w:spacing w:before="21" w:after="0"/>
        <w:ind w:right="1" w:hanging="0"/>
        <w:jc w:val="both"/>
        <w:rPr>
          <w:b w:val="false"/>
          <w:b w:val="false"/>
          <w:sz w:val="28"/>
          <w:szCs w:val="28"/>
          <w:u w:val="single"/>
          <w:lang w:eastAsia="zh-CN"/>
        </w:rPr>
      </w:pPr>
      <w:r>
        <w:rPr>
          <w:b w:val="false"/>
          <w:sz w:val="28"/>
          <w:szCs w:val="28"/>
          <w:u w:val="single"/>
          <w:lang w:eastAsia="zh-CN"/>
        </w:rPr>
      </w:r>
    </w:p>
    <w:p>
      <w:pPr>
        <w:pStyle w:val="Normal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1.1. Основание для проектирования:  Акты технического обследования эл.сетей, акты дефектовки оборудования, ЛСР.</w:t>
      </w:r>
    </w:p>
    <w:p>
      <w:pPr>
        <w:pStyle w:val="Normal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1.2. Район, пункт строительства:  Ростовская обл., Аксайский р-н, п. Возрожденный</w:t>
      </w:r>
    </w:p>
    <w:p>
      <w:pPr>
        <w:pStyle w:val="Normal"/>
        <w:spacing w:lineRule="auto" w:line="276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1.3. Вид работ: Реконструкция и модернизация (инвестиционная программа)</w:t>
      </w:r>
    </w:p>
    <w:p>
      <w:pPr>
        <w:pStyle w:val="Normal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1.4. Срок начала и окончания выполнения работ: </w:t>
      </w:r>
      <w:r>
        <w:rPr>
          <w:sz w:val="28"/>
          <w:szCs w:val="28"/>
          <w:lang w:eastAsia="zh-CN"/>
        </w:rPr>
        <w:t>Октябрь</w:t>
      </w:r>
      <w:r>
        <w:rPr>
          <w:sz w:val="28"/>
          <w:szCs w:val="28"/>
          <w:lang w:eastAsia="zh-CN"/>
        </w:rPr>
        <w:t xml:space="preserve"> 2026 г.</w:t>
      </w:r>
    </w:p>
    <w:p>
      <w:pPr>
        <w:pStyle w:val="Normal"/>
        <w:spacing w:lineRule="auto" w:line="276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1.5. Стадийность проектирования: Проектная и рабочая документация.</w:t>
      </w:r>
    </w:p>
    <w:p>
      <w:pPr>
        <w:pStyle w:val="Normal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1.6. Объемы работ: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eastAsia="zh-CN"/>
        </w:rPr>
        <w:t xml:space="preserve">- замена воздушной линии ВЛ-0,4кВ от КТП-1359, протяженностью 2,9км. на провод марки </w:t>
      </w:r>
      <w:r>
        <w:rPr>
          <w:sz w:val="28"/>
          <w:szCs w:val="28"/>
        </w:rPr>
        <w:t>СИП-2 3х70 и СИП-2 3х50;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замена опор на ВЛ-0,4кВ – 104 шт. (СВ 95-2-а);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замена опор на ВЛ-10кВ – 5 шт. (СВ 105);</w:t>
      </w:r>
    </w:p>
    <w:p>
      <w:pPr>
        <w:pStyle w:val="Normal"/>
        <w:ind w:left="708" w:hanging="0"/>
        <w:jc w:val="both"/>
        <w:rPr>
          <w:sz w:val="28"/>
          <w:szCs w:val="28"/>
        </w:rPr>
      </w:pPr>
      <w:r>
        <w:rPr>
          <w:sz w:val="28"/>
          <w:szCs w:val="28"/>
        </w:rPr>
        <w:t>- замена траверс стальные, разрядников, предохранителей, изоляторов (количество определить согласно ЛСР);</w:t>
      </w:r>
    </w:p>
    <w:p>
      <w:pPr>
        <w:pStyle w:val="Normal"/>
        <w:ind w:left="708" w:hang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w w:val="105"/>
          <w:sz w:val="28"/>
          <w:szCs w:val="28"/>
        </w:rPr>
        <w:t>замена существующего трансформатора ТМ-320 10/0,4кВ на трансформатор ТМГ-400 10/0,4кВ.</w:t>
      </w:r>
    </w:p>
    <w:p>
      <w:pPr>
        <w:pStyle w:val="Normal"/>
        <w:widowControl/>
        <w:suppressAutoHyphens w:val="false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1.7. </w:t>
      </w:r>
      <w:r>
        <w:rPr>
          <w:sz w:val="28"/>
          <w:szCs w:val="28"/>
        </w:rPr>
        <w:t>Проект должен быть выполнен в соответствии с ПУЭ, ПТЭЭП и отвечать требованиям государственных норм и правил</w:t>
      </w:r>
      <w:r>
        <w:rPr>
          <w:sz w:val="28"/>
          <w:szCs w:val="28"/>
          <w:lang w:eastAsia="zh-CN"/>
        </w:rPr>
        <w:t>.</w:t>
      </w:r>
    </w:p>
    <w:p>
      <w:pPr>
        <w:pStyle w:val="1"/>
        <w:spacing w:before="21" w:after="0"/>
        <w:ind w:right="1" w:hanging="0"/>
        <w:jc w:val="both"/>
        <w:rPr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>1.8. Согласование проекта со всеми заинтересованными инстанциями.</w:t>
      </w:r>
    </w:p>
    <w:p>
      <w:pPr>
        <w:pStyle w:val="1"/>
        <w:spacing w:before="21" w:after="0"/>
        <w:ind w:right="1" w:hanging="0"/>
        <w:jc w:val="both"/>
        <w:rPr>
          <w:b w:val="false"/>
          <w:b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  <w:t xml:space="preserve">1.9. </w:t>
      </w:r>
      <w:r>
        <w:rPr>
          <w:b w:val="false"/>
          <w:sz w:val="28"/>
          <w:szCs w:val="28"/>
        </w:rPr>
        <w:t xml:space="preserve">Проект должен быть представлен в трех бумажных экземплярах, в том числе один сброшюрованный и один экземпляр в электронном виде в формате </w:t>
      </w:r>
      <w:r>
        <w:rPr>
          <w:b w:val="false"/>
          <w:sz w:val="28"/>
          <w:szCs w:val="28"/>
          <w:lang w:val="en-US"/>
        </w:rPr>
        <w:t>pdf</w:t>
      </w:r>
      <w:r>
        <w:rPr>
          <w:b w:val="false"/>
          <w:sz w:val="28"/>
          <w:szCs w:val="28"/>
        </w:rPr>
        <w:t>.</w:t>
      </w:r>
    </w:p>
    <w:p>
      <w:pPr>
        <w:pStyle w:val="1"/>
        <w:spacing w:before="21" w:after="0"/>
        <w:ind w:right="1" w:hanging="0"/>
        <w:jc w:val="both"/>
        <w:rPr>
          <w:b w:val="false"/>
          <w:b w:val="false"/>
          <w:w w:val="105"/>
          <w:sz w:val="28"/>
          <w:szCs w:val="28"/>
          <w:u w:val="single"/>
        </w:rPr>
      </w:pPr>
      <w:r>
        <w:rPr>
          <w:b w:val="false"/>
          <w:w w:val="105"/>
          <w:sz w:val="28"/>
          <w:szCs w:val="28"/>
          <w:u w:val="single"/>
        </w:rPr>
      </w:r>
    </w:p>
    <w:p>
      <w:pPr>
        <w:pStyle w:val="1"/>
        <w:spacing w:before="21" w:after="0"/>
        <w:ind w:right="1" w:hanging="0"/>
        <w:jc w:val="both"/>
        <w:rPr>
          <w:b w:val="false"/>
          <w:b w:val="false"/>
          <w:sz w:val="28"/>
          <w:szCs w:val="28"/>
        </w:rPr>
      </w:pPr>
      <w:r>
        <w:rPr>
          <w:b w:val="false"/>
          <w:w w:val="105"/>
          <w:sz w:val="28"/>
          <w:szCs w:val="28"/>
          <w:u w:val="single"/>
        </w:rPr>
        <w:t>2. Строительно-монтажные работы в 2026 году</w:t>
      </w:r>
    </w:p>
    <w:p>
      <w:pPr>
        <w:pStyle w:val="Style15"/>
        <w:spacing w:lineRule="auto" w:line="244"/>
        <w:ind w:right="79" w:hanging="0"/>
        <w:jc w:val="both"/>
        <w:rPr>
          <w:w w:val="105"/>
          <w:sz w:val="28"/>
          <w:szCs w:val="28"/>
        </w:rPr>
      </w:pPr>
      <w:r>
        <w:rPr>
          <w:w w:val="105"/>
          <w:sz w:val="28"/>
          <w:szCs w:val="28"/>
        </w:rPr>
      </w:r>
    </w:p>
    <w:p>
      <w:pPr>
        <w:pStyle w:val="Style15"/>
        <w:spacing w:lineRule="auto" w:line="244"/>
        <w:ind w:right="79" w:firstLine="720"/>
        <w:jc w:val="both"/>
        <w:rPr>
          <w:w w:val="105"/>
          <w:sz w:val="28"/>
          <w:szCs w:val="28"/>
        </w:rPr>
      </w:pPr>
      <w:r>
        <w:rPr>
          <w:w w:val="105"/>
          <w:sz w:val="28"/>
          <w:szCs w:val="28"/>
        </w:rPr>
        <w:t>2.1. Перечень и объемы выполнения работ:</w:t>
      </w:r>
    </w:p>
    <w:p>
      <w:pPr>
        <w:pStyle w:val="Style15"/>
        <w:spacing w:lineRule="auto" w:line="244"/>
        <w:ind w:right="79" w:firstLine="720"/>
        <w:jc w:val="both"/>
        <w:rPr>
          <w:w w:val="105"/>
          <w:sz w:val="28"/>
          <w:szCs w:val="28"/>
        </w:rPr>
      </w:pPr>
      <w:r>
        <w:rPr>
          <w:w w:val="105"/>
          <w:sz w:val="28"/>
          <w:szCs w:val="28"/>
        </w:rPr>
        <w:t>- Замена существующего трансформатора ТМ-320 10/0,4кВ на трансформатор ТМГ-400 10/0,4кВ – 1 шт.</w:t>
      </w:r>
    </w:p>
    <w:p>
      <w:pPr>
        <w:pStyle w:val="Style15"/>
        <w:spacing w:lineRule="auto" w:line="244"/>
        <w:ind w:right="79" w:firstLine="720"/>
        <w:jc w:val="both"/>
        <w:rPr>
          <w:w w:val="105"/>
          <w:sz w:val="28"/>
          <w:szCs w:val="28"/>
        </w:rPr>
      </w:pPr>
      <w:r>
        <w:rPr>
          <w:w w:val="105"/>
          <w:sz w:val="28"/>
          <w:szCs w:val="28"/>
        </w:rPr>
        <w:t>- Монтаж заземлителей вертикальных, горизонтальных – согласно локально-сметному расчету.</w:t>
      </w:r>
    </w:p>
    <w:p>
      <w:pPr>
        <w:pStyle w:val="Style15"/>
        <w:spacing w:lineRule="auto" w:line="244"/>
        <w:ind w:right="79" w:firstLine="720"/>
        <w:jc w:val="both"/>
        <w:rPr>
          <w:w w:val="105"/>
          <w:sz w:val="28"/>
          <w:szCs w:val="28"/>
        </w:rPr>
      </w:pPr>
      <w:r>
        <w:rPr>
          <w:w w:val="105"/>
          <w:sz w:val="28"/>
          <w:szCs w:val="28"/>
        </w:rPr>
        <w:t>- Замена разрядников – 3 шт.</w:t>
      </w:r>
    </w:p>
    <w:p>
      <w:pPr>
        <w:pStyle w:val="Style15"/>
        <w:spacing w:lineRule="auto" w:line="244"/>
        <w:ind w:right="79" w:firstLine="720"/>
        <w:jc w:val="both"/>
        <w:rPr>
          <w:w w:val="105"/>
          <w:sz w:val="28"/>
          <w:szCs w:val="28"/>
        </w:rPr>
      </w:pPr>
      <w:r>
        <w:rPr>
          <w:w w:val="105"/>
          <w:sz w:val="28"/>
          <w:szCs w:val="28"/>
        </w:rPr>
        <w:t>- Замена предохранителей – 3 шт.</w:t>
      </w:r>
    </w:p>
    <w:p>
      <w:pPr>
        <w:pStyle w:val="Style15"/>
        <w:spacing w:lineRule="auto" w:line="244"/>
        <w:ind w:right="79" w:firstLine="720"/>
        <w:jc w:val="both"/>
        <w:rPr>
          <w:sz w:val="28"/>
          <w:szCs w:val="28"/>
        </w:rPr>
      </w:pPr>
      <w:r>
        <w:rPr>
          <w:w w:val="105"/>
          <w:sz w:val="28"/>
          <w:szCs w:val="28"/>
        </w:rPr>
        <w:t xml:space="preserve">- </w:t>
      </w:r>
      <w:r>
        <w:rPr>
          <w:sz w:val="28"/>
          <w:szCs w:val="28"/>
        </w:rPr>
        <w:t>Проведение пуско-наладочных работ и испытаний обмотки трансформатора силового, измерение сопротивления изоляции, измерение сопротивления растеканию тока</w:t>
      </w:r>
    </w:p>
    <w:p>
      <w:pPr>
        <w:pStyle w:val="Style15"/>
        <w:spacing w:lineRule="auto" w:line="244"/>
        <w:ind w:right="79" w:firstLine="720"/>
        <w:jc w:val="both"/>
        <w:rPr>
          <w:w w:val="105"/>
          <w:sz w:val="28"/>
          <w:szCs w:val="28"/>
        </w:rPr>
      </w:pPr>
      <w:r>
        <w:rPr>
          <w:w w:val="105"/>
          <w:sz w:val="28"/>
          <w:szCs w:val="28"/>
        </w:rPr>
        <w:t>2.2. Весь необходимый объем выполняемых работ и материалов указан в локально-сметном расчете (ЛСР).</w:t>
      </w:r>
    </w:p>
    <w:p>
      <w:pPr>
        <w:pStyle w:val="Style15"/>
        <w:spacing w:lineRule="auto" w:line="244"/>
        <w:ind w:right="79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Все материалы и оборудование должны быть новыми, ранее неиспользованными с </w:t>
      </w:r>
      <w:r>
        <w:rPr>
          <w:sz w:val="28"/>
          <w:szCs w:val="28"/>
          <w:shd w:fill="FFFFFF" w:val="clear"/>
        </w:rPr>
        <w:t>технической документацией (технический паспорт завода-изготовителя, инструкции по эксплуатации и монтажу, схемами вторичной коммутации, протоколами испытаний и пр.) и подтверждаться сертификатами качества, сертификатами или декларациями соответствия.</w:t>
      </w:r>
    </w:p>
    <w:p>
      <w:pPr>
        <w:pStyle w:val="Style15"/>
        <w:spacing w:lineRule="auto" w:line="244"/>
        <w:ind w:right="79" w:firstLine="720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2.4. Все работы выполнять в соответствии с ЛСР, НТД, правилами безопасности при работе в электроустановках.</w:t>
      </w:r>
    </w:p>
    <w:p>
      <w:pPr>
        <w:pStyle w:val="Style15"/>
        <w:spacing w:lineRule="auto" w:line="244"/>
        <w:ind w:right="58" w:firstLine="720"/>
        <w:jc w:val="both"/>
        <w:rPr>
          <w:sz w:val="28"/>
          <w:szCs w:val="28"/>
        </w:rPr>
      </w:pPr>
      <w:r>
        <w:rPr>
          <w:sz w:val="28"/>
          <w:szCs w:val="28"/>
        </w:rPr>
        <w:t>2.5. При производстве все видов работ в рамках технического задания на строительно-монтажные работы, отключение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ВЛ-10кВ, ВЛ-0,4кВ и КТП-1359  согласовываются с ООО «Энерготранс» не позднее, чем за 3 рабочих дня до даты производства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работ.</w:t>
      </w:r>
    </w:p>
    <w:p>
      <w:pPr>
        <w:pStyle w:val="Style15"/>
        <w:tabs>
          <w:tab w:val="clear" w:pos="708"/>
          <w:tab w:val="left" w:pos="6906" w:leader="none"/>
        </w:tabs>
        <w:spacing w:before="264" w:after="0"/>
        <w:ind w:firstLine="72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15"/>
        <w:tabs>
          <w:tab w:val="clear" w:pos="708"/>
          <w:tab w:val="left" w:pos="6906" w:leader="none"/>
        </w:tabs>
        <w:spacing w:before="264" w:after="0"/>
        <w:ind w:firstLine="72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Начальник ПТО                 </w:t>
      </w:r>
      <w:bookmarkStart w:id="0" w:name="_GoBack"/>
      <w:bookmarkEnd w:id="0"/>
      <w:r>
        <w:rPr>
          <w:sz w:val="28"/>
          <w:szCs w:val="28"/>
        </w:rPr>
        <w:t xml:space="preserve">                        Перцев Н.С.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1" w:semiHidden="0" w:unhideWhenUsed="0" w:qFormat="1"/>
    <w:lsdException w:name="heading 1" w:uiPriority="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1" w:qFormat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1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uiPriority w:val="1"/>
    <w:qFormat/>
    <w:rsid w:val="00f73899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link w:val="10"/>
    <w:uiPriority w:val="1"/>
    <w:qFormat/>
    <w:rsid w:val="00f73899"/>
    <w:pPr>
      <w:ind w:right="254" w:hanging="0"/>
      <w:outlineLvl w:val="0"/>
    </w:pPr>
    <w:rPr>
      <w:b/>
      <w:bCs/>
      <w:sz w:val="27"/>
      <w:szCs w:val="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1"/>
    <w:qFormat/>
    <w:rsid w:val="00f73899"/>
    <w:rPr>
      <w:rFonts w:ascii="Times New Roman" w:hAnsi="Times New Roman" w:eastAsia="Times New Roman" w:cs="Times New Roman"/>
      <w:b/>
      <w:bCs/>
      <w:sz w:val="27"/>
      <w:szCs w:val="27"/>
    </w:rPr>
  </w:style>
  <w:style w:type="character" w:styleId="Style13" w:customStyle="1">
    <w:name w:val="Основной текст Знак"/>
    <w:basedOn w:val="DefaultParagraphFont"/>
    <w:link w:val="a3"/>
    <w:uiPriority w:val="1"/>
    <w:qFormat/>
    <w:rsid w:val="00f73899"/>
    <w:rPr>
      <w:rFonts w:ascii="Times New Roman" w:hAnsi="Times New Roman" w:eastAsia="Times New Roman" w:cs="Times New Roman"/>
      <w:sz w:val="27"/>
      <w:szCs w:val="27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link w:val="a4"/>
    <w:uiPriority w:val="1"/>
    <w:qFormat/>
    <w:rsid w:val="00f73899"/>
    <w:pPr/>
    <w:rPr>
      <w:sz w:val="27"/>
      <w:szCs w:val="27"/>
    </w:rPr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rsid w:val="00d37819"/>
    <w:pPr>
      <w:ind w:left="2278" w:hanging="41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f73899"/>
    <w:pPr>
      <w:spacing w:after="0" w:line="240" w:lineRule="auto"/>
    </w:pPr>
    <w:rPr>
      <w:lang w:val="en-US"/>
    </w:r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1CEDF8-C42A-4C93-A686-DE2364947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Application>LibreOffice/6.4.3.2$Windows_x86 LibreOffice_project/747b5d0ebf89f41c860ec2a39efd7cb15b54f2d8</Application>
  <Pages>2</Pages>
  <Words>371</Words>
  <Characters>2620</Characters>
  <CharactersWithSpaces>3017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2026-08-21T07:46:00Z</dcterms:created>
  <dc:creator>User</dc:creator>
  <dc:description/>
  <dc:language>ru-RU</dc:language>
  <cp:lastModifiedBy/>
  <cp:lastPrinted>2026-08-24T06:47:00Z</cp:lastPrinted>
  <dcterms:modified xsi:type="dcterms:W3CDTF">2026-08-27T09:06:34Z</dcterms:modified>
  <cp:revision>35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