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6A2A" w:rsidRDefault="00302B84">
      <w:pPr>
        <w:pStyle w:val="Default"/>
        <w:jc w:val="center"/>
        <w:rPr>
          <w:b/>
          <w:lang w:val="ru-RU"/>
        </w:rPr>
      </w:pPr>
      <w:r>
        <w:rPr>
          <w:b/>
          <w:lang w:val="ru-RU"/>
        </w:rPr>
        <w:t>Разъяснения положений документации о закупке</w:t>
      </w:r>
    </w:p>
    <w:p w:rsidR="00BF6AE1" w:rsidRPr="00B1160B" w:rsidRDefault="00302B84" w:rsidP="00B1160B">
      <w:pPr>
        <w:spacing w:after="0" w:line="360" w:lineRule="atLeast"/>
        <w:jc w:val="center"/>
        <w:rPr>
          <w:rFonts w:ascii="Segoe UI" w:hAnsi="Segoe UI" w:cs="Segoe UI"/>
          <w:color w:val="1A1B26"/>
        </w:rPr>
      </w:pPr>
      <w:r>
        <w:rPr>
          <w:rFonts w:ascii="Times New Roman" w:hAnsi="Times New Roman"/>
          <w:color w:val="000000" w:themeColor="text1"/>
          <w:sz w:val="24"/>
          <w:szCs w:val="24"/>
        </w:rPr>
        <w:t xml:space="preserve">№ </w:t>
      </w:r>
      <w:r>
        <w:rPr>
          <w:rFonts w:ascii="Times New Roman" w:hAnsi="Times New Roman"/>
          <w:color w:val="000000" w:themeColor="text1"/>
          <w:sz w:val="24"/>
          <w:szCs w:val="24"/>
        </w:rPr>
        <w:t>32616385416</w:t>
      </w:r>
      <w:bookmarkStart w:id="0" w:name="_GoBack"/>
      <w:bookmarkEnd w:id="0"/>
    </w:p>
    <w:tbl>
      <w:tblPr>
        <w:tblStyle w:val="a5"/>
        <w:tblW w:w="11412" w:type="dxa"/>
        <w:tblInd w:w="-644" w:type="dxa"/>
        <w:tblLook w:val="04A0" w:firstRow="1" w:lastRow="0" w:firstColumn="1" w:lastColumn="0" w:noHBand="0" w:noVBand="1"/>
      </w:tblPr>
      <w:tblGrid>
        <w:gridCol w:w="6593"/>
        <w:gridCol w:w="4819"/>
      </w:tblGrid>
      <w:tr w:rsidR="00546A2A">
        <w:tc>
          <w:tcPr>
            <w:tcW w:w="6593" w:type="dxa"/>
          </w:tcPr>
          <w:p w:rsidR="00546A2A" w:rsidRDefault="00302B84">
            <w:pPr>
              <w:jc w:val="both"/>
              <w:rPr>
                <w:rFonts w:ascii="Times New Roman" w:hAnsi="Times New Roman"/>
                <w:i/>
                <w:sz w:val="18"/>
                <w:szCs w:val="18"/>
                <w:lang w:bidi="en-US"/>
              </w:rPr>
            </w:pPr>
            <w:r>
              <w:rPr>
                <w:rFonts w:ascii="Times New Roman" w:hAnsi="Times New Roman"/>
                <w:i/>
                <w:sz w:val="18"/>
                <w:szCs w:val="18"/>
                <w:lang w:bidi="en-US"/>
              </w:rPr>
              <w:t>Текст запроса</w:t>
            </w:r>
          </w:p>
        </w:tc>
        <w:tc>
          <w:tcPr>
            <w:tcW w:w="4819" w:type="dxa"/>
          </w:tcPr>
          <w:p w:rsidR="00546A2A" w:rsidRDefault="00302B84">
            <w:pPr>
              <w:jc w:val="both"/>
              <w:rPr>
                <w:rFonts w:ascii="Times New Roman" w:hAnsi="Times New Roman"/>
                <w:i/>
                <w:sz w:val="18"/>
                <w:szCs w:val="18"/>
                <w:lang w:bidi="en-US"/>
              </w:rPr>
            </w:pPr>
            <w:r>
              <w:rPr>
                <w:rFonts w:ascii="Times New Roman" w:hAnsi="Times New Roman"/>
                <w:i/>
                <w:sz w:val="18"/>
                <w:szCs w:val="18"/>
                <w:lang w:bidi="en-US"/>
              </w:rPr>
              <w:t>Текст ответа</w:t>
            </w:r>
          </w:p>
        </w:tc>
      </w:tr>
      <w:tr w:rsidR="00546A2A">
        <w:tc>
          <w:tcPr>
            <w:tcW w:w="6593" w:type="dxa"/>
          </w:tcPr>
          <w:p w:rsidR="00BF6AE1" w:rsidRDefault="00302B84" w:rsidP="00BF6AE1">
            <w:pPr>
              <w:shd w:val="clear" w:color="auto" w:fill="FFFFFF"/>
              <w:spacing w:after="0"/>
              <w:ind w:firstLine="591"/>
              <w:rPr>
                <w:rFonts w:ascii="Times New Roman" w:hAnsi="Times New Roman"/>
                <w:bCs/>
                <w:sz w:val="20"/>
                <w:szCs w:val="20"/>
                <w:lang w:bidi="en-US"/>
              </w:rPr>
            </w:pPr>
            <w:r>
              <w:rPr>
                <w:rFonts w:ascii="Times New Roman" w:hAnsi="Times New Roman"/>
                <w:bCs/>
                <w:sz w:val="20"/>
                <w:szCs w:val="20"/>
                <w:lang w:bidi="en-US"/>
              </w:rPr>
              <w:t xml:space="preserve">Добрый день, Уважаемый Заказчик. </w:t>
            </w:r>
          </w:p>
          <w:p w:rsidR="00BF6AE1" w:rsidRPr="00BF6AE1" w:rsidRDefault="00BF6AE1" w:rsidP="00BF6AE1">
            <w:pPr>
              <w:shd w:val="clear" w:color="auto" w:fill="FFFFFF"/>
              <w:spacing w:after="0"/>
              <w:ind w:firstLine="591"/>
              <w:rPr>
                <w:rFonts w:ascii="Times New Roman" w:hAnsi="Times New Roman"/>
                <w:bCs/>
                <w:sz w:val="20"/>
                <w:szCs w:val="20"/>
                <w:lang w:bidi="en-US"/>
              </w:rPr>
            </w:pPr>
            <w:r w:rsidRPr="00BF6AE1">
              <w:rPr>
                <w:rFonts w:ascii="Times New Roman" w:hAnsi="Times New Roman"/>
                <w:bCs/>
                <w:sz w:val="20"/>
                <w:szCs w:val="20"/>
                <w:lang w:bidi="en-US"/>
              </w:rPr>
              <w:t>В рамках подготовки к участию в закупке № 32616385416 «Выполнение работ по модернизации фрагмента локальной вычислительной сети (СКС в корпусах: 1,2,3,4,5,6,7,8,9,10 и 14) по адресу: г. Санкт-Петербург, Московский пр., д.9, лит А, набережная реки Фонтанки, д. 113, лит А» просим повторно рассмотреть два вопроса, связанные с порядком сдачи-приёмки работ и доступом к проектной документации.</w:t>
            </w:r>
          </w:p>
          <w:p w:rsidR="00BF6AE1" w:rsidRPr="00BF6AE1" w:rsidRDefault="00BF6AE1" w:rsidP="00BF6AE1">
            <w:pPr>
              <w:shd w:val="clear" w:color="auto" w:fill="FFFFFF"/>
              <w:spacing w:after="0"/>
              <w:ind w:firstLine="591"/>
              <w:rPr>
                <w:rFonts w:ascii="Times New Roman" w:hAnsi="Times New Roman"/>
                <w:bCs/>
                <w:sz w:val="20"/>
                <w:szCs w:val="20"/>
                <w:lang w:bidi="en-US"/>
              </w:rPr>
            </w:pPr>
            <w:r w:rsidRPr="00BF6AE1">
              <w:rPr>
                <w:rFonts w:ascii="Times New Roman" w:hAnsi="Times New Roman"/>
                <w:bCs/>
                <w:sz w:val="20"/>
                <w:szCs w:val="20"/>
                <w:lang w:bidi="en-US"/>
              </w:rPr>
              <w:t>Считаем, что текущие формулировки создают необоснованные барьеры для добросовестных участников и могут быть скорректированы на текущем этапе, поскольку срок подачи заявок еще не истек.</w:t>
            </w:r>
          </w:p>
          <w:p w:rsidR="00BF6AE1" w:rsidRPr="00BF6AE1" w:rsidRDefault="00BF6AE1" w:rsidP="00BF6AE1">
            <w:pPr>
              <w:shd w:val="clear" w:color="auto" w:fill="FFFFFF"/>
              <w:spacing w:after="0"/>
              <w:ind w:firstLine="591"/>
              <w:rPr>
                <w:rFonts w:ascii="Times New Roman" w:hAnsi="Times New Roman"/>
                <w:b/>
                <w:bCs/>
                <w:sz w:val="20"/>
                <w:szCs w:val="20"/>
                <w:lang w:bidi="en-US"/>
              </w:rPr>
            </w:pPr>
            <w:r w:rsidRPr="00BF6AE1">
              <w:rPr>
                <w:rFonts w:ascii="Times New Roman" w:hAnsi="Times New Roman"/>
                <w:b/>
                <w:bCs/>
                <w:sz w:val="20"/>
                <w:szCs w:val="20"/>
                <w:lang w:bidi="en-US"/>
              </w:rPr>
              <w:t>Вопрос 1.</w:t>
            </w:r>
          </w:p>
          <w:p w:rsidR="00BF6AE1" w:rsidRPr="00BF6AE1" w:rsidRDefault="00BF6AE1" w:rsidP="00BF6AE1">
            <w:pPr>
              <w:shd w:val="clear" w:color="auto" w:fill="FFFFFF"/>
              <w:spacing w:after="0"/>
              <w:ind w:firstLine="591"/>
              <w:rPr>
                <w:rFonts w:ascii="Times New Roman" w:hAnsi="Times New Roman"/>
                <w:bCs/>
                <w:sz w:val="20"/>
                <w:szCs w:val="20"/>
                <w:lang w:bidi="en-US"/>
              </w:rPr>
            </w:pPr>
            <w:r w:rsidRPr="00BF6AE1">
              <w:rPr>
                <w:rFonts w:ascii="Times New Roman" w:hAnsi="Times New Roman"/>
                <w:bCs/>
                <w:sz w:val="20"/>
                <w:szCs w:val="20"/>
                <w:lang w:bidi="en-US"/>
              </w:rPr>
              <w:t>В ответе на предыдущий запрос Вы указали, что документация не предусматривает поэтапной сдачи-приёмки по корпусам, а внесение изменений в проект договора на этапе заключения не предусмотрено.</w:t>
            </w:r>
          </w:p>
          <w:p w:rsidR="00BF6AE1" w:rsidRPr="00BF6AE1" w:rsidRDefault="00BF6AE1" w:rsidP="00BF6AE1">
            <w:pPr>
              <w:shd w:val="clear" w:color="auto" w:fill="FFFFFF"/>
              <w:spacing w:after="0"/>
              <w:ind w:firstLine="591"/>
              <w:rPr>
                <w:rFonts w:ascii="Times New Roman" w:hAnsi="Times New Roman"/>
                <w:bCs/>
                <w:sz w:val="20"/>
                <w:szCs w:val="20"/>
                <w:lang w:bidi="en-US"/>
              </w:rPr>
            </w:pPr>
            <w:r w:rsidRPr="00BF6AE1">
              <w:rPr>
                <w:rFonts w:ascii="Times New Roman" w:hAnsi="Times New Roman"/>
                <w:bCs/>
                <w:sz w:val="20"/>
                <w:szCs w:val="20"/>
                <w:lang w:bidi="en-US"/>
              </w:rPr>
              <w:t>Речь идет не о внесении изменений на этапе заключения, а о корректировке проекта договора до окончания срока подачи заявок. Согласно п. 9.5 типового порядка разъяснений, Заказчик вправе по собственной инициативе или в соответствии с поступившим запросом до даты окончания подачи заявок принять решение о внесении изменений в извещение и документацию о закупке, это не является «изменением условий на этапе заключения» — это исправление документации на этапе, когда это прямо разрешено.</w:t>
            </w:r>
          </w:p>
          <w:p w:rsidR="00BF6AE1" w:rsidRPr="00BF6AE1" w:rsidRDefault="00BF6AE1" w:rsidP="00BF6AE1">
            <w:pPr>
              <w:shd w:val="clear" w:color="auto" w:fill="FFFFFF"/>
              <w:spacing w:after="0"/>
              <w:ind w:firstLine="591"/>
              <w:rPr>
                <w:rFonts w:ascii="Times New Roman" w:hAnsi="Times New Roman"/>
                <w:bCs/>
                <w:sz w:val="20"/>
                <w:szCs w:val="20"/>
                <w:lang w:bidi="en-US"/>
              </w:rPr>
            </w:pPr>
            <w:r w:rsidRPr="00BF6AE1">
              <w:rPr>
                <w:rFonts w:ascii="Times New Roman" w:hAnsi="Times New Roman"/>
                <w:bCs/>
                <w:sz w:val="20"/>
                <w:szCs w:val="20"/>
                <w:lang w:bidi="en-US"/>
              </w:rPr>
              <w:t xml:space="preserve">Локальный сметный расчет содержит самостоятельные разделы по каждому корпусу и телекоммуникационному шкафу. Заказчик сам определил объем работ как обособленные комплексы. Однако проект договора предусматривает </w:t>
            </w:r>
            <w:r w:rsidRPr="00BF6AE1">
              <w:rPr>
                <w:rFonts w:ascii="Times New Roman" w:hAnsi="Times New Roman"/>
                <w:b/>
                <w:bCs/>
                <w:sz w:val="20"/>
                <w:szCs w:val="20"/>
                <w:lang w:bidi="en-US"/>
              </w:rPr>
              <w:t>единовременную сдачу всего объема по истечении 100 рабочих дней</w:t>
            </w:r>
            <w:r w:rsidRPr="00BF6AE1">
              <w:rPr>
                <w:rFonts w:ascii="Times New Roman" w:hAnsi="Times New Roman"/>
                <w:bCs/>
                <w:sz w:val="20"/>
                <w:szCs w:val="20"/>
                <w:lang w:bidi="en-US"/>
              </w:rPr>
              <w:t>.</w:t>
            </w:r>
          </w:p>
          <w:p w:rsidR="00BF6AE1" w:rsidRPr="00BF6AE1" w:rsidRDefault="00BF6AE1" w:rsidP="00BF6AE1">
            <w:pPr>
              <w:shd w:val="clear" w:color="auto" w:fill="FFFFFF"/>
              <w:spacing w:after="0"/>
              <w:ind w:firstLine="591"/>
              <w:rPr>
                <w:rFonts w:ascii="Times New Roman" w:hAnsi="Times New Roman"/>
                <w:bCs/>
                <w:sz w:val="20"/>
                <w:szCs w:val="20"/>
                <w:lang w:bidi="en-US"/>
              </w:rPr>
            </w:pPr>
            <w:r w:rsidRPr="00BF6AE1">
              <w:rPr>
                <w:rFonts w:ascii="Times New Roman" w:hAnsi="Times New Roman"/>
                <w:bCs/>
                <w:sz w:val="20"/>
                <w:szCs w:val="20"/>
                <w:lang w:bidi="en-US"/>
              </w:rPr>
              <w:t xml:space="preserve">Это создает </w:t>
            </w:r>
            <w:r w:rsidRPr="00BF6AE1">
              <w:rPr>
                <w:rFonts w:ascii="Times New Roman" w:hAnsi="Times New Roman"/>
                <w:b/>
                <w:bCs/>
                <w:sz w:val="20"/>
                <w:szCs w:val="20"/>
                <w:lang w:bidi="en-US"/>
              </w:rPr>
              <w:t>экономический барьер</w:t>
            </w:r>
            <w:r w:rsidRPr="00BF6AE1">
              <w:rPr>
                <w:rFonts w:ascii="Times New Roman" w:hAnsi="Times New Roman"/>
                <w:bCs/>
                <w:sz w:val="20"/>
                <w:szCs w:val="20"/>
                <w:lang w:bidi="en-US"/>
              </w:rPr>
              <w:t>: не все подрядчики способны одновременно:</w:t>
            </w:r>
          </w:p>
          <w:p w:rsidR="00BF6AE1" w:rsidRPr="00BF6AE1" w:rsidRDefault="00BF6AE1" w:rsidP="00BF6AE1">
            <w:pPr>
              <w:numPr>
                <w:ilvl w:val="0"/>
                <w:numId w:val="3"/>
              </w:numPr>
              <w:shd w:val="clear" w:color="auto" w:fill="FFFFFF"/>
              <w:tabs>
                <w:tab w:val="clear" w:pos="0"/>
                <w:tab w:val="clear" w:pos="540"/>
              </w:tabs>
              <w:spacing w:after="0"/>
              <w:rPr>
                <w:rFonts w:ascii="Times New Roman" w:hAnsi="Times New Roman"/>
                <w:bCs/>
                <w:sz w:val="20"/>
                <w:szCs w:val="20"/>
                <w:lang w:bidi="en-US"/>
              </w:rPr>
            </w:pPr>
            <w:r w:rsidRPr="00BF6AE1">
              <w:rPr>
                <w:rFonts w:ascii="Times New Roman" w:hAnsi="Times New Roman"/>
                <w:bCs/>
                <w:sz w:val="20"/>
                <w:szCs w:val="20"/>
                <w:lang w:bidi="en-US"/>
              </w:rPr>
              <w:t>закупить оборудование, материалы и расходные товары на все 12 корпусов,</w:t>
            </w:r>
          </w:p>
          <w:p w:rsidR="00BF6AE1" w:rsidRPr="00BF6AE1" w:rsidRDefault="00BF6AE1" w:rsidP="00BF6AE1">
            <w:pPr>
              <w:numPr>
                <w:ilvl w:val="0"/>
                <w:numId w:val="3"/>
              </w:numPr>
              <w:shd w:val="clear" w:color="auto" w:fill="FFFFFF"/>
              <w:tabs>
                <w:tab w:val="clear" w:pos="0"/>
                <w:tab w:val="clear" w:pos="540"/>
              </w:tabs>
              <w:spacing w:after="0"/>
              <w:rPr>
                <w:rFonts w:ascii="Times New Roman" w:hAnsi="Times New Roman"/>
                <w:bCs/>
                <w:sz w:val="20"/>
                <w:szCs w:val="20"/>
                <w:lang w:bidi="en-US"/>
              </w:rPr>
            </w:pPr>
            <w:r w:rsidRPr="00BF6AE1">
              <w:rPr>
                <w:rFonts w:ascii="Times New Roman" w:hAnsi="Times New Roman"/>
                <w:bCs/>
                <w:sz w:val="20"/>
                <w:szCs w:val="20"/>
                <w:lang w:bidi="en-US"/>
              </w:rPr>
              <w:t>обеспечить транспортировку,</w:t>
            </w:r>
          </w:p>
          <w:p w:rsidR="00BF6AE1" w:rsidRPr="00BF6AE1" w:rsidRDefault="00BF6AE1" w:rsidP="00BF6AE1">
            <w:pPr>
              <w:numPr>
                <w:ilvl w:val="0"/>
                <w:numId w:val="3"/>
              </w:numPr>
              <w:shd w:val="clear" w:color="auto" w:fill="FFFFFF"/>
              <w:tabs>
                <w:tab w:val="clear" w:pos="0"/>
                <w:tab w:val="clear" w:pos="540"/>
              </w:tabs>
              <w:spacing w:after="0"/>
              <w:rPr>
                <w:rFonts w:ascii="Times New Roman" w:hAnsi="Times New Roman"/>
                <w:bCs/>
                <w:sz w:val="20"/>
                <w:szCs w:val="20"/>
                <w:lang w:bidi="en-US"/>
              </w:rPr>
            </w:pPr>
            <w:r w:rsidRPr="00BF6AE1">
              <w:rPr>
                <w:rFonts w:ascii="Times New Roman" w:hAnsi="Times New Roman"/>
                <w:bCs/>
                <w:sz w:val="20"/>
                <w:szCs w:val="20"/>
                <w:lang w:bidi="en-US"/>
              </w:rPr>
              <w:t xml:space="preserve">выплачивать зарплату, суточные и командировочные бригадам в течение всего срока — </w:t>
            </w:r>
            <w:r w:rsidRPr="00BF6AE1">
              <w:rPr>
                <w:rFonts w:ascii="Times New Roman" w:hAnsi="Times New Roman"/>
                <w:b/>
                <w:bCs/>
                <w:sz w:val="20"/>
                <w:szCs w:val="20"/>
                <w:lang w:bidi="en-US"/>
              </w:rPr>
              <w:t>без промежуточной оплаты</w:t>
            </w:r>
            <w:r w:rsidRPr="00BF6AE1">
              <w:rPr>
                <w:rFonts w:ascii="Times New Roman" w:hAnsi="Times New Roman"/>
                <w:bCs/>
                <w:sz w:val="20"/>
                <w:szCs w:val="20"/>
                <w:lang w:bidi="en-US"/>
              </w:rPr>
              <w:t>.</w:t>
            </w:r>
          </w:p>
          <w:p w:rsidR="00BF6AE1" w:rsidRPr="00BF6AE1" w:rsidRDefault="00BF6AE1" w:rsidP="00BF6AE1">
            <w:pPr>
              <w:shd w:val="clear" w:color="auto" w:fill="FFFFFF"/>
              <w:spacing w:after="0"/>
              <w:ind w:firstLine="591"/>
              <w:rPr>
                <w:rFonts w:ascii="Times New Roman" w:hAnsi="Times New Roman"/>
                <w:bCs/>
                <w:sz w:val="20"/>
                <w:szCs w:val="20"/>
                <w:lang w:bidi="en-US"/>
              </w:rPr>
            </w:pPr>
            <w:r w:rsidRPr="00BF6AE1">
              <w:rPr>
                <w:rFonts w:ascii="Times New Roman" w:hAnsi="Times New Roman"/>
                <w:bCs/>
                <w:sz w:val="20"/>
                <w:szCs w:val="20"/>
                <w:lang w:bidi="en-US"/>
              </w:rPr>
              <w:t>Согласно ч. 1 ст. 3 223-ФЗ, закупка осуществляется на принципах равноправия, справедливости, отсутствия дискриминации и необоснованных ограничений конкуренции. ФАС России в своих решениях указывает, что требования, ставящие участников в зависимость от финансовых возможностей, не связанных с предметом закупки, ограничивают конкуренцию.</w:t>
            </w:r>
          </w:p>
          <w:p w:rsidR="00BF6AE1" w:rsidRPr="00BF6AE1" w:rsidRDefault="00BF6AE1" w:rsidP="00BF6AE1">
            <w:pPr>
              <w:shd w:val="clear" w:color="auto" w:fill="FFFFFF"/>
              <w:spacing w:after="0"/>
              <w:ind w:firstLine="591"/>
              <w:rPr>
                <w:rFonts w:ascii="Times New Roman" w:hAnsi="Times New Roman"/>
                <w:bCs/>
                <w:sz w:val="20"/>
                <w:szCs w:val="20"/>
                <w:lang w:bidi="en-US"/>
              </w:rPr>
            </w:pPr>
            <w:r w:rsidRPr="00BF6AE1">
              <w:rPr>
                <w:rFonts w:ascii="Times New Roman" w:hAnsi="Times New Roman"/>
                <w:b/>
                <w:bCs/>
                <w:sz w:val="20"/>
                <w:szCs w:val="20"/>
                <w:lang w:bidi="en-US"/>
              </w:rPr>
              <w:t>Предложение:</w:t>
            </w:r>
          </w:p>
          <w:p w:rsidR="00BF6AE1" w:rsidRPr="00BF6AE1" w:rsidRDefault="00BF6AE1" w:rsidP="00BF6AE1">
            <w:pPr>
              <w:shd w:val="clear" w:color="auto" w:fill="FFFFFF"/>
              <w:spacing w:after="0"/>
              <w:ind w:firstLine="591"/>
              <w:rPr>
                <w:rFonts w:ascii="Times New Roman" w:hAnsi="Times New Roman"/>
                <w:bCs/>
                <w:sz w:val="20"/>
                <w:szCs w:val="20"/>
                <w:lang w:bidi="en-US"/>
              </w:rPr>
            </w:pPr>
            <w:r w:rsidRPr="00BF6AE1">
              <w:rPr>
                <w:rFonts w:ascii="Times New Roman" w:hAnsi="Times New Roman"/>
                <w:bCs/>
                <w:sz w:val="20"/>
                <w:szCs w:val="20"/>
                <w:lang w:bidi="en-US"/>
              </w:rPr>
              <w:t>Просим на текущем этапе (до окончания срока подачи заявок) внести изменения в проект договора, предусмотрев право сторон на поэтапную сдачу-приёмку и оплату по каждому корпусу с оформлением актов КС-2 и справок КС-3 на завершенный объем. Общая цена и общий срок (100 рабочих дней) при этом не меняются — корректируется только порядок оформления.</w:t>
            </w:r>
            <w:r w:rsidRPr="00BF6AE1">
              <w:rPr>
                <w:rFonts w:ascii="Times New Roman" w:hAnsi="Times New Roman"/>
                <w:bCs/>
                <w:sz w:val="20"/>
                <w:szCs w:val="20"/>
                <w:lang w:bidi="en-US"/>
              </w:rPr>
              <w:br w:type="page"/>
            </w:r>
          </w:p>
          <w:p w:rsidR="00BF6AE1" w:rsidRPr="00BF6AE1" w:rsidRDefault="00BF6AE1" w:rsidP="00BF6AE1">
            <w:pPr>
              <w:shd w:val="clear" w:color="auto" w:fill="FFFFFF"/>
              <w:spacing w:after="0"/>
              <w:ind w:firstLine="591"/>
              <w:rPr>
                <w:rFonts w:ascii="Times New Roman" w:hAnsi="Times New Roman"/>
                <w:b/>
                <w:bCs/>
                <w:sz w:val="20"/>
                <w:szCs w:val="20"/>
                <w:lang w:bidi="en-US"/>
              </w:rPr>
            </w:pPr>
            <w:r w:rsidRPr="00BF6AE1">
              <w:rPr>
                <w:rFonts w:ascii="Times New Roman" w:hAnsi="Times New Roman"/>
                <w:b/>
                <w:bCs/>
                <w:sz w:val="20"/>
                <w:szCs w:val="20"/>
                <w:lang w:bidi="en-US"/>
              </w:rPr>
              <w:t>Вопрос 2.</w:t>
            </w:r>
          </w:p>
          <w:p w:rsidR="00BF6AE1" w:rsidRPr="00BF6AE1" w:rsidRDefault="00BF6AE1" w:rsidP="00BF6AE1">
            <w:pPr>
              <w:shd w:val="clear" w:color="auto" w:fill="FFFFFF"/>
              <w:spacing w:after="0"/>
              <w:ind w:firstLine="591"/>
              <w:rPr>
                <w:rFonts w:ascii="Times New Roman" w:hAnsi="Times New Roman"/>
                <w:bCs/>
                <w:sz w:val="20"/>
                <w:szCs w:val="20"/>
                <w:lang w:bidi="en-US"/>
              </w:rPr>
            </w:pPr>
            <w:r w:rsidRPr="00BF6AE1">
              <w:rPr>
                <w:rFonts w:ascii="Times New Roman" w:hAnsi="Times New Roman"/>
                <w:bCs/>
                <w:sz w:val="20"/>
                <w:szCs w:val="20"/>
                <w:lang w:bidi="en-US"/>
              </w:rPr>
              <w:t xml:space="preserve">В ответе на предыдущий запрос Вы указали, что проектная документация не размещается в открытом доступе, поскольку проходит через помещения с ограниченным доступом и содержит персональные </w:t>
            </w:r>
            <w:r w:rsidRPr="00BF6AE1">
              <w:rPr>
                <w:rFonts w:ascii="Times New Roman" w:hAnsi="Times New Roman"/>
                <w:bCs/>
                <w:sz w:val="20"/>
                <w:szCs w:val="20"/>
                <w:lang w:bidi="en-US"/>
              </w:rPr>
              <w:lastRenderedPageBreak/>
              <w:t>данные. Ознакомление возможно только на территории Заказчика по рабочим дням.</w:t>
            </w:r>
          </w:p>
          <w:p w:rsidR="00BF6AE1" w:rsidRPr="00BF6AE1" w:rsidRDefault="00BF6AE1" w:rsidP="00BF6AE1">
            <w:pPr>
              <w:shd w:val="clear" w:color="auto" w:fill="FFFFFF"/>
              <w:spacing w:after="0"/>
              <w:ind w:firstLine="591"/>
              <w:rPr>
                <w:rFonts w:ascii="Times New Roman" w:hAnsi="Times New Roman"/>
                <w:bCs/>
                <w:sz w:val="20"/>
                <w:szCs w:val="20"/>
                <w:lang w:bidi="en-US"/>
              </w:rPr>
            </w:pPr>
            <w:r w:rsidRPr="00BF6AE1">
              <w:rPr>
                <w:rFonts w:ascii="Times New Roman" w:hAnsi="Times New Roman"/>
                <w:bCs/>
                <w:sz w:val="20"/>
                <w:szCs w:val="20"/>
                <w:lang w:bidi="en-US"/>
              </w:rPr>
              <w:t>Ознакомление только физически в одном городе не является «равными условиями». Это фактическое преимущество для участников, находящихся в том же регионе. Для иногородних участников это создает:</w:t>
            </w:r>
          </w:p>
          <w:p w:rsidR="00BF6AE1" w:rsidRPr="00BF6AE1" w:rsidRDefault="00BF6AE1" w:rsidP="00BF6AE1">
            <w:pPr>
              <w:numPr>
                <w:ilvl w:val="0"/>
                <w:numId w:val="4"/>
              </w:numPr>
              <w:shd w:val="clear" w:color="auto" w:fill="FFFFFF"/>
              <w:tabs>
                <w:tab w:val="clear" w:pos="0"/>
                <w:tab w:val="clear" w:pos="540"/>
              </w:tabs>
              <w:spacing w:after="0"/>
              <w:rPr>
                <w:rFonts w:ascii="Times New Roman" w:hAnsi="Times New Roman"/>
                <w:bCs/>
                <w:sz w:val="20"/>
                <w:szCs w:val="20"/>
                <w:lang w:bidi="en-US"/>
              </w:rPr>
            </w:pPr>
            <w:r w:rsidRPr="00BF6AE1">
              <w:rPr>
                <w:rFonts w:ascii="Times New Roman" w:hAnsi="Times New Roman"/>
                <w:bCs/>
                <w:sz w:val="20"/>
                <w:szCs w:val="20"/>
                <w:lang w:bidi="en-US"/>
              </w:rPr>
              <w:t>дополнительные командировочные расходы,</w:t>
            </w:r>
          </w:p>
          <w:p w:rsidR="00BF6AE1" w:rsidRPr="00BF6AE1" w:rsidRDefault="00BF6AE1" w:rsidP="00BF6AE1">
            <w:pPr>
              <w:numPr>
                <w:ilvl w:val="0"/>
                <w:numId w:val="4"/>
              </w:numPr>
              <w:shd w:val="clear" w:color="auto" w:fill="FFFFFF"/>
              <w:tabs>
                <w:tab w:val="clear" w:pos="0"/>
                <w:tab w:val="clear" w:pos="540"/>
              </w:tabs>
              <w:spacing w:after="0"/>
              <w:rPr>
                <w:rFonts w:ascii="Times New Roman" w:hAnsi="Times New Roman"/>
                <w:bCs/>
                <w:sz w:val="20"/>
                <w:szCs w:val="20"/>
                <w:lang w:bidi="en-US"/>
              </w:rPr>
            </w:pPr>
            <w:r w:rsidRPr="00BF6AE1">
              <w:rPr>
                <w:rFonts w:ascii="Times New Roman" w:hAnsi="Times New Roman"/>
                <w:bCs/>
                <w:sz w:val="20"/>
                <w:szCs w:val="20"/>
                <w:lang w:bidi="en-US"/>
              </w:rPr>
              <w:t>временные затраты,</w:t>
            </w:r>
          </w:p>
          <w:p w:rsidR="00BF6AE1" w:rsidRPr="00BF6AE1" w:rsidRDefault="00BF6AE1" w:rsidP="00BF6AE1">
            <w:pPr>
              <w:numPr>
                <w:ilvl w:val="0"/>
                <w:numId w:val="4"/>
              </w:numPr>
              <w:shd w:val="clear" w:color="auto" w:fill="FFFFFF"/>
              <w:tabs>
                <w:tab w:val="clear" w:pos="0"/>
                <w:tab w:val="clear" w:pos="540"/>
              </w:tabs>
              <w:spacing w:after="0"/>
              <w:rPr>
                <w:rFonts w:ascii="Times New Roman" w:hAnsi="Times New Roman"/>
                <w:bCs/>
                <w:sz w:val="20"/>
                <w:szCs w:val="20"/>
                <w:lang w:bidi="en-US"/>
              </w:rPr>
            </w:pPr>
            <w:r w:rsidRPr="00BF6AE1">
              <w:rPr>
                <w:rFonts w:ascii="Times New Roman" w:hAnsi="Times New Roman"/>
                <w:bCs/>
                <w:sz w:val="20"/>
                <w:szCs w:val="20"/>
                <w:lang w:bidi="en-US"/>
              </w:rPr>
              <w:t>логистические сложности.</w:t>
            </w:r>
          </w:p>
          <w:p w:rsidR="00BF6AE1" w:rsidRPr="00BF6AE1" w:rsidRDefault="00BF6AE1" w:rsidP="00BF6AE1">
            <w:pPr>
              <w:shd w:val="clear" w:color="auto" w:fill="FFFFFF"/>
              <w:spacing w:after="0"/>
              <w:ind w:firstLine="591"/>
              <w:rPr>
                <w:rFonts w:ascii="Times New Roman" w:hAnsi="Times New Roman"/>
                <w:bCs/>
                <w:sz w:val="20"/>
                <w:szCs w:val="20"/>
                <w:lang w:bidi="en-US"/>
              </w:rPr>
            </w:pPr>
            <w:r w:rsidRPr="00BF6AE1">
              <w:rPr>
                <w:rFonts w:ascii="Times New Roman" w:hAnsi="Times New Roman"/>
                <w:bCs/>
                <w:sz w:val="20"/>
                <w:szCs w:val="20"/>
                <w:lang w:bidi="en-US"/>
              </w:rPr>
              <w:t>Согласно ч. 1 ст. 3 223-ФЗ, закупка осуществляется на принципах информационной открытости и отсутствия необоснованных ограничений конкуренции, Верховный Суд РФ в Обзоре от 16.05.2018 указал, что документация должна содержать достаточные сведения об объекте закупки, позволяющие сформировать предложение.</w:t>
            </w:r>
          </w:p>
          <w:p w:rsidR="00BF6AE1" w:rsidRPr="00BF6AE1" w:rsidRDefault="00BF6AE1" w:rsidP="00BF6AE1">
            <w:pPr>
              <w:shd w:val="clear" w:color="auto" w:fill="FFFFFF"/>
              <w:spacing w:after="0"/>
              <w:ind w:firstLine="591"/>
              <w:rPr>
                <w:rFonts w:ascii="Times New Roman" w:hAnsi="Times New Roman"/>
                <w:bCs/>
                <w:sz w:val="20"/>
                <w:szCs w:val="20"/>
                <w:lang w:bidi="en-US"/>
              </w:rPr>
            </w:pPr>
            <w:r w:rsidRPr="00BF6AE1">
              <w:rPr>
                <w:rFonts w:ascii="Times New Roman" w:hAnsi="Times New Roman"/>
                <w:bCs/>
                <w:sz w:val="20"/>
                <w:szCs w:val="20"/>
                <w:lang w:bidi="en-US"/>
              </w:rPr>
              <w:t>Необходимость осуществления ограниченного доступа и сохранения конфиденциальных данных – стандартная ситуация, которая решается подписанием соглашения о неразглашении (NDA), в связи с которой будет возможна передача документации:</w:t>
            </w:r>
          </w:p>
          <w:p w:rsidR="00BF6AE1" w:rsidRPr="00BF6AE1" w:rsidRDefault="00BF6AE1" w:rsidP="00BF6AE1">
            <w:pPr>
              <w:numPr>
                <w:ilvl w:val="0"/>
                <w:numId w:val="5"/>
              </w:numPr>
              <w:shd w:val="clear" w:color="auto" w:fill="FFFFFF"/>
              <w:tabs>
                <w:tab w:val="clear" w:pos="0"/>
                <w:tab w:val="clear" w:pos="540"/>
              </w:tabs>
              <w:spacing w:after="0"/>
              <w:rPr>
                <w:rFonts w:ascii="Times New Roman" w:hAnsi="Times New Roman"/>
                <w:bCs/>
                <w:sz w:val="20"/>
                <w:szCs w:val="20"/>
                <w:lang w:bidi="en-US"/>
              </w:rPr>
            </w:pPr>
            <w:r w:rsidRPr="00BF6AE1">
              <w:rPr>
                <w:rFonts w:ascii="Times New Roman" w:hAnsi="Times New Roman"/>
                <w:bCs/>
                <w:sz w:val="20"/>
                <w:szCs w:val="20"/>
                <w:lang w:bidi="en-US"/>
              </w:rPr>
              <w:t>по защищенным каналам (ЭДО, спецсвязь),</w:t>
            </w:r>
          </w:p>
          <w:p w:rsidR="00BF6AE1" w:rsidRPr="00BF6AE1" w:rsidRDefault="00BF6AE1" w:rsidP="00BF6AE1">
            <w:pPr>
              <w:numPr>
                <w:ilvl w:val="0"/>
                <w:numId w:val="5"/>
              </w:numPr>
              <w:shd w:val="clear" w:color="auto" w:fill="FFFFFF"/>
              <w:tabs>
                <w:tab w:val="clear" w:pos="0"/>
                <w:tab w:val="clear" w:pos="540"/>
              </w:tabs>
              <w:spacing w:after="0"/>
              <w:rPr>
                <w:rFonts w:ascii="Times New Roman" w:hAnsi="Times New Roman"/>
                <w:bCs/>
                <w:sz w:val="20"/>
                <w:szCs w:val="20"/>
                <w:lang w:bidi="en-US"/>
              </w:rPr>
            </w:pPr>
            <w:r w:rsidRPr="00BF6AE1">
              <w:rPr>
                <w:rFonts w:ascii="Times New Roman" w:hAnsi="Times New Roman"/>
                <w:bCs/>
                <w:sz w:val="20"/>
                <w:szCs w:val="20"/>
                <w:lang w:bidi="en-US"/>
              </w:rPr>
              <w:t>через облачные хранилища с ограниченным доступом (по ссылке/паролю),</w:t>
            </w:r>
          </w:p>
          <w:p w:rsidR="00BF6AE1" w:rsidRPr="00BF6AE1" w:rsidRDefault="00BF6AE1" w:rsidP="00BF6AE1">
            <w:pPr>
              <w:numPr>
                <w:ilvl w:val="0"/>
                <w:numId w:val="5"/>
              </w:numPr>
              <w:shd w:val="clear" w:color="auto" w:fill="FFFFFF"/>
              <w:tabs>
                <w:tab w:val="clear" w:pos="0"/>
                <w:tab w:val="clear" w:pos="540"/>
              </w:tabs>
              <w:spacing w:after="0"/>
              <w:rPr>
                <w:rFonts w:ascii="Times New Roman" w:hAnsi="Times New Roman"/>
                <w:bCs/>
                <w:sz w:val="20"/>
                <w:szCs w:val="20"/>
                <w:lang w:bidi="en-US"/>
              </w:rPr>
            </w:pPr>
            <w:r w:rsidRPr="00BF6AE1">
              <w:rPr>
                <w:rFonts w:ascii="Times New Roman" w:hAnsi="Times New Roman"/>
                <w:bCs/>
                <w:sz w:val="20"/>
                <w:szCs w:val="20"/>
                <w:lang w:bidi="en-US"/>
              </w:rPr>
              <w:t>с обязательством утилизации после участия.</w:t>
            </w:r>
          </w:p>
          <w:p w:rsidR="00BF6AE1" w:rsidRPr="00BF6AE1" w:rsidRDefault="00BF6AE1" w:rsidP="00BF6AE1">
            <w:pPr>
              <w:shd w:val="clear" w:color="auto" w:fill="FFFFFF"/>
              <w:spacing w:after="0"/>
              <w:ind w:firstLine="591"/>
              <w:rPr>
                <w:rFonts w:ascii="Times New Roman" w:hAnsi="Times New Roman"/>
                <w:bCs/>
                <w:sz w:val="20"/>
                <w:szCs w:val="20"/>
                <w:lang w:bidi="en-US"/>
              </w:rPr>
            </w:pPr>
            <w:r w:rsidRPr="00BF6AE1">
              <w:rPr>
                <w:rFonts w:ascii="Times New Roman" w:hAnsi="Times New Roman"/>
                <w:bCs/>
                <w:sz w:val="20"/>
                <w:szCs w:val="20"/>
                <w:lang w:bidi="en-US"/>
              </w:rPr>
              <w:t xml:space="preserve">ФАС России в аналогичных делах указывал, что установление порядка ознакомления, </w:t>
            </w:r>
            <w:r w:rsidRPr="00BF6AE1">
              <w:rPr>
                <w:rFonts w:ascii="Times New Roman" w:hAnsi="Times New Roman"/>
                <w:b/>
                <w:bCs/>
                <w:sz w:val="20"/>
                <w:szCs w:val="20"/>
                <w:lang w:bidi="en-US"/>
              </w:rPr>
              <w:t>фактически исключающего</w:t>
            </w:r>
            <w:r w:rsidRPr="00BF6AE1">
              <w:rPr>
                <w:rFonts w:ascii="Times New Roman" w:hAnsi="Times New Roman"/>
                <w:bCs/>
                <w:sz w:val="20"/>
                <w:szCs w:val="20"/>
                <w:lang w:bidi="en-US"/>
              </w:rPr>
              <w:t xml:space="preserve"> возможность участия для части хозяйствующих субъектов, нарушает принципы 223-ФЗ.</w:t>
            </w:r>
          </w:p>
          <w:p w:rsidR="00BF6AE1" w:rsidRPr="00BF6AE1" w:rsidRDefault="00BF6AE1" w:rsidP="00BF6AE1">
            <w:pPr>
              <w:shd w:val="clear" w:color="auto" w:fill="FFFFFF"/>
              <w:spacing w:after="0"/>
              <w:ind w:firstLine="591"/>
              <w:rPr>
                <w:rFonts w:ascii="Times New Roman" w:hAnsi="Times New Roman"/>
                <w:bCs/>
                <w:sz w:val="20"/>
                <w:szCs w:val="20"/>
                <w:lang w:bidi="en-US"/>
              </w:rPr>
            </w:pPr>
            <w:r w:rsidRPr="00BF6AE1">
              <w:rPr>
                <w:rFonts w:ascii="Times New Roman" w:hAnsi="Times New Roman"/>
                <w:b/>
                <w:bCs/>
                <w:sz w:val="20"/>
                <w:szCs w:val="20"/>
                <w:lang w:bidi="en-US"/>
              </w:rPr>
              <w:t>Предложение:</w:t>
            </w:r>
          </w:p>
          <w:p w:rsidR="00BF6AE1" w:rsidRPr="00BF6AE1" w:rsidRDefault="00BF6AE1" w:rsidP="00BF6AE1">
            <w:pPr>
              <w:shd w:val="clear" w:color="auto" w:fill="FFFFFF"/>
              <w:spacing w:after="0"/>
              <w:ind w:firstLine="591"/>
              <w:rPr>
                <w:rFonts w:ascii="Times New Roman" w:hAnsi="Times New Roman"/>
                <w:bCs/>
                <w:sz w:val="20"/>
                <w:szCs w:val="20"/>
                <w:lang w:bidi="en-US"/>
              </w:rPr>
            </w:pPr>
            <w:r w:rsidRPr="00BF6AE1">
              <w:rPr>
                <w:rFonts w:ascii="Times New Roman" w:hAnsi="Times New Roman"/>
                <w:bCs/>
                <w:sz w:val="20"/>
                <w:szCs w:val="20"/>
                <w:lang w:bidi="en-US"/>
              </w:rPr>
              <w:t xml:space="preserve">Просим предоставить проектную документацию </w:t>
            </w:r>
            <w:r w:rsidRPr="00BF6AE1">
              <w:rPr>
                <w:rFonts w:ascii="Times New Roman" w:hAnsi="Times New Roman"/>
                <w:b/>
                <w:bCs/>
                <w:sz w:val="20"/>
                <w:szCs w:val="20"/>
                <w:lang w:bidi="en-US"/>
              </w:rPr>
              <w:t>удаленно</w:t>
            </w:r>
            <w:r w:rsidRPr="00BF6AE1">
              <w:rPr>
                <w:rFonts w:ascii="Times New Roman" w:hAnsi="Times New Roman"/>
                <w:bCs/>
                <w:sz w:val="20"/>
                <w:szCs w:val="20"/>
                <w:lang w:bidi="en-US"/>
              </w:rPr>
              <w:t xml:space="preserve"> после подписания NDA. С нашей стороны обязуемся:</w:t>
            </w:r>
          </w:p>
          <w:p w:rsidR="00BF6AE1" w:rsidRPr="00BF6AE1" w:rsidRDefault="00BF6AE1" w:rsidP="00BF6AE1">
            <w:pPr>
              <w:numPr>
                <w:ilvl w:val="0"/>
                <w:numId w:val="6"/>
              </w:numPr>
              <w:shd w:val="clear" w:color="auto" w:fill="FFFFFF"/>
              <w:tabs>
                <w:tab w:val="clear" w:pos="0"/>
                <w:tab w:val="clear" w:pos="540"/>
              </w:tabs>
              <w:spacing w:after="0"/>
              <w:rPr>
                <w:rFonts w:ascii="Times New Roman" w:hAnsi="Times New Roman"/>
                <w:bCs/>
                <w:sz w:val="20"/>
                <w:szCs w:val="20"/>
                <w:lang w:bidi="en-US"/>
              </w:rPr>
            </w:pPr>
            <w:r w:rsidRPr="00BF6AE1">
              <w:rPr>
                <w:rFonts w:ascii="Times New Roman" w:hAnsi="Times New Roman"/>
                <w:bCs/>
                <w:sz w:val="20"/>
                <w:szCs w:val="20"/>
                <w:lang w:bidi="en-US"/>
              </w:rPr>
              <w:t>направить подписанное соглашение о неразглашении,</w:t>
            </w:r>
          </w:p>
          <w:p w:rsidR="00BF6AE1" w:rsidRPr="00BF6AE1" w:rsidRDefault="00BF6AE1" w:rsidP="00BF6AE1">
            <w:pPr>
              <w:numPr>
                <w:ilvl w:val="0"/>
                <w:numId w:val="6"/>
              </w:numPr>
              <w:shd w:val="clear" w:color="auto" w:fill="FFFFFF"/>
              <w:tabs>
                <w:tab w:val="clear" w:pos="0"/>
                <w:tab w:val="clear" w:pos="540"/>
              </w:tabs>
              <w:spacing w:after="0"/>
              <w:rPr>
                <w:rFonts w:ascii="Times New Roman" w:hAnsi="Times New Roman"/>
                <w:bCs/>
                <w:sz w:val="20"/>
                <w:szCs w:val="20"/>
                <w:lang w:bidi="en-US"/>
              </w:rPr>
            </w:pPr>
            <w:r w:rsidRPr="00BF6AE1">
              <w:rPr>
                <w:rFonts w:ascii="Times New Roman" w:hAnsi="Times New Roman"/>
                <w:bCs/>
                <w:sz w:val="20"/>
                <w:szCs w:val="20"/>
                <w:lang w:bidi="en-US"/>
              </w:rPr>
              <w:t>обеспечить хранение документации в защищенном месте,</w:t>
            </w:r>
          </w:p>
          <w:p w:rsidR="00BF6AE1" w:rsidRPr="00BF6AE1" w:rsidRDefault="00BF6AE1" w:rsidP="00BF6AE1">
            <w:pPr>
              <w:numPr>
                <w:ilvl w:val="0"/>
                <w:numId w:val="6"/>
              </w:numPr>
              <w:shd w:val="clear" w:color="auto" w:fill="FFFFFF"/>
              <w:tabs>
                <w:tab w:val="clear" w:pos="0"/>
                <w:tab w:val="clear" w:pos="540"/>
              </w:tabs>
              <w:spacing w:after="0"/>
              <w:rPr>
                <w:rFonts w:ascii="Times New Roman" w:hAnsi="Times New Roman"/>
                <w:bCs/>
                <w:sz w:val="20"/>
                <w:szCs w:val="20"/>
                <w:lang w:bidi="en-US"/>
              </w:rPr>
            </w:pPr>
            <w:r w:rsidRPr="00BF6AE1">
              <w:rPr>
                <w:rFonts w:ascii="Times New Roman" w:hAnsi="Times New Roman"/>
                <w:bCs/>
                <w:sz w:val="20"/>
                <w:szCs w:val="20"/>
                <w:lang w:bidi="en-US"/>
              </w:rPr>
              <w:t>не распространять полученную информацию,</w:t>
            </w:r>
          </w:p>
          <w:p w:rsidR="00BF6AE1" w:rsidRPr="00BF6AE1" w:rsidRDefault="00BF6AE1" w:rsidP="00BF6AE1">
            <w:pPr>
              <w:numPr>
                <w:ilvl w:val="0"/>
                <w:numId w:val="6"/>
              </w:numPr>
              <w:shd w:val="clear" w:color="auto" w:fill="FFFFFF"/>
              <w:tabs>
                <w:tab w:val="clear" w:pos="0"/>
                <w:tab w:val="clear" w:pos="540"/>
              </w:tabs>
              <w:spacing w:after="0"/>
              <w:rPr>
                <w:rFonts w:ascii="Times New Roman" w:hAnsi="Times New Roman"/>
                <w:bCs/>
                <w:sz w:val="20"/>
                <w:szCs w:val="20"/>
                <w:lang w:bidi="en-US"/>
              </w:rPr>
            </w:pPr>
            <w:r w:rsidRPr="00BF6AE1">
              <w:rPr>
                <w:rFonts w:ascii="Times New Roman" w:hAnsi="Times New Roman"/>
                <w:bCs/>
                <w:sz w:val="20"/>
                <w:szCs w:val="20"/>
                <w:lang w:bidi="en-US"/>
              </w:rPr>
              <w:t>утилизировать документацию после завершения участия в закупке.</w:t>
            </w:r>
          </w:p>
          <w:p w:rsidR="00BF6AE1" w:rsidRPr="00BF6AE1" w:rsidRDefault="00BF6AE1" w:rsidP="00BF6AE1">
            <w:pPr>
              <w:shd w:val="clear" w:color="auto" w:fill="FFFFFF"/>
              <w:spacing w:after="0"/>
              <w:ind w:firstLine="591"/>
              <w:rPr>
                <w:rFonts w:ascii="Times New Roman" w:hAnsi="Times New Roman"/>
                <w:bCs/>
                <w:sz w:val="20"/>
                <w:szCs w:val="20"/>
                <w:lang w:bidi="en-US"/>
              </w:rPr>
            </w:pPr>
            <w:r w:rsidRPr="00BF6AE1">
              <w:rPr>
                <w:rFonts w:ascii="Times New Roman" w:hAnsi="Times New Roman"/>
                <w:bCs/>
                <w:sz w:val="20"/>
                <w:szCs w:val="20"/>
                <w:lang w:bidi="en-US"/>
              </w:rPr>
              <w:t xml:space="preserve"> </w:t>
            </w:r>
          </w:p>
          <w:p w:rsidR="00BF6AE1" w:rsidRPr="00BF6AE1" w:rsidRDefault="00BF6AE1" w:rsidP="00BF6AE1">
            <w:pPr>
              <w:shd w:val="clear" w:color="auto" w:fill="FFFFFF"/>
              <w:spacing w:after="0"/>
              <w:ind w:firstLine="591"/>
              <w:rPr>
                <w:rFonts w:ascii="Times New Roman" w:hAnsi="Times New Roman"/>
                <w:bCs/>
                <w:sz w:val="20"/>
                <w:szCs w:val="20"/>
                <w:lang w:bidi="en-US"/>
              </w:rPr>
            </w:pPr>
            <w:r w:rsidRPr="00BF6AE1">
              <w:rPr>
                <w:rFonts w:ascii="Times New Roman" w:hAnsi="Times New Roman"/>
                <w:bCs/>
                <w:sz w:val="20"/>
                <w:szCs w:val="20"/>
                <w:lang w:bidi="en-US"/>
              </w:rPr>
              <w:t xml:space="preserve"> </w:t>
            </w:r>
          </w:p>
          <w:p w:rsidR="00BF6AE1" w:rsidRPr="00BF6AE1" w:rsidRDefault="00BF6AE1" w:rsidP="00BF6AE1">
            <w:pPr>
              <w:shd w:val="clear" w:color="auto" w:fill="FFFFFF"/>
              <w:spacing w:after="0"/>
              <w:ind w:firstLine="591"/>
              <w:rPr>
                <w:rFonts w:ascii="Times New Roman" w:hAnsi="Times New Roman"/>
                <w:bCs/>
                <w:sz w:val="20"/>
                <w:szCs w:val="20"/>
                <w:lang w:bidi="en-US"/>
              </w:rPr>
            </w:pPr>
            <w:r w:rsidRPr="00BF6AE1">
              <w:rPr>
                <w:rFonts w:ascii="Times New Roman" w:hAnsi="Times New Roman"/>
                <w:bCs/>
                <w:sz w:val="20"/>
                <w:szCs w:val="20"/>
                <w:lang w:bidi="en-US"/>
              </w:rPr>
              <w:t>Считаем, что данные изменения не меняют предмет закупки, общую цену и сроки, а лишь устраняют необоснованные барьеры для добросовестных участников.</w:t>
            </w:r>
          </w:p>
          <w:p w:rsidR="00BF6AE1" w:rsidRPr="00BF6AE1" w:rsidRDefault="00BF6AE1" w:rsidP="00BF6AE1">
            <w:pPr>
              <w:shd w:val="clear" w:color="auto" w:fill="FFFFFF"/>
              <w:spacing w:after="0"/>
              <w:ind w:firstLine="591"/>
              <w:rPr>
                <w:rFonts w:ascii="Times New Roman" w:hAnsi="Times New Roman"/>
                <w:bCs/>
                <w:sz w:val="20"/>
                <w:szCs w:val="20"/>
                <w:lang w:bidi="en-US"/>
              </w:rPr>
            </w:pPr>
          </w:p>
        </w:tc>
        <w:tc>
          <w:tcPr>
            <w:tcW w:w="4819" w:type="dxa"/>
          </w:tcPr>
          <w:p w:rsidR="00546A2A" w:rsidRDefault="00302B84">
            <w:pPr>
              <w:spacing w:before="120" w:after="0" w:line="240" w:lineRule="auto"/>
              <w:jc w:val="both"/>
              <w:outlineLvl w:val="1"/>
              <w:rPr>
                <w:rFonts w:ascii="Times New Roman" w:hAnsi="Times New Roman"/>
                <w:lang w:bidi="en-US"/>
              </w:rPr>
            </w:pPr>
            <w:r>
              <w:rPr>
                <w:rFonts w:ascii="Times New Roman" w:hAnsi="Times New Roman"/>
                <w:lang w:bidi="en-US"/>
              </w:rPr>
              <w:lastRenderedPageBreak/>
              <w:t>У</w:t>
            </w:r>
            <w:r>
              <w:rPr>
                <w:rFonts w:ascii="Times New Roman" w:hAnsi="Times New Roman"/>
                <w:lang w:bidi="en-US"/>
              </w:rPr>
              <w:t>важаемый Участник!</w:t>
            </w:r>
          </w:p>
          <w:p w:rsidR="00BF6AE1" w:rsidRPr="00BF6AE1" w:rsidRDefault="00BF6AE1" w:rsidP="00BF6AE1">
            <w:pPr>
              <w:spacing w:before="120" w:after="0" w:line="240" w:lineRule="auto"/>
              <w:jc w:val="both"/>
              <w:outlineLvl w:val="1"/>
              <w:rPr>
                <w:rFonts w:ascii="Times New Roman" w:hAnsi="Times New Roman"/>
                <w:lang w:bidi="en-US"/>
              </w:rPr>
            </w:pPr>
            <w:r w:rsidRPr="00BF6AE1">
              <w:rPr>
                <w:rFonts w:ascii="Times New Roman" w:hAnsi="Times New Roman"/>
                <w:lang w:bidi="en-US"/>
              </w:rPr>
              <w:t>Рассмотрев повторное обращение о внесении до окончания срока подачи заявок изменений в проект договора в части установления поэтапной сдачи-приемки и оплаты работ по отдельным корпусам, Заказчик сообщает следующее:</w:t>
            </w:r>
          </w:p>
          <w:p w:rsidR="00BF6AE1" w:rsidRPr="00BF6AE1" w:rsidRDefault="00BF6AE1" w:rsidP="00BF6AE1">
            <w:pPr>
              <w:spacing w:before="120" w:after="0" w:line="240" w:lineRule="auto"/>
              <w:jc w:val="both"/>
              <w:outlineLvl w:val="1"/>
              <w:rPr>
                <w:rFonts w:ascii="Times New Roman" w:hAnsi="Times New Roman"/>
                <w:lang w:bidi="en-US"/>
              </w:rPr>
            </w:pPr>
            <w:r w:rsidRPr="00BF6AE1">
              <w:rPr>
                <w:rFonts w:ascii="Times New Roman" w:hAnsi="Times New Roman"/>
                <w:lang w:bidi="en-US"/>
              </w:rPr>
              <w:t>Заказчик подтверждает ранее изложенную позицию и не усматривает оснований для внесения предложенных изменений в документацию о закупке и проект договора.</w:t>
            </w:r>
          </w:p>
          <w:p w:rsidR="00BF6AE1" w:rsidRPr="00BF6AE1" w:rsidRDefault="00BF6AE1" w:rsidP="00BF6AE1">
            <w:pPr>
              <w:spacing w:before="120" w:after="0" w:line="240" w:lineRule="auto"/>
              <w:jc w:val="both"/>
              <w:outlineLvl w:val="1"/>
              <w:rPr>
                <w:rFonts w:ascii="Times New Roman" w:hAnsi="Times New Roman"/>
                <w:lang w:bidi="en-US"/>
              </w:rPr>
            </w:pPr>
            <w:r w:rsidRPr="00BF6AE1">
              <w:rPr>
                <w:rFonts w:ascii="Times New Roman" w:hAnsi="Times New Roman"/>
                <w:lang w:bidi="en-US"/>
              </w:rPr>
              <w:t>Документацией предусмотрено выполнение единого комплекса работ по модернизации фрагмента локальной вычислительной сети в корпусах 1, 2, 3, 4, 5, 6, 7, 8, 9, 10 и 14 в течение 100 рабочих дней со дня заключения договора. Оплата предусмотрена без авансирования, после передачи Заказчику акта выполненных работ без замечаний, при условии предоставления исполнительной документации и протокола приемо-сдаточных испытаний. Наличие в локальном сметном расчете отдельных разделов по корпусам и телекоммуникационным шкафам обусловлено необходимостью определения состава и стоимости соответствующих работ и само по себе не означает установления самостоятельных этапов исполнения договора. Документацией отдельные сроки завершения, самостоятельная приемка и отдельная оплата работ по каждому корпусу не предусмотрены.</w:t>
            </w:r>
          </w:p>
          <w:p w:rsidR="00BF6AE1" w:rsidRPr="00BF6AE1" w:rsidRDefault="00BF6AE1" w:rsidP="00BF6AE1">
            <w:pPr>
              <w:spacing w:before="120" w:after="0" w:line="240" w:lineRule="auto"/>
              <w:jc w:val="both"/>
              <w:outlineLvl w:val="1"/>
              <w:rPr>
                <w:rFonts w:ascii="Times New Roman" w:hAnsi="Times New Roman"/>
                <w:lang w:bidi="en-US"/>
              </w:rPr>
            </w:pPr>
            <w:r w:rsidRPr="00BF6AE1">
              <w:rPr>
                <w:rFonts w:ascii="Times New Roman" w:hAnsi="Times New Roman"/>
                <w:lang w:bidi="en-US"/>
              </w:rPr>
              <w:t xml:space="preserve">Заказчик согласен с тем, что в соответствии с п. 3.2.1 документации он вправе по собственной инициативе либо в связи с поступившим запросом принять решение о внесении изменений в извещение и (или) документацию до окончания срока подачи заявок. Вместе с тем указанная норма устанавливает право, а не обязанность Заказчика принять предложенные участником изменения. </w:t>
            </w:r>
          </w:p>
          <w:p w:rsidR="00BF6AE1" w:rsidRPr="00BF6AE1" w:rsidRDefault="00BF6AE1" w:rsidP="00BF6AE1">
            <w:pPr>
              <w:spacing w:before="120" w:after="0" w:line="240" w:lineRule="auto"/>
              <w:jc w:val="both"/>
              <w:outlineLvl w:val="1"/>
              <w:rPr>
                <w:rFonts w:ascii="Times New Roman" w:hAnsi="Times New Roman"/>
                <w:lang w:bidi="en-US"/>
              </w:rPr>
            </w:pPr>
            <w:r w:rsidRPr="00BF6AE1">
              <w:rPr>
                <w:rFonts w:ascii="Times New Roman" w:hAnsi="Times New Roman"/>
                <w:lang w:bidi="en-US"/>
              </w:rPr>
              <w:t xml:space="preserve">Предложение о введении приемки и оплаты отдельно по каждому корпусу затрагивает не только порядок оформления документов, но изменяет установленную Заказчиком модель исполнения и расчетов по договору: единый результат работ заменяется несколькими самостоятельно принимаемыми и оплачиваемыми результатами. Такой порядок не соответствует определенной Заказчиком потребности в получении единого завершенного результата модернизации информационной инфраструктуры, включающего взаимосвязанные монтажные, общие, пусконаладочные работы, испытания и </w:t>
            </w:r>
            <w:r w:rsidRPr="00BF6AE1">
              <w:rPr>
                <w:rFonts w:ascii="Times New Roman" w:hAnsi="Times New Roman"/>
                <w:lang w:bidi="en-US"/>
              </w:rPr>
              <w:lastRenderedPageBreak/>
              <w:t>оформление исполнительной документации. Довод о необходимости подрядчику финансировать приобретение оборудования, материалов, оплату труда, транспортные и иные расходы до окончательной приемки также не свидетельствует сам по себе о необоснованном ограничении конкуренции.</w:t>
            </w:r>
          </w:p>
          <w:p w:rsidR="00BF6AE1" w:rsidRPr="00BF6AE1" w:rsidRDefault="00BF6AE1" w:rsidP="00BF6AE1">
            <w:pPr>
              <w:spacing w:before="120" w:after="0" w:line="240" w:lineRule="auto"/>
              <w:jc w:val="both"/>
              <w:outlineLvl w:val="1"/>
              <w:rPr>
                <w:rFonts w:ascii="Times New Roman" w:hAnsi="Times New Roman"/>
                <w:lang w:bidi="en-US"/>
              </w:rPr>
            </w:pPr>
            <w:r w:rsidRPr="00BF6AE1">
              <w:rPr>
                <w:rFonts w:ascii="Times New Roman" w:hAnsi="Times New Roman"/>
                <w:lang w:bidi="en-US"/>
              </w:rPr>
              <w:t xml:space="preserve">Условия о сроках, приемке и оплате заранее установлены документацией и одинаково применяются ко всем участникам закупки. Документация не устанавливает для допуска к закупке требования о наличии определенного размера оборотных средств, кредитного лимита, стоимости активов либо иных финансовых показателей. При этом цена закупки сформирована с учетом издержек подрядчика, включая приобретение материалов и оборудования, транспортные и иные расходы. </w:t>
            </w:r>
          </w:p>
          <w:p w:rsidR="00BF6AE1" w:rsidRPr="00BF6AE1" w:rsidRDefault="00BF6AE1" w:rsidP="00BF6AE1">
            <w:pPr>
              <w:spacing w:before="120" w:after="0" w:line="240" w:lineRule="auto"/>
              <w:jc w:val="both"/>
              <w:outlineLvl w:val="1"/>
              <w:rPr>
                <w:rFonts w:ascii="Times New Roman" w:hAnsi="Times New Roman"/>
                <w:lang w:bidi="en-US"/>
              </w:rPr>
            </w:pPr>
            <w:r w:rsidRPr="00BF6AE1">
              <w:rPr>
                <w:rFonts w:ascii="Times New Roman" w:hAnsi="Times New Roman"/>
                <w:lang w:bidi="en-US"/>
              </w:rPr>
              <w:t>Согласно пункту 1 статьи 711 Гражданского кодекса Российской Федерации (далее - ГК РФ), если договором не предусмотрена предварительная оплата выполненной работы или отдельных ее этапов, заказчик обязан уплатить подрядчику обусловленную цену после окончательной сдачи результатов работы. Возможность установления промежуточных этапов предусмотрена статьей 708 ГК РФ, однако обязанность Заказчика устанавливать такие этапы законодательством не предусмотрена.</w:t>
            </w:r>
          </w:p>
          <w:p w:rsidR="00BF6AE1" w:rsidRPr="00BF6AE1" w:rsidRDefault="00BF6AE1" w:rsidP="00BF6AE1">
            <w:pPr>
              <w:spacing w:before="120" w:after="0" w:line="240" w:lineRule="auto"/>
              <w:jc w:val="both"/>
              <w:outlineLvl w:val="1"/>
              <w:rPr>
                <w:rFonts w:ascii="Times New Roman" w:hAnsi="Times New Roman"/>
                <w:lang w:bidi="en-US"/>
              </w:rPr>
            </w:pPr>
            <w:r w:rsidRPr="00BF6AE1">
              <w:rPr>
                <w:rFonts w:ascii="Times New Roman" w:hAnsi="Times New Roman"/>
                <w:lang w:bidi="en-US"/>
              </w:rPr>
              <w:t xml:space="preserve">Указанный подход согласуется с правовыми позициями Верховного Суда Российской Федерации. Так, пункт 6 Обзора судебной практики по вопросам, связанным с применением Федерального закона от 18.07.2011 № 223-ФЗ, утверждён Президиумом Верховного Суда РФ 16 мая 2018 г., исходит из того, что само по себе установление условий, способных повлиять на круг потенциальных участников, не является достаточным основанием для вывода о нарушении принципов закупочного законодательства. Значение имеют объективная обусловленность соответствующего условия и отсутствие необоснованного предоставления преимуществ отдельным лицам. Кроме того, пункт 32 Обзора судебной практики Верховного Суда Российской Федерации № 3 (2021), утверждён Президиумом Верховного Суда РФ 10 ноября 2021 г., подтверждает общий подход, согласно которому оценка условий закупки не может основываться лишь на несогласии с их экономической или организационной целесообразностью: необходимо учитывать свободу Заказчика в формировании закупочной процедуры в пределах Закона № 223-ФЗ, его объективные потребности и отсутствие дискриминационной направленности установленных условий. </w:t>
            </w:r>
          </w:p>
          <w:p w:rsidR="00BF6AE1" w:rsidRPr="00BF6AE1" w:rsidRDefault="00BF6AE1" w:rsidP="00BF6AE1">
            <w:pPr>
              <w:spacing w:before="120" w:after="0" w:line="240" w:lineRule="auto"/>
              <w:jc w:val="both"/>
              <w:outlineLvl w:val="1"/>
              <w:rPr>
                <w:rFonts w:ascii="Times New Roman" w:hAnsi="Times New Roman"/>
                <w:lang w:bidi="en-US"/>
              </w:rPr>
            </w:pPr>
            <w:r w:rsidRPr="00BF6AE1">
              <w:rPr>
                <w:rFonts w:ascii="Times New Roman" w:hAnsi="Times New Roman"/>
                <w:lang w:bidi="en-US"/>
              </w:rPr>
              <w:lastRenderedPageBreak/>
              <w:t>Следовательно, сам по себе факт того, что предложенный участником порядок поэтапной оплаты был бы для него экономически более удобным либо уменьшал потребность в собственных оборотных средствах, не влечет обязанности Заказчика изменить заранее установленный порядок исполнения и расчетов.</w:t>
            </w:r>
          </w:p>
          <w:p w:rsidR="00BF6AE1" w:rsidRPr="00BF6AE1" w:rsidRDefault="00BF6AE1" w:rsidP="00BF6AE1">
            <w:pPr>
              <w:spacing w:before="120" w:after="0" w:line="240" w:lineRule="auto"/>
              <w:jc w:val="both"/>
              <w:outlineLvl w:val="1"/>
              <w:rPr>
                <w:rFonts w:ascii="Times New Roman" w:hAnsi="Times New Roman"/>
                <w:lang w:bidi="en-US"/>
              </w:rPr>
            </w:pPr>
            <w:r w:rsidRPr="00BF6AE1">
              <w:rPr>
                <w:rFonts w:ascii="Times New Roman" w:hAnsi="Times New Roman"/>
                <w:lang w:bidi="en-US"/>
              </w:rPr>
              <w:t xml:space="preserve">На основании изложенного Заказчиком принято решение не вносить изменения в документацию и проект договора в части установления поэтапной сдачи-приемки и оплаты работ по отдельным корпусам. Работы подлежат выполнению, сдаче, приемке и оплате в порядке и на условиях, установленных действующей документацией о закупке. </w:t>
            </w:r>
          </w:p>
          <w:p w:rsidR="00BF6AE1" w:rsidRPr="00BF6AE1" w:rsidRDefault="00BF6AE1" w:rsidP="00BF6AE1">
            <w:pPr>
              <w:spacing w:before="120" w:after="0" w:line="240" w:lineRule="auto"/>
              <w:jc w:val="both"/>
              <w:outlineLvl w:val="1"/>
              <w:rPr>
                <w:rFonts w:ascii="Times New Roman" w:hAnsi="Times New Roman"/>
                <w:bCs/>
                <w:u w:val="single"/>
                <w:lang w:bidi="en-US"/>
              </w:rPr>
            </w:pPr>
            <w:r w:rsidRPr="00BF6AE1">
              <w:rPr>
                <w:rFonts w:ascii="Times New Roman" w:hAnsi="Times New Roman"/>
                <w:bCs/>
                <w:u w:val="single"/>
                <w:lang w:bidi="en-US"/>
              </w:rPr>
              <w:t>Ответ на вопрос № 2.</w:t>
            </w:r>
          </w:p>
          <w:p w:rsidR="00BF6AE1" w:rsidRPr="00BF6AE1" w:rsidRDefault="00BF6AE1" w:rsidP="00BF6AE1">
            <w:pPr>
              <w:spacing w:before="120" w:after="0" w:line="240" w:lineRule="auto"/>
              <w:jc w:val="both"/>
              <w:outlineLvl w:val="1"/>
              <w:rPr>
                <w:rFonts w:ascii="Times New Roman" w:hAnsi="Times New Roman"/>
                <w:lang w:bidi="en-US"/>
              </w:rPr>
            </w:pPr>
            <w:r w:rsidRPr="00BF6AE1">
              <w:rPr>
                <w:rFonts w:ascii="Times New Roman" w:hAnsi="Times New Roman"/>
                <w:lang w:bidi="en-US"/>
              </w:rPr>
              <w:t>Рассмотрев повторное обращение участника о предоставлении проектной документации в дистанционном порядке после подписания соглашения о неразглашении, Заказчик сообщает следующее.</w:t>
            </w:r>
          </w:p>
          <w:p w:rsidR="00BF6AE1" w:rsidRPr="00BF6AE1" w:rsidRDefault="00BF6AE1" w:rsidP="00BF6AE1">
            <w:pPr>
              <w:spacing w:before="120" w:after="0" w:line="240" w:lineRule="auto"/>
              <w:jc w:val="both"/>
              <w:outlineLvl w:val="1"/>
              <w:rPr>
                <w:rFonts w:ascii="Times New Roman" w:hAnsi="Times New Roman"/>
                <w:lang w:bidi="en-US"/>
              </w:rPr>
            </w:pPr>
            <w:r w:rsidRPr="00BF6AE1">
              <w:rPr>
                <w:rFonts w:ascii="Times New Roman" w:hAnsi="Times New Roman"/>
                <w:lang w:bidi="en-US"/>
              </w:rPr>
              <w:t>В соответствии с частью 1 статьи 3 Федерального закона от 18.07.2011 № 223-ФЗ (далее - Закон № 223-ФЗ) закупочная деятельность осуществляется, в том числе, на принципах информационной открытости, равноправия, справедливости, отсутствия дискриминации и необоснованных ограничений конкуренции.</w:t>
            </w:r>
          </w:p>
          <w:p w:rsidR="00BF6AE1" w:rsidRPr="00BF6AE1" w:rsidRDefault="00BF6AE1" w:rsidP="00BF6AE1">
            <w:pPr>
              <w:spacing w:before="120" w:after="0" w:line="240" w:lineRule="auto"/>
              <w:jc w:val="both"/>
              <w:outlineLvl w:val="1"/>
              <w:rPr>
                <w:rFonts w:ascii="Times New Roman" w:hAnsi="Times New Roman"/>
                <w:lang w:bidi="en-US"/>
              </w:rPr>
            </w:pPr>
            <w:r w:rsidRPr="00BF6AE1">
              <w:rPr>
                <w:rFonts w:ascii="Times New Roman" w:hAnsi="Times New Roman"/>
                <w:lang w:bidi="en-US"/>
              </w:rPr>
              <w:t>Согласно статье 4 Закона № 223-ФЗ в единой информационной системе подлежит размещению документация о конкурентной закупке, содержащая предусмотренные законом сведения об объекте закупки, в том числе требования к техническим, качественным и функциональным характеристикам работ и их результата, количественным и качественным характеристикам, месту, условиям и срокам выполнения работ. При этом Закон № 223-ФЗ не устанавливает самостоятельной обязанности размещать в ЕИС каждый имеющийся у Заказчика технический документ только в силу факта его наличия. Юридически значимым является наличие в размещенной документации сведений, достаточных для определения предмета закупки и формирования участником предложения.</w:t>
            </w:r>
          </w:p>
          <w:p w:rsidR="00BF6AE1" w:rsidRPr="00BF6AE1" w:rsidRDefault="00BF6AE1" w:rsidP="00BF6AE1">
            <w:pPr>
              <w:spacing w:before="120" w:after="0" w:line="240" w:lineRule="auto"/>
              <w:jc w:val="both"/>
              <w:outlineLvl w:val="1"/>
              <w:rPr>
                <w:rFonts w:ascii="Times New Roman" w:hAnsi="Times New Roman"/>
                <w:lang w:bidi="en-US"/>
              </w:rPr>
            </w:pPr>
            <w:r w:rsidRPr="00BF6AE1">
              <w:rPr>
                <w:rFonts w:ascii="Times New Roman" w:hAnsi="Times New Roman"/>
                <w:lang w:bidi="en-US"/>
              </w:rPr>
              <w:t xml:space="preserve">Такой подход соответствует правовой позиции, изложенной в пункте 1 Обзора судебной практики по вопросам, связанным с применением Федерального закона от 18.07.2011 № 223-ФЗ «О закупках товаров, работ, услуг отдельными видами юридических лиц», утвержденного Президиумом Верховного Суда Российской Федерации 16.05.2018. Верховный Суд Российской Федерации исходит из </w:t>
            </w:r>
            <w:r w:rsidRPr="00BF6AE1">
              <w:rPr>
                <w:rFonts w:ascii="Times New Roman" w:hAnsi="Times New Roman"/>
                <w:lang w:bidi="en-US"/>
              </w:rPr>
              <w:lastRenderedPageBreak/>
              <w:t>необходимости раскрытия в документации достаточных сведений об объекте закупки, позволяющих потенциальному участнику сформировать свое предложение.</w:t>
            </w:r>
          </w:p>
          <w:p w:rsidR="00BF6AE1" w:rsidRPr="00BF6AE1" w:rsidRDefault="00BF6AE1" w:rsidP="00BF6AE1">
            <w:pPr>
              <w:spacing w:before="120" w:after="0" w:line="240" w:lineRule="auto"/>
              <w:jc w:val="both"/>
              <w:outlineLvl w:val="1"/>
              <w:rPr>
                <w:rFonts w:ascii="Times New Roman" w:hAnsi="Times New Roman"/>
                <w:lang w:bidi="en-US"/>
              </w:rPr>
            </w:pPr>
            <w:r w:rsidRPr="00BF6AE1">
              <w:rPr>
                <w:rFonts w:ascii="Times New Roman" w:hAnsi="Times New Roman"/>
                <w:lang w:bidi="en-US"/>
              </w:rPr>
              <w:t>В рассматриваемой закупке документация, размещенная в установленном порядке, содержит сведения о предмете закупки, местах выполнения работ, корпусах, помещениях и телекоммуникационных шкафах, составе работ, подключаемых рабочих местах, требованиях к кабельной системе, оборудованию, электропитанию, пусконаладочным работам, испытаниям и результату работ. Пунктом 5.4 Технического задания предусмотрено дополнительное ознакомление с проектной документацией Университета. В ней содержатся детализированные сведения о размещении коммуникационных шкафов и оборудования, траекториях прокладки кабелей, схемах организации связи, логической конфигурации сети и иных технических решениях. Ознакомление предоставляется всем заинтересованным лицам по единому порядку в рабочие дни с 10:00 до 17:00 по предварительной договоренности с представителем Заказчика.</w:t>
            </w:r>
          </w:p>
          <w:p w:rsidR="00BF6AE1" w:rsidRPr="00BF6AE1" w:rsidRDefault="00BF6AE1" w:rsidP="00BF6AE1">
            <w:pPr>
              <w:spacing w:before="120" w:after="0" w:line="240" w:lineRule="auto"/>
              <w:jc w:val="both"/>
              <w:outlineLvl w:val="1"/>
              <w:rPr>
                <w:rFonts w:ascii="Times New Roman" w:hAnsi="Times New Roman"/>
                <w:lang w:bidi="en-US"/>
              </w:rPr>
            </w:pPr>
            <w:r w:rsidRPr="00BF6AE1">
              <w:rPr>
                <w:rFonts w:ascii="Times New Roman" w:hAnsi="Times New Roman"/>
                <w:lang w:bidi="en-US"/>
              </w:rPr>
              <w:t>Проектная документация, имеющаяся у Заказчика исполнена на бумажном носителе. Вместе с тем, Закон № 223-ФЗ не устанавливает обязанности Заказчика по требованию отдельного участника создавать электронную копию имеющегося бумажного комплекта проектной документации и организовывать его дистанционную передачу при условии, что сведения, необходимые для формирования заявки, раскрыты в закупочной документации. Установленный Заказчиком порядок ознакомления с бумажным комплектом проектной документации является одинаковым для всех заинтересованных лиц и не зависит от места нахождения, региона регистрации, организационно-правовой формы либо иных характеристик потенциального участника. Сам по себе факт того, что участник находится в другом регионе и несет расходы, связанные с прибытием своего представителя к месту ознакомления, не свидетельствует о предоставлении преимуществ иным участникам, поскольку правила получения доступа к проектной документации являются едиными для всех.</w:t>
            </w:r>
          </w:p>
          <w:p w:rsidR="00BF6AE1" w:rsidRPr="00BF6AE1" w:rsidRDefault="00BF6AE1" w:rsidP="00BF6AE1">
            <w:pPr>
              <w:spacing w:before="120" w:after="0" w:line="240" w:lineRule="auto"/>
              <w:jc w:val="both"/>
              <w:outlineLvl w:val="1"/>
              <w:rPr>
                <w:rFonts w:ascii="Times New Roman" w:hAnsi="Times New Roman"/>
                <w:lang w:bidi="en-US"/>
              </w:rPr>
            </w:pPr>
            <w:r w:rsidRPr="00BF6AE1">
              <w:rPr>
                <w:rFonts w:ascii="Times New Roman" w:hAnsi="Times New Roman"/>
                <w:lang w:bidi="en-US"/>
              </w:rPr>
              <w:t xml:space="preserve">Кроме того, проектная документация содержит детализированные сведения о размещении и конфигурации элементов информационно-телекоммуникационной инфраструктуры Университета, в том числе инфраструктуры, используемой при обработке информации, содержащей персональные данные. </w:t>
            </w:r>
          </w:p>
          <w:p w:rsidR="00BF6AE1" w:rsidRPr="00BF6AE1" w:rsidRDefault="00BF6AE1" w:rsidP="00BF6AE1">
            <w:pPr>
              <w:spacing w:before="120" w:after="0" w:line="240" w:lineRule="auto"/>
              <w:jc w:val="both"/>
              <w:outlineLvl w:val="1"/>
              <w:rPr>
                <w:rFonts w:ascii="Times New Roman" w:hAnsi="Times New Roman"/>
                <w:lang w:bidi="en-US"/>
              </w:rPr>
            </w:pPr>
            <w:r w:rsidRPr="00BF6AE1">
              <w:rPr>
                <w:rFonts w:ascii="Times New Roman" w:hAnsi="Times New Roman"/>
                <w:lang w:bidi="en-US"/>
              </w:rPr>
              <w:lastRenderedPageBreak/>
              <w:t>При определении порядка ознакомления с такими материалами Заказчик учитывает требования ст. 16 Федерального закона от 27.07.2006 № 149</w:t>
            </w:r>
            <w:r w:rsidRPr="00BF6AE1">
              <w:rPr>
                <w:rFonts w:ascii="Times New Roman" w:hAnsi="Times New Roman"/>
                <w:lang w:bidi="en-US"/>
              </w:rPr>
              <w:noBreakHyphen/>
              <w:t>ФЗ «Об информации, информационных технологиях и о защите информации». Указанная статья предусматривает принятие правовых, организационных и технических мер для защиты информации, в том числе от неправомерного доступа, копирования, предоставления и распространения. Поскольку инфраструктура Заказчика используется при обработке персональных данных, то при организации доступа к ней Заказчик также учитывает обязанности оператора по обеспечению безопасности персональных данных, установленные ст. 19 Федерального закона от 27.07.2006 № 152</w:t>
            </w:r>
            <w:r w:rsidRPr="00BF6AE1">
              <w:rPr>
                <w:rFonts w:ascii="Times New Roman" w:hAnsi="Times New Roman"/>
                <w:lang w:bidi="en-US"/>
              </w:rPr>
              <w:noBreakHyphen/>
              <w:t>ФЗ «О персональных данных».</w:t>
            </w:r>
          </w:p>
          <w:p w:rsidR="00BF6AE1" w:rsidRPr="00BF6AE1" w:rsidRDefault="00BF6AE1" w:rsidP="00BF6AE1">
            <w:pPr>
              <w:spacing w:before="120" w:after="0" w:line="240" w:lineRule="auto"/>
              <w:jc w:val="both"/>
              <w:outlineLvl w:val="1"/>
              <w:rPr>
                <w:rFonts w:ascii="Times New Roman" w:hAnsi="Times New Roman"/>
                <w:lang w:bidi="en-US"/>
              </w:rPr>
            </w:pPr>
            <w:r w:rsidRPr="00BF6AE1">
              <w:rPr>
                <w:rFonts w:ascii="Times New Roman" w:hAnsi="Times New Roman"/>
                <w:lang w:bidi="en-US"/>
              </w:rPr>
              <w:t xml:space="preserve">В отношении документов, содержащих служебную информацию ограниченного распространения и отнесённых к ней в установленном порядке, применяется Положение, утверждённое постановлением Правительства Российской Федерации от 03.11.1994 № 1233. Его п. 1.1 распространяет установленный порядок обращения с такими документами в том числе на учреждения, подведомственные федеральным органам исполнительной власти; пп. 1.4 и 1.5 регулируют обозначение документов и полномочия по определению порядка передачи; п. 2.3 предусматривает обмен электронными документами с использованием систем электронного документооборота либо иных решений, отвечающих применимым требованиям информационной безопасности. </w:t>
            </w:r>
          </w:p>
          <w:p w:rsidR="00BF6AE1" w:rsidRPr="00BF6AE1" w:rsidRDefault="00BF6AE1" w:rsidP="00BF6AE1">
            <w:pPr>
              <w:spacing w:before="120" w:after="0" w:line="240" w:lineRule="auto"/>
              <w:jc w:val="both"/>
              <w:outlineLvl w:val="1"/>
              <w:rPr>
                <w:rFonts w:ascii="Times New Roman" w:hAnsi="Times New Roman"/>
                <w:lang w:bidi="en-US"/>
              </w:rPr>
            </w:pPr>
            <w:r w:rsidRPr="00BF6AE1">
              <w:rPr>
                <w:rFonts w:ascii="Times New Roman" w:hAnsi="Times New Roman"/>
                <w:lang w:bidi="en-US"/>
              </w:rPr>
              <w:t xml:space="preserve">Кроме этого, Заказчик, являясь подведомственным учреждением </w:t>
            </w:r>
            <w:r w:rsidRPr="00BF6AE1">
              <w:rPr>
                <w:rFonts w:ascii="Times New Roman" w:hAnsi="Times New Roman"/>
                <w:bCs/>
                <w:lang w:bidi="en-US"/>
              </w:rPr>
              <w:t>Федерального агентства железнодорожного транспорта при организации работы со служебной информацией ограниченного распространения</w:t>
            </w:r>
            <w:r w:rsidRPr="00BF6AE1">
              <w:rPr>
                <w:rFonts w:ascii="Times New Roman" w:hAnsi="Times New Roman"/>
                <w:lang w:bidi="en-US"/>
              </w:rPr>
              <w:t xml:space="preserve"> руководствуется Приказом Росжелдора от 24.01.2011 №18 «Об утверждении Перечня сведений, отнесенных к конфиденциальной (служебной) информации...» и Инструкцией по делопроизводству </w:t>
            </w:r>
            <w:r w:rsidRPr="00BF6AE1">
              <w:rPr>
                <w:rFonts w:ascii="Times New Roman" w:hAnsi="Times New Roman"/>
                <w:bCs/>
                <w:lang w:bidi="en-US"/>
              </w:rPr>
              <w:t xml:space="preserve">(Приказ </w:t>
            </w:r>
            <w:r w:rsidRPr="00BF6AE1">
              <w:rPr>
                <w:rFonts w:ascii="Times New Roman" w:hAnsi="Times New Roman"/>
                <w:lang w:bidi="en-US"/>
              </w:rPr>
              <w:t>Росжелдора</w:t>
            </w:r>
            <w:r w:rsidRPr="00BF6AE1">
              <w:rPr>
                <w:rFonts w:ascii="Times New Roman" w:hAnsi="Times New Roman"/>
                <w:bCs/>
                <w:lang w:bidi="en-US"/>
              </w:rPr>
              <w:t xml:space="preserve"> от 10.09.2021 № 410), на основе которых Заказчик регламентирует работу с конфиденциальной информацией, а именно со сведениями, раскрывающими организацию, состояние защиты информации, носителей информации или информационного процесса и сведениями из схемы локальной вычислительной сети с указанием организационно-технологических параметров, технических характеристик и мест расположения её составных частей и информационных узлов.</w:t>
            </w:r>
          </w:p>
          <w:p w:rsidR="00BF6AE1" w:rsidRPr="00BF6AE1" w:rsidRDefault="00BF6AE1" w:rsidP="00BF6AE1">
            <w:pPr>
              <w:spacing w:before="120" w:after="0" w:line="240" w:lineRule="auto"/>
              <w:jc w:val="both"/>
              <w:outlineLvl w:val="1"/>
              <w:rPr>
                <w:rFonts w:ascii="Times New Roman" w:hAnsi="Times New Roman"/>
                <w:lang w:bidi="en-US"/>
              </w:rPr>
            </w:pPr>
            <w:r w:rsidRPr="00BF6AE1">
              <w:rPr>
                <w:rFonts w:ascii="Times New Roman" w:hAnsi="Times New Roman"/>
                <w:lang w:bidi="en-US"/>
              </w:rPr>
              <w:lastRenderedPageBreak/>
              <w:t>Таким образом, практика предоставления документации конфиденциального характера для ознакомления только в закрытом контуре на территории заказчика является стандартной и правомерной. Это не является необоснованным ограничением конкуренции, так как требование продиктовано режимом защиты информации и одинаково применяется ко всем участникам/подрядчикам. В связи с этим Заказчиком применяется контролируемый порядок ознакомления с полным комплектом соответствующей документации.</w:t>
            </w:r>
          </w:p>
          <w:p w:rsidR="00BF6AE1" w:rsidRPr="00BF6AE1" w:rsidRDefault="00BF6AE1" w:rsidP="00BF6AE1">
            <w:pPr>
              <w:spacing w:before="120" w:after="0" w:line="240" w:lineRule="auto"/>
              <w:jc w:val="both"/>
              <w:outlineLvl w:val="1"/>
              <w:rPr>
                <w:rFonts w:ascii="Times New Roman" w:hAnsi="Times New Roman"/>
                <w:lang w:bidi="en-US"/>
              </w:rPr>
            </w:pPr>
            <w:r w:rsidRPr="00BF6AE1">
              <w:rPr>
                <w:rFonts w:ascii="Times New Roman" w:hAnsi="Times New Roman"/>
                <w:lang w:bidi="en-US"/>
              </w:rPr>
              <w:t>Предложение участника о подписании Соглашения о неразглашении рассмотрено Заказчиком.</w:t>
            </w:r>
          </w:p>
          <w:p w:rsidR="00BF6AE1" w:rsidRPr="00BF6AE1" w:rsidRDefault="00BF6AE1" w:rsidP="00BF6AE1">
            <w:pPr>
              <w:spacing w:before="120" w:after="0" w:line="240" w:lineRule="auto"/>
              <w:jc w:val="both"/>
              <w:outlineLvl w:val="1"/>
              <w:rPr>
                <w:rFonts w:ascii="Times New Roman" w:hAnsi="Times New Roman"/>
                <w:lang w:bidi="en-US"/>
              </w:rPr>
            </w:pPr>
            <w:r w:rsidRPr="00BF6AE1">
              <w:rPr>
                <w:rFonts w:ascii="Times New Roman" w:hAnsi="Times New Roman"/>
                <w:lang w:bidi="en-US"/>
              </w:rPr>
              <w:t xml:space="preserve">Дистанционно подписанное Соглашение о конфиденциальности (NDA) — это инструмент юридической ответственности, который определяет обязанности получателя информации, однако само по себе не является мерой технической защиты при передаче электронных документов и не заменяет соблюдения установленного порядка обращения с ними. Одно только наличие NDA не предотвращает возможную утечку информации и не снимает ответственности с должностных лиц Заказчика за нарушение порядка обращения с информацией ограниченного доступа. </w:t>
            </w:r>
          </w:p>
          <w:p w:rsidR="00BF6AE1" w:rsidRPr="00BF6AE1" w:rsidRDefault="00BF6AE1" w:rsidP="00BF6AE1">
            <w:pPr>
              <w:spacing w:before="120" w:after="0" w:line="240" w:lineRule="auto"/>
              <w:jc w:val="both"/>
              <w:outlineLvl w:val="1"/>
              <w:rPr>
                <w:rFonts w:ascii="Times New Roman" w:hAnsi="Times New Roman"/>
                <w:lang w:bidi="en-US"/>
              </w:rPr>
            </w:pPr>
            <w:r w:rsidRPr="00BF6AE1">
              <w:rPr>
                <w:rFonts w:ascii="Times New Roman" w:hAnsi="Times New Roman"/>
                <w:lang w:bidi="en-US"/>
              </w:rPr>
              <w:t xml:space="preserve">Вместе с тем, заключение Соглашения о конфиденциальности само по себе может регулировать порядок использования предоставленной информации, но не создает обязанности Заказчика перевести имеющийся бумажный комплект проектной документации в электронную форму и передать его дистанционно посредством электронной почты, электронного документооборота, облачного хранилища или иного технического канала. </w:t>
            </w:r>
          </w:p>
          <w:p w:rsidR="00BF6AE1" w:rsidRPr="00BF6AE1" w:rsidRDefault="00BF6AE1" w:rsidP="00BF6AE1">
            <w:pPr>
              <w:spacing w:before="120" w:after="0" w:line="240" w:lineRule="auto"/>
              <w:jc w:val="both"/>
              <w:outlineLvl w:val="1"/>
              <w:rPr>
                <w:rFonts w:ascii="Times New Roman" w:hAnsi="Times New Roman"/>
                <w:lang w:bidi="en-US"/>
              </w:rPr>
            </w:pPr>
            <w:r w:rsidRPr="00BF6AE1">
              <w:rPr>
                <w:rFonts w:ascii="Times New Roman" w:hAnsi="Times New Roman"/>
                <w:lang w:bidi="en-US"/>
              </w:rPr>
              <w:t>При осуществлении закупок, содержащих сведения ограниченного распространения, заказчик обязан обеспечить режим конфиденциальности как на этапе ознакомления с документацией, так и на этапе исполнения договора. По этой причине Заказчик не направляет указанные материалы посредством обычной электронной почты без применения предусмотренных для них мер защиты и порядка передачи, при этом доступ к проектной документации участнику не ограничивается: Заказчик обеспечивает возможность ознакомления с полным имеющимся комплектом до окончания срока подачи заявок на условиях, одинаковых для всех заинтересованных лиц.</w:t>
            </w:r>
          </w:p>
          <w:p w:rsidR="00BF6AE1" w:rsidRPr="00BF6AE1" w:rsidRDefault="00BF6AE1" w:rsidP="00BF6AE1">
            <w:pPr>
              <w:spacing w:before="120" w:after="0" w:line="240" w:lineRule="auto"/>
              <w:jc w:val="both"/>
              <w:outlineLvl w:val="1"/>
              <w:rPr>
                <w:rFonts w:ascii="Times New Roman" w:hAnsi="Times New Roman"/>
                <w:lang w:bidi="en-US"/>
              </w:rPr>
            </w:pPr>
            <w:r w:rsidRPr="00BF6AE1">
              <w:rPr>
                <w:rFonts w:ascii="Times New Roman" w:hAnsi="Times New Roman"/>
                <w:lang w:bidi="en-US"/>
              </w:rPr>
              <w:t xml:space="preserve">Заказчик исходит из необходимости одновременно обеспечить защиту сведений о действующей инфраструктуре и соблюсти </w:t>
            </w:r>
            <w:r w:rsidRPr="00BF6AE1">
              <w:rPr>
                <w:rFonts w:ascii="Times New Roman" w:hAnsi="Times New Roman"/>
                <w:lang w:bidi="en-US"/>
              </w:rPr>
              <w:lastRenderedPageBreak/>
              <w:t>требования Закона № 223</w:t>
            </w:r>
            <w:r w:rsidRPr="00BF6AE1">
              <w:rPr>
                <w:rFonts w:ascii="Times New Roman" w:hAnsi="Times New Roman"/>
                <w:lang w:bidi="en-US"/>
              </w:rPr>
              <w:noBreakHyphen/>
              <w:t xml:space="preserve">ФЗ об информационной открытости закупки. Сведения, необходимые для определения предмета закупки и подготовки заявки, размещены в документации об аукционе. Ознакомление с детализированной проектной документацией в порядке п. 5.4 Технического задания предусмотрено в дополнение к размещённым материалам и, по позиции Заказчика, не создаёт необоснованного ограничения участия в закупке. </w:t>
            </w:r>
          </w:p>
          <w:p w:rsidR="00BF6AE1" w:rsidRPr="00BF6AE1" w:rsidRDefault="00BF6AE1" w:rsidP="00BF6AE1">
            <w:pPr>
              <w:spacing w:before="120" w:after="0" w:line="240" w:lineRule="auto"/>
              <w:jc w:val="both"/>
              <w:outlineLvl w:val="1"/>
              <w:rPr>
                <w:rFonts w:ascii="Times New Roman" w:hAnsi="Times New Roman"/>
                <w:lang w:bidi="en-US"/>
              </w:rPr>
            </w:pPr>
            <w:r w:rsidRPr="00BF6AE1">
              <w:rPr>
                <w:rFonts w:ascii="Times New Roman" w:hAnsi="Times New Roman"/>
                <w:lang w:bidi="en-US"/>
              </w:rPr>
              <w:t>С учетом изложенного, Заказчик подтверждает ранее установленный порядок ознакомления с проектной документацией и не усматривает оснований для его изменения.</w:t>
            </w:r>
          </w:p>
          <w:p w:rsidR="00546A2A" w:rsidRDefault="00546A2A">
            <w:pPr>
              <w:spacing w:before="120" w:after="0" w:line="240" w:lineRule="auto"/>
              <w:jc w:val="both"/>
              <w:outlineLvl w:val="1"/>
              <w:rPr>
                <w:rFonts w:ascii="Times New Roman" w:hAnsi="Times New Roman"/>
                <w:sz w:val="24"/>
                <w:szCs w:val="24"/>
                <w:lang w:bidi="en-US"/>
              </w:rPr>
            </w:pPr>
          </w:p>
        </w:tc>
      </w:tr>
    </w:tbl>
    <w:p w:rsidR="00546A2A" w:rsidRDefault="00546A2A">
      <w:pPr>
        <w:spacing w:after="0"/>
        <w:ind w:firstLine="284"/>
        <w:jc w:val="both"/>
        <w:rPr>
          <w:rFonts w:ascii="Times New Roman" w:hAnsi="Times New Roman"/>
          <w:i/>
          <w:sz w:val="18"/>
          <w:szCs w:val="18"/>
        </w:rPr>
      </w:pPr>
    </w:p>
    <w:p w:rsidR="00546A2A" w:rsidRDefault="00546A2A">
      <w:pPr>
        <w:tabs>
          <w:tab w:val="left" w:pos="7632"/>
        </w:tabs>
        <w:jc w:val="both"/>
        <w:rPr>
          <w:rFonts w:ascii="Times New Roman" w:hAnsi="Times New Roman"/>
        </w:rPr>
      </w:pPr>
    </w:p>
    <w:p w:rsidR="00546A2A" w:rsidRDefault="00302B84">
      <w:pPr>
        <w:tabs>
          <w:tab w:val="left" w:pos="7632"/>
        </w:tabs>
        <w:jc w:val="both"/>
        <w:rPr>
          <w:rFonts w:ascii="Times New Roman" w:hAnsi="Times New Roman"/>
        </w:rPr>
      </w:pPr>
      <w:r>
        <w:rPr>
          <w:rFonts w:ascii="Times New Roman" w:hAnsi="Times New Roman"/>
        </w:rPr>
        <w:t>И</w:t>
      </w:r>
      <w:r>
        <w:rPr>
          <w:rFonts w:ascii="Times New Roman" w:hAnsi="Times New Roman"/>
        </w:rPr>
        <w:t xml:space="preserve">.о </w:t>
      </w:r>
      <w:r>
        <w:rPr>
          <w:rFonts w:ascii="Times New Roman" w:hAnsi="Times New Roman"/>
        </w:rPr>
        <w:t>Проректор</w:t>
      </w:r>
      <w:r>
        <w:rPr>
          <w:rFonts w:ascii="Times New Roman" w:hAnsi="Times New Roman"/>
        </w:rPr>
        <w:t>а</w:t>
      </w:r>
      <w:r>
        <w:rPr>
          <w:rFonts w:ascii="Times New Roman" w:hAnsi="Times New Roman"/>
        </w:rPr>
        <w:t xml:space="preserve"> по экономике и информатизации                                                                        </w:t>
      </w:r>
      <w:r>
        <w:rPr>
          <w:rFonts w:ascii="Times New Roman" w:hAnsi="Times New Roman"/>
        </w:rPr>
        <w:t>Т</w:t>
      </w:r>
      <w:r>
        <w:rPr>
          <w:rFonts w:ascii="Times New Roman" w:hAnsi="Times New Roman"/>
        </w:rPr>
        <w:t>.</w:t>
      </w:r>
      <w:r>
        <w:rPr>
          <w:rFonts w:ascii="Times New Roman" w:hAnsi="Times New Roman"/>
        </w:rPr>
        <w:t>К</w:t>
      </w:r>
      <w:r>
        <w:rPr>
          <w:rFonts w:ascii="Times New Roman" w:hAnsi="Times New Roman"/>
        </w:rPr>
        <w:t xml:space="preserve">. </w:t>
      </w:r>
      <w:r>
        <w:rPr>
          <w:rFonts w:ascii="Times New Roman" w:hAnsi="Times New Roman"/>
        </w:rPr>
        <w:t>Чиркова</w:t>
      </w:r>
    </w:p>
    <w:p w:rsidR="00546A2A" w:rsidRDefault="00546A2A">
      <w:pPr>
        <w:tabs>
          <w:tab w:val="left" w:pos="7632"/>
        </w:tabs>
        <w:jc w:val="both"/>
        <w:rPr>
          <w:rFonts w:ascii="Times New Roman" w:hAnsi="Times New Roman"/>
        </w:rPr>
      </w:pPr>
    </w:p>
    <w:p w:rsidR="00546A2A" w:rsidRDefault="00546A2A">
      <w:pPr>
        <w:tabs>
          <w:tab w:val="left" w:pos="7632"/>
        </w:tabs>
        <w:jc w:val="both"/>
        <w:rPr>
          <w:rFonts w:ascii="Times New Roman" w:hAnsi="Times New Roman"/>
        </w:rPr>
      </w:pPr>
    </w:p>
    <w:p w:rsidR="00546A2A" w:rsidRDefault="00546A2A">
      <w:pPr>
        <w:tabs>
          <w:tab w:val="left" w:pos="7632"/>
        </w:tabs>
        <w:jc w:val="both"/>
        <w:rPr>
          <w:rFonts w:ascii="Times New Roman" w:hAnsi="Times New Roman"/>
        </w:rPr>
      </w:pPr>
    </w:p>
    <w:p w:rsidR="00546A2A" w:rsidRDefault="00546A2A">
      <w:pPr>
        <w:tabs>
          <w:tab w:val="left" w:pos="7632"/>
        </w:tabs>
        <w:jc w:val="both"/>
        <w:rPr>
          <w:rFonts w:ascii="Times New Roman" w:hAnsi="Times New Roman"/>
        </w:rPr>
      </w:pPr>
    </w:p>
    <w:p w:rsidR="00546A2A" w:rsidRDefault="00546A2A">
      <w:pPr>
        <w:tabs>
          <w:tab w:val="left" w:pos="7632"/>
        </w:tabs>
        <w:jc w:val="both"/>
        <w:rPr>
          <w:rFonts w:ascii="Times New Roman" w:hAnsi="Times New Roman"/>
        </w:rPr>
      </w:pPr>
    </w:p>
    <w:p w:rsidR="00546A2A" w:rsidRDefault="00546A2A">
      <w:pPr>
        <w:spacing w:after="0" w:line="240" w:lineRule="auto"/>
        <w:jc w:val="both"/>
        <w:rPr>
          <w:rFonts w:ascii="Times New Roman" w:hAnsi="Times New Roman"/>
          <w:sz w:val="20"/>
          <w:szCs w:val="20"/>
        </w:rPr>
      </w:pPr>
    </w:p>
    <w:sectPr w:rsidR="00546A2A">
      <w:pgSz w:w="11906" w:h="16838"/>
      <w:pgMar w:top="709" w:right="850" w:bottom="1134"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2B84" w:rsidRDefault="00302B84">
      <w:pPr>
        <w:spacing w:line="240" w:lineRule="auto"/>
      </w:pPr>
      <w:r>
        <w:separator/>
      </w:r>
    </w:p>
  </w:endnote>
  <w:endnote w:type="continuationSeparator" w:id="0">
    <w:p w:rsidR="00302B84" w:rsidRDefault="00302B8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等线 Light">
    <w:altName w:val="Segoe Print"/>
    <w:charset w:val="00"/>
    <w:family w:val="auto"/>
    <w:pitch w:val="default"/>
  </w:font>
  <w:font w:name="DengXian">
    <w:altName w:val="等线"/>
    <w:panose1 w:val="02010600030101010101"/>
    <w:charset w:val="86"/>
    <w:family w:val="auto"/>
    <w:pitch w:val="default"/>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2B84" w:rsidRDefault="00302B84">
      <w:pPr>
        <w:spacing w:after="0"/>
      </w:pPr>
      <w:r>
        <w:separator/>
      </w:r>
    </w:p>
  </w:footnote>
  <w:footnote w:type="continuationSeparator" w:id="0">
    <w:p w:rsidR="00302B84" w:rsidRDefault="00302B84">
      <w:pPr>
        <w:spacing w:after="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A3FC639"/>
    <w:multiLevelType w:val="singleLevel"/>
    <w:tmpl w:val="8A3FC639"/>
    <w:lvl w:ilvl="0">
      <w:start w:val="1"/>
      <w:numFmt w:val="decimal"/>
      <w:suff w:val="space"/>
      <w:lvlText w:val="%1."/>
      <w:lvlJc w:val="left"/>
    </w:lvl>
  </w:abstractNum>
  <w:abstractNum w:abstractNumId="1" w15:restartNumberingAfterBreak="0">
    <w:nsid w:val="17A55987"/>
    <w:multiLevelType w:val="multilevel"/>
    <w:tmpl w:val="CC8EE1F0"/>
    <w:lvl w:ilvl="0">
      <w:start w:val="1"/>
      <w:numFmt w:val="bullet"/>
      <w:lvlText w:val=""/>
      <w:lvlJc w:val="left"/>
      <w:pPr>
        <w:tabs>
          <w:tab w:val="left" w:pos="0"/>
          <w:tab w:val="left" w:pos="540"/>
          <w:tab w:val="num" w:pos="720"/>
        </w:tabs>
        <w:ind w:left="720" w:hanging="360"/>
      </w:pPr>
      <w:rPr>
        <w:rFonts w:ascii="Symbol" w:hAnsi="Symbol" w:hint="default"/>
      </w:rPr>
    </w:lvl>
    <w:lvl w:ilvl="1">
      <w:start w:val="1"/>
      <w:numFmt w:val="bullet"/>
      <w:lvlText w:val="o"/>
      <w:lvlJc w:val="left"/>
      <w:pPr>
        <w:tabs>
          <w:tab w:val="left" w:pos="0"/>
          <w:tab w:val="left" w:pos="1080"/>
          <w:tab w:val="num" w:pos="1440"/>
        </w:tabs>
        <w:ind w:left="1440" w:hanging="360"/>
      </w:pPr>
      <w:rPr>
        <w:rFonts w:ascii="Courier New" w:hAnsi="Courier New" w:cs="Courier New" w:hint="default"/>
      </w:rPr>
    </w:lvl>
    <w:lvl w:ilvl="2">
      <w:start w:val="1"/>
      <w:numFmt w:val="bullet"/>
      <w:lvlText w:val=""/>
      <w:lvlJc w:val="left"/>
      <w:pPr>
        <w:tabs>
          <w:tab w:val="left" w:pos="0"/>
          <w:tab w:val="left" w:pos="1620"/>
          <w:tab w:val="num" w:pos="2160"/>
        </w:tabs>
        <w:ind w:left="2160" w:hanging="360"/>
      </w:pPr>
      <w:rPr>
        <w:rFonts w:ascii="Wingdings" w:hAnsi="Wingdings" w:hint="default"/>
      </w:rPr>
    </w:lvl>
    <w:lvl w:ilvl="3">
      <w:start w:val="1"/>
      <w:numFmt w:val="bullet"/>
      <w:lvlText w:val=""/>
      <w:lvlJc w:val="left"/>
      <w:pPr>
        <w:tabs>
          <w:tab w:val="left" w:pos="0"/>
          <w:tab w:val="left" w:pos="2160"/>
          <w:tab w:val="num" w:pos="2880"/>
        </w:tabs>
        <w:ind w:left="2880" w:hanging="360"/>
      </w:pPr>
      <w:rPr>
        <w:rFonts w:ascii="Wingdings" w:hAnsi="Wingdings" w:hint="default"/>
      </w:rPr>
    </w:lvl>
    <w:lvl w:ilvl="4">
      <w:start w:val="1"/>
      <w:numFmt w:val="bullet"/>
      <w:lvlText w:val=""/>
      <w:lvlJc w:val="left"/>
      <w:pPr>
        <w:tabs>
          <w:tab w:val="left" w:pos="0"/>
          <w:tab w:val="left" w:pos="2700"/>
          <w:tab w:val="num" w:pos="3600"/>
        </w:tabs>
        <w:ind w:left="3600" w:hanging="360"/>
      </w:pPr>
      <w:rPr>
        <w:rFonts w:ascii="Wingdings" w:hAnsi="Wingdings" w:hint="default"/>
      </w:rPr>
    </w:lvl>
    <w:lvl w:ilvl="5">
      <w:start w:val="1"/>
      <w:numFmt w:val="bullet"/>
      <w:lvlText w:val=""/>
      <w:lvlJc w:val="left"/>
      <w:pPr>
        <w:tabs>
          <w:tab w:val="left" w:pos="0"/>
          <w:tab w:val="left" w:pos="3240"/>
          <w:tab w:val="num" w:pos="4320"/>
        </w:tabs>
        <w:ind w:left="4320" w:hanging="360"/>
      </w:pPr>
      <w:rPr>
        <w:rFonts w:ascii="Wingdings" w:hAnsi="Wingdings" w:hint="default"/>
      </w:rPr>
    </w:lvl>
    <w:lvl w:ilvl="6">
      <w:start w:val="1"/>
      <w:numFmt w:val="bullet"/>
      <w:lvlText w:val=""/>
      <w:lvlJc w:val="left"/>
      <w:pPr>
        <w:tabs>
          <w:tab w:val="left" w:pos="0"/>
          <w:tab w:val="left" w:pos="3780"/>
          <w:tab w:val="num" w:pos="5040"/>
        </w:tabs>
        <w:ind w:left="5040" w:hanging="360"/>
      </w:pPr>
      <w:rPr>
        <w:rFonts w:ascii="Wingdings" w:hAnsi="Wingdings" w:hint="default"/>
      </w:rPr>
    </w:lvl>
    <w:lvl w:ilvl="7">
      <w:start w:val="1"/>
      <w:numFmt w:val="bullet"/>
      <w:lvlText w:val=""/>
      <w:lvlJc w:val="left"/>
      <w:pPr>
        <w:tabs>
          <w:tab w:val="left" w:pos="0"/>
          <w:tab w:val="left" w:pos="4320"/>
          <w:tab w:val="num" w:pos="5760"/>
        </w:tabs>
        <w:ind w:left="5760" w:hanging="360"/>
      </w:pPr>
      <w:rPr>
        <w:rFonts w:ascii="Wingdings" w:hAnsi="Wingdings" w:hint="default"/>
      </w:rPr>
    </w:lvl>
    <w:lvl w:ilvl="8">
      <w:start w:val="1"/>
      <w:numFmt w:val="bullet"/>
      <w:lvlText w:val=""/>
      <w:lvlJc w:val="left"/>
      <w:pPr>
        <w:tabs>
          <w:tab w:val="left" w:pos="0"/>
          <w:tab w:val="left" w:pos="4860"/>
          <w:tab w:val="num" w:pos="6480"/>
        </w:tabs>
        <w:ind w:left="6480" w:hanging="360"/>
      </w:pPr>
      <w:rPr>
        <w:rFonts w:ascii="Wingdings" w:hAnsi="Wingdings" w:hint="default"/>
      </w:rPr>
    </w:lvl>
  </w:abstractNum>
  <w:abstractNum w:abstractNumId="2" w15:restartNumberingAfterBreak="0">
    <w:nsid w:val="25027FA6"/>
    <w:multiLevelType w:val="multilevel"/>
    <w:tmpl w:val="9B3CF80A"/>
    <w:lvl w:ilvl="0">
      <w:start w:val="1"/>
      <w:numFmt w:val="bullet"/>
      <w:lvlText w:val=""/>
      <w:lvlJc w:val="left"/>
      <w:pPr>
        <w:tabs>
          <w:tab w:val="left" w:pos="0"/>
          <w:tab w:val="left" w:pos="540"/>
          <w:tab w:val="num" w:pos="720"/>
        </w:tabs>
        <w:ind w:left="720" w:hanging="360"/>
      </w:pPr>
      <w:rPr>
        <w:rFonts w:ascii="Symbol" w:hAnsi="Symbol" w:hint="default"/>
      </w:rPr>
    </w:lvl>
    <w:lvl w:ilvl="1">
      <w:start w:val="1"/>
      <w:numFmt w:val="bullet"/>
      <w:lvlText w:val="o"/>
      <w:lvlJc w:val="left"/>
      <w:pPr>
        <w:tabs>
          <w:tab w:val="left" w:pos="0"/>
          <w:tab w:val="left" w:pos="1080"/>
          <w:tab w:val="num" w:pos="1440"/>
        </w:tabs>
        <w:ind w:left="1440" w:hanging="360"/>
      </w:pPr>
      <w:rPr>
        <w:rFonts w:ascii="Courier New" w:hAnsi="Courier New" w:cs="Courier New" w:hint="default"/>
      </w:rPr>
    </w:lvl>
    <w:lvl w:ilvl="2">
      <w:start w:val="1"/>
      <w:numFmt w:val="bullet"/>
      <w:lvlText w:val=""/>
      <w:lvlJc w:val="left"/>
      <w:pPr>
        <w:tabs>
          <w:tab w:val="left" w:pos="0"/>
          <w:tab w:val="left" w:pos="1620"/>
          <w:tab w:val="num" w:pos="2160"/>
        </w:tabs>
        <w:ind w:left="2160" w:hanging="360"/>
      </w:pPr>
      <w:rPr>
        <w:rFonts w:ascii="Wingdings" w:hAnsi="Wingdings" w:hint="default"/>
      </w:rPr>
    </w:lvl>
    <w:lvl w:ilvl="3">
      <w:start w:val="1"/>
      <w:numFmt w:val="bullet"/>
      <w:lvlText w:val=""/>
      <w:lvlJc w:val="left"/>
      <w:pPr>
        <w:tabs>
          <w:tab w:val="left" w:pos="0"/>
          <w:tab w:val="left" w:pos="2160"/>
          <w:tab w:val="num" w:pos="2880"/>
        </w:tabs>
        <w:ind w:left="2880" w:hanging="360"/>
      </w:pPr>
      <w:rPr>
        <w:rFonts w:ascii="Wingdings" w:hAnsi="Wingdings" w:hint="default"/>
      </w:rPr>
    </w:lvl>
    <w:lvl w:ilvl="4">
      <w:start w:val="1"/>
      <w:numFmt w:val="bullet"/>
      <w:lvlText w:val=""/>
      <w:lvlJc w:val="left"/>
      <w:pPr>
        <w:tabs>
          <w:tab w:val="left" w:pos="0"/>
          <w:tab w:val="left" w:pos="2700"/>
          <w:tab w:val="num" w:pos="3600"/>
        </w:tabs>
        <w:ind w:left="3600" w:hanging="360"/>
      </w:pPr>
      <w:rPr>
        <w:rFonts w:ascii="Wingdings" w:hAnsi="Wingdings" w:hint="default"/>
      </w:rPr>
    </w:lvl>
    <w:lvl w:ilvl="5">
      <w:start w:val="1"/>
      <w:numFmt w:val="bullet"/>
      <w:lvlText w:val=""/>
      <w:lvlJc w:val="left"/>
      <w:pPr>
        <w:tabs>
          <w:tab w:val="left" w:pos="0"/>
          <w:tab w:val="left" w:pos="3240"/>
          <w:tab w:val="num" w:pos="4320"/>
        </w:tabs>
        <w:ind w:left="4320" w:hanging="360"/>
      </w:pPr>
      <w:rPr>
        <w:rFonts w:ascii="Wingdings" w:hAnsi="Wingdings" w:hint="default"/>
      </w:rPr>
    </w:lvl>
    <w:lvl w:ilvl="6">
      <w:start w:val="1"/>
      <w:numFmt w:val="bullet"/>
      <w:lvlText w:val=""/>
      <w:lvlJc w:val="left"/>
      <w:pPr>
        <w:tabs>
          <w:tab w:val="left" w:pos="0"/>
          <w:tab w:val="left" w:pos="3780"/>
          <w:tab w:val="num" w:pos="5040"/>
        </w:tabs>
        <w:ind w:left="5040" w:hanging="360"/>
      </w:pPr>
      <w:rPr>
        <w:rFonts w:ascii="Wingdings" w:hAnsi="Wingdings" w:hint="default"/>
      </w:rPr>
    </w:lvl>
    <w:lvl w:ilvl="7">
      <w:start w:val="1"/>
      <w:numFmt w:val="bullet"/>
      <w:lvlText w:val=""/>
      <w:lvlJc w:val="left"/>
      <w:pPr>
        <w:tabs>
          <w:tab w:val="left" w:pos="0"/>
          <w:tab w:val="left" w:pos="4320"/>
          <w:tab w:val="num" w:pos="5760"/>
        </w:tabs>
        <w:ind w:left="5760" w:hanging="360"/>
      </w:pPr>
      <w:rPr>
        <w:rFonts w:ascii="Wingdings" w:hAnsi="Wingdings" w:hint="default"/>
      </w:rPr>
    </w:lvl>
    <w:lvl w:ilvl="8">
      <w:start w:val="1"/>
      <w:numFmt w:val="bullet"/>
      <w:lvlText w:val=""/>
      <w:lvlJc w:val="left"/>
      <w:pPr>
        <w:tabs>
          <w:tab w:val="left" w:pos="0"/>
          <w:tab w:val="left" w:pos="4860"/>
          <w:tab w:val="num" w:pos="6480"/>
        </w:tabs>
        <w:ind w:left="6480" w:hanging="360"/>
      </w:pPr>
      <w:rPr>
        <w:rFonts w:ascii="Wingdings" w:hAnsi="Wingdings" w:hint="default"/>
      </w:rPr>
    </w:lvl>
  </w:abstractNum>
  <w:abstractNum w:abstractNumId="3" w15:restartNumberingAfterBreak="0">
    <w:nsid w:val="30E2160C"/>
    <w:multiLevelType w:val="multilevel"/>
    <w:tmpl w:val="09DA3FAC"/>
    <w:lvl w:ilvl="0">
      <w:start w:val="1"/>
      <w:numFmt w:val="bullet"/>
      <w:lvlText w:val=""/>
      <w:lvlJc w:val="left"/>
      <w:pPr>
        <w:tabs>
          <w:tab w:val="left" w:pos="0"/>
          <w:tab w:val="left" w:pos="540"/>
          <w:tab w:val="num" w:pos="720"/>
        </w:tabs>
        <w:ind w:left="720" w:hanging="360"/>
      </w:pPr>
      <w:rPr>
        <w:rFonts w:ascii="Symbol" w:hAnsi="Symbol" w:hint="default"/>
      </w:rPr>
    </w:lvl>
    <w:lvl w:ilvl="1">
      <w:start w:val="1"/>
      <w:numFmt w:val="bullet"/>
      <w:lvlText w:val="o"/>
      <w:lvlJc w:val="left"/>
      <w:pPr>
        <w:tabs>
          <w:tab w:val="left" w:pos="0"/>
          <w:tab w:val="left" w:pos="1080"/>
          <w:tab w:val="num" w:pos="1440"/>
        </w:tabs>
        <w:ind w:left="1440" w:hanging="360"/>
      </w:pPr>
      <w:rPr>
        <w:rFonts w:ascii="Courier New" w:hAnsi="Courier New" w:cs="Courier New" w:hint="default"/>
      </w:rPr>
    </w:lvl>
    <w:lvl w:ilvl="2">
      <w:start w:val="1"/>
      <w:numFmt w:val="bullet"/>
      <w:lvlText w:val=""/>
      <w:lvlJc w:val="left"/>
      <w:pPr>
        <w:tabs>
          <w:tab w:val="left" w:pos="0"/>
          <w:tab w:val="left" w:pos="1620"/>
          <w:tab w:val="num" w:pos="2160"/>
        </w:tabs>
        <w:ind w:left="2160" w:hanging="360"/>
      </w:pPr>
      <w:rPr>
        <w:rFonts w:ascii="Wingdings" w:hAnsi="Wingdings" w:hint="default"/>
      </w:rPr>
    </w:lvl>
    <w:lvl w:ilvl="3">
      <w:start w:val="1"/>
      <w:numFmt w:val="bullet"/>
      <w:lvlText w:val=""/>
      <w:lvlJc w:val="left"/>
      <w:pPr>
        <w:tabs>
          <w:tab w:val="left" w:pos="0"/>
          <w:tab w:val="left" w:pos="2160"/>
          <w:tab w:val="num" w:pos="2880"/>
        </w:tabs>
        <w:ind w:left="2880" w:hanging="360"/>
      </w:pPr>
      <w:rPr>
        <w:rFonts w:ascii="Wingdings" w:hAnsi="Wingdings" w:hint="default"/>
      </w:rPr>
    </w:lvl>
    <w:lvl w:ilvl="4">
      <w:start w:val="1"/>
      <w:numFmt w:val="bullet"/>
      <w:lvlText w:val=""/>
      <w:lvlJc w:val="left"/>
      <w:pPr>
        <w:tabs>
          <w:tab w:val="left" w:pos="0"/>
          <w:tab w:val="left" w:pos="2700"/>
          <w:tab w:val="num" w:pos="3600"/>
        </w:tabs>
        <w:ind w:left="3600" w:hanging="360"/>
      </w:pPr>
      <w:rPr>
        <w:rFonts w:ascii="Wingdings" w:hAnsi="Wingdings" w:hint="default"/>
      </w:rPr>
    </w:lvl>
    <w:lvl w:ilvl="5">
      <w:start w:val="1"/>
      <w:numFmt w:val="bullet"/>
      <w:lvlText w:val=""/>
      <w:lvlJc w:val="left"/>
      <w:pPr>
        <w:tabs>
          <w:tab w:val="left" w:pos="0"/>
          <w:tab w:val="left" w:pos="3240"/>
          <w:tab w:val="num" w:pos="4320"/>
        </w:tabs>
        <w:ind w:left="4320" w:hanging="360"/>
      </w:pPr>
      <w:rPr>
        <w:rFonts w:ascii="Wingdings" w:hAnsi="Wingdings" w:hint="default"/>
      </w:rPr>
    </w:lvl>
    <w:lvl w:ilvl="6">
      <w:start w:val="1"/>
      <w:numFmt w:val="bullet"/>
      <w:lvlText w:val=""/>
      <w:lvlJc w:val="left"/>
      <w:pPr>
        <w:tabs>
          <w:tab w:val="left" w:pos="0"/>
          <w:tab w:val="left" w:pos="3780"/>
          <w:tab w:val="num" w:pos="5040"/>
        </w:tabs>
        <w:ind w:left="5040" w:hanging="360"/>
      </w:pPr>
      <w:rPr>
        <w:rFonts w:ascii="Wingdings" w:hAnsi="Wingdings" w:hint="default"/>
      </w:rPr>
    </w:lvl>
    <w:lvl w:ilvl="7">
      <w:start w:val="1"/>
      <w:numFmt w:val="bullet"/>
      <w:lvlText w:val=""/>
      <w:lvlJc w:val="left"/>
      <w:pPr>
        <w:tabs>
          <w:tab w:val="left" w:pos="0"/>
          <w:tab w:val="left" w:pos="4320"/>
          <w:tab w:val="num" w:pos="5760"/>
        </w:tabs>
        <w:ind w:left="5760" w:hanging="360"/>
      </w:pPr>
      <w:rPr>
        <w:rFonts w:ascii="Wingdings" w:hAnsi="Wingdings" w:hint="default"/>
      </w:rPr>
    </w:lvl>
    <w:lvl w:ilvl="8">
      <w:start w:val="1"/>
      <w:numFmt w:val="bullet"/>
      <w:lvlText w:val=""/>
      <w:lvlJc w:val="left"/>
      <w:pPr>
        <w:tabs>
          <w:tab w:val="left" w:pos="0"/>
          <w:tab w:val="left" w:pos="4860"/>
          <w:tab w:val="num" w:pos="6480"/>
        </w:tabs>
        <w:ind w:left="6480" w:hanging="360"/>
      </w:pPr>
      <w:rPr>
        <w:rFonts w:ascii="Wingdings" w:hAnsi="Wingdings" w:hint="default"/>
      </w:rPr>
    </w:lvl>
  </w:abstractNum>
  <w:abstractNum w:abstractNumId="4" w15:restartNumberingAfterBreak="0">
    <w:nsid w:val="6F665C42"/>
    <w:multiLevelType w:val="multilevel"/>
    <w:tmpl w:val="6F665C42"/>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5" w15:restartNumberingAfterBreak="0">
    <w:nsid w:val="7CB509E4"/>
    <w:multiLevelType w:val="multilevel"/>
    <w:tmpl w:val="555C0230"/>
    <w:lvl w:ilvl="0">
      <w:start w:val="1"/>
      <w:numFmt w:val="bullet"/>
      <w:lvlText w:val=""/>
      <w:lvlJc w:val="left"/>
      <w:pPr>
        <w:tabs>
          <w:tab w:val="left" w:pos="0"/>
          <w:tab w:val="left" w:pos="540"/>
          <w:tab w:val="num" w:pos="720"/>
        </w:tabs>
        <w:ind w:left="720" w:hanging="360"/>
      </w:pPr>
      <w:rPr>
        <w:rFonts w:ascii="Symbol" w:hAnsi="Symbol" w:hint="default"/>
      </w:rPr>
    </w:lvl>
    <w:lvl w:ilvl="1">
      <w:start w:val="1"/>
      <w:numFmt w:val="bullet"/>
      <w:lvlText w:val="o"/>
      <w:lvlJc w:val="left"/>
      <w:pPr>
        <w:tabs>
          <w:tab w:val="left" w:pos="0"/>
          <w:tab w:val="left" w:pos="1080"/>
          <w:tab w:val="num" w:pos="1440"/>
        </w:tabs>
        <w:ind w:left="1440" w:hanging="360"/>
      </w:pPr>
      <w:rPr>
        <w:rFonts w:ascii="Courier New" w:hAnsi="Courier New" w:cs="Courier New" w:hint="default"/>
      </w:rPr>
    </w:lvl>
    <w:lvl w:ilvl="2">
      <w:start w:val="1"/>
      <w:numFmt w:val="bullet"/>
      <w:lvlText w:val=""/>
      <w:lvlJc w:val="left"/>
      <w:pPr>
        <w:tabs>
          <w:tab w:val="left" w:pos="0"/>
          <w:tab w:val="left" w:pos="1620"/>
          <w:tab w:val="num" w:pos="2160"/>
        </w:tabs>
        <w:ind w:left="2160" w:hanging="360"/>
      </w:pPr>
      <w:rPr>
        <w:rFonts w:ascii="Wingdings" w:hAnsi="Wingdings" w:hint="default"/>
      </w:rPr>
    </w:lvl>
    <w:lvl w:ilvl="3">
      <w:start w:val="1"/>
      <w:numFmt w:val="bullet"/>
      <w:lvlText w:val=""/>
      <w:lvlJc w:val="left"/>
      <w:pPr>
        <w:tabs>
          <w:tab w:val="left" w:pos="0"/>
          <w:tab w:val="left" w:pos="2160"/>
          <w:tab w:val="num" w:pos="2880"/>
        </w:tabs>
        <w:ind w:left="2880" w:hanging="360"/>
      </w:pPr>
      <w:rPr>
        <w:rFonts w:ascii="Wingdings" w:hAnsi="Wingdings" w:hint="default"/>
      </w:rPr>
    </w:lvl>
    <w:lvl w:ilvl="4">
      <w:start w:val="1"/>
      <w:numFmt w:val="bullet"/>
      <w:lvlText w:val=""/>
      <w:lvlJc w:val="left"/>
      <w:pPr>
        <w:tabs>
          <w:tab w:val="left" w:pos="0"/>
          <w:tab w:val="left" w:pos="2700"/>
          <w:tab w:val="num" w:pos="3600"/>
        </w:tabs>
        <w:ind w:left="3600" w:hanging="360"/>
      </w:pPr>
      <w:rPr>
        <w:rFonts w:ascii="Wingdings" w:hAnsi="Wingdings" w:hint="default"/>
      </w:rPr>
    </w:lvl>
    <w:lvl w:ilvl="5">
      <w:start w:val="1"/>
      <w:numFmt w:val="bullet"/>
      <w:lvlText w:val=""/>
      <w:lvlJc w:val="left"/>
      <w:pPr>
        <w:tabs>
          <w:tab w:val="left" w:pos="0"/>
          <w:tab w:val="left" w:pos="3240"/>
          <w:tab w:val="num" w:pos="4320"/>
        </w:tabs>
        <w:ind w:left="4320" w:hanging="360"/>
      </w:pPr>
      <w:rPr>
        <w:rFonts w:ascii="Wingdings" w:hAnsi="Wingdings" w:hint="default"/>
      </w:rPr>
    </w:lvl>
    <w:lvl w:ilvl="6">
      <w:start w:val="1"/>
      <w:numFmt w:val="bullet"/>
      <w:lvlText w:val=""/>
      <w:lvlJc w:val="left"/>
      <w:pPr>
        <w:tabs>
          <w:tab w:val="left" w:pos="0"/>
          <w:tab w:val="left" w:pos="3780"/>
          <w:tab w:val="num" w:pos="5040"/>
        </w:tabs>
        <w:ind w:left="5040" w:hanging="360"/>
      </w:pPr>
      <w:rPr>
        <w:rFonts w:ascii="Wingdings" w:hAnsi="Wingdings" w:hint="default"/>
      </w:rPr>
    </w:lvl>
    <w:lvl w:ilvl="7">
      <w:start w:val="1"/>
      <w:numFmt w:val="bullet"/>
      <w:lvlText w:val=""/>
      <w:lvlJc w:val="left"/>
      <w:pPr>
        <w:tabs>
          <w:tab w:val="left" w:pos="0"/>
          <w:tab w:val="left" w:pos="4320"/>
          <w:tab w:val="num" w:pos="5760"/>
        </w:tabs>
        <w:ind w:left="5760" w:hanging="360"/>
      </w:pPr>
      <w:rPr>
        <w:rFonts w:ascii="Wingdings" w:hAnsi="Wingdings" w:hint="default"/>
      </w:rPr>
    </w:lvl>
    <w:lvl w:ilvl="8">
      <w:start w:val="1"/>
      <w:numFmt w:val="bullet"/>
      <w:lvlText w:val=""/>
      <w:lvlJc w:val="left"/>
      <w:pPr>
        <w:tabs>
          <w:tab w:val="left" w:pos="0"/>
          <w:tab w:val="left" w:pos="4860"/>
          <w:tab w:val="num" w:pos="6480"/>
        </w:tabs>
        <w:ind w:left="6480" w:hanging="360"/>
      </w:pPr>
      <w:rPr>
        <w:rFonts w:ascii="Wingdings" w:hAnsi="Wingdings" w:hint="default"/>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lvlOverride w:ilvl="0"/>
    <w:lvlOverride w:ilvl="1"/>
    <w:lvlOverride w:ilvl="2"/>
    <w:lvlOverride w:ilvl="3"/>
    <w:lvlOverride w:ilvl="4"/>
    <w:lvlOverride w:ilvl="5"/>
    <w:lvlOverride w:ilvl="6"/>
    <w:lvlOverride w:ilvl="7"/>
    <w:lvlOverride w:ilvl="8"/>
  </w:num>
  <w:num w:numId="4">
    <w:abstractNumId w:val="3"/>
    <w:lvlOverride w:ilvl="0"/>
    <w:lvlOverride w:ilvl="1"/>
    <w:lvlOverride w:ilvl="2"/>
    <w:lvlOverride w:ilvl="3"/>
    <w:lvlOverride w:ilvl="4"/>
    <w:lvlOverride w:ilvl="5"/>
    <w:lvlOverride w:ilvl="6"/>
    <w:lvlOverride w:ilvl="7"/>
    <w:lvlOverride w:ilvl="8"/>
  </w:num>
  <w:num w:numId="5">
    <w:abstractNumId w:val="5"/>
    <w:lvlOverride w:ilvl="0"/>
    <w:lvlOverride w:ilvl="1"/>
    <w:lvlOverride w:ilvl="2"/>
    <w:lvlOverride w:ilvl="3"/>
    <w:lvlOverride w:ilvl="4"/>
    <w:lvlOverride w:ilvl="5"/>
    <w:lvlOverride w:ilvl="6"/>
    <w:lvlOverride w:ilvl="7"/>
    <w:lvlOverride w:ilvl="8"/>
  </w:num>
  <w:num w:numId="6">
    <w:abstractNumId w:val="2"/>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7261"/>
    <w:rsid w:val="000547B5"/>
    <w:rsid w:val="00097261"/>
    <w:rsid w:val="00102E0C"/>
    <w:rsid w:val="00155663"/>
    <w:rsid w:val="001B7105"/>
    <w:rsid w:val="001D1B3C"/>
    <w:rsid w:val="001F0AD3"/>
    <w:rsid w:val="00243A40"/>
    <w:rsid w:val="0029068F"/>
    <w:rsid w:val="00294D2A"/>
    <w:rsid w:val="002B41A4"/>
    <w:rsid w:val="00302B84"/>
    <w:rsid w:val="003B16AB"/>
    <w:rsid w:val="003B19F5"/>
    <w:rsid w:val="003C5444"/>
    <w:rsid w:val="003E44CC"/>
    <w:rsid w:val="00403378"/>
    <w:rsid w:val="0042421E"/>
    <w:rsid w:val="00464562"/>
    <w:rsid w:val="00506419"/>
    <w:rsid w:val="00546A2A"/>
    <w:rsid w:val="005706EF"/>
    <w:rsid w:val="00574511"/>
    <w:rsid w:val="005D41E9"/>
    <w:rsid w:val="005F7909"/>
    <w:rsid w:val="00637BF8"/>
    <w:rsid w:val="00700FCB"/>
    <w:rsid w:val="007253C5"/>
    <w:rsid w:val="00742367"/>
    <w:rsid w:val="00751229"/>
    <w:rsid w:val="00753B2C"/>
    <w:rsid w:val="00763BC8"/>
    <w:rsid w:val="00775EF8"/>
    <w:rsid w:val="007D258E"/>
    <w:rsid w:val="008602E9"/>
    <w:rsid w:val="00862079"/>
    <w:rsid w:val="00896744"/>
    <w:rsid w:val="00957550"/>
    <w:rsid w:val="009800F9"/>
    <w:rsid w:val="009A7F9A"/>
    <w:rsid w:val="009B475D"/>
    <w:rsid w:val="009D0B2E"/>
    <w:rsid w:val="00A07E75"/>
    <w:rsid w:val="00A35525"/>
    <w:rsid w:val="00A37934"/>
    <w:rsid w:val="00B1160B"/>
    <w:rsid w:val="00B84603"/>
    <w:rsid w:val="00BF6AE1"/>
    <w:rsid w:val="00C34247"/>
    <w:rsid w:val="00C710E0"/>
    <w:rsid w:val="00C75C13"/>
    <w:rsid w:val="00C80685"/>
    <w:rsid w:val="00C96D9F"/>
    <w:rsid w:val="00CD553C"/>
    <w:rsid w:val="00CF2A9C"/>
    <w:rsid w:val="00CF53BA"/>
    <w:rsid w:val="00D9465D"/>
    <w:rsid w:val="00DB45DE"/>
    <w:rsid w:val="00DD60CE"/>
    <w:rsid w:val="00E57D32"/>
    <w:rsid w:val="00ED29E0"/>
    <w:rsid w:val="00EF1B6D"/>
    <w:rsid w:val="00EF38E0"/>
    <w:rsid w:val="00F0199E"/>
    <w:rsid w:val="00F239C8"/>
    <w:rsid w:val="00F26165"/>
    <w:rsid w:val="00F3753C"/>
    <w:rsid w:val="3A481354"/>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025E4B"/>
  <w15:docId w15:val="{CD86B84A-E02F-4BC7-AF41-83984EDDE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rFonts w:ascii="Calibri" w:eastAsia="Times New Roman" w:hAnsi="Calibri"/>
      <w:sz w:val="22"/>
      <w:szCs w:val="22"/>
    </w:rPr>
  </w:style>
  <w:style w:type="paragraph" w:styleId="2">
    <w:name w:val="heading 2"/>
    <w:basedOn w:val="a"/>
    <w:next w:val="a"/>
    <w:link w:val="20"/>
    <w:uiPriority w:val="9"/>
    <w:unhideWhenUsed/>
    <w:qFormat/>
    <w:pPr>
      <w:keepNext/>
      <w:keepLines/>
      <w:spacing w:before="200" w:after="0"/>
      <w:outlineLvl w:val="1"/>
    </w:pPr>
    <w:rPr>
      <w:rFonts w:asciiTheme="majorHAnsi" w:eastAsiaTheme="majorEastAsia" w:hAnsiTheme="majorHAnsi" w:cstheme="majorBidi"/>
      <w:b/>
      <w:bCs/>
      <w:color w:val="5B9BD5" w:themeColor="accent1"/>
      <w:sz w:val="26"/>
      <w:szCs w:val="26"/>
      <w:lang w:val="en-US" w:eastAsia="en-US" w:bidi="en-U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paragraph" w:styleId="a4">
    <w:name w:val="Normal (Web)"/>
    <w:basedOn w:val="a"/>
    <w:uiPriority w:val="99"/>
    <w:semiHidden/>
    <w:unhideWhenUsed/>
    <w:qFormat/>
    <w:pPr>
      <w:spacing w:before="100" w:beforeAutospacing="1" w:after="100" w:afterAutospacing="1"/>
    </w:pPr>
    <w:rPr>
      <w:szCs w:val="24"/>
    </w:rPr>
  </w:style>
  <w:style w:type="table" w:styleId="a5">
    <w:name w:val="Table Grid"/>
    <w:basedOn w:val="a1"/>
    <w:uiPriority w:val="59"/>
    <w:rPr>
      <w:rFonts w:eastAsiaTheme="minorEastAsia"/>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pPr>
      <w:spacing w:after="160" w:line="259" w:lineRule="auto"/>
      <w:ind w:left="720"/>
      <w:contextualSpacing/>
    </w:pPr>
    <w:rPr>
      <w:rFonts w:asciiTheme="minorHAnsi" w:eastAsiaTheme="minorHAnsi" w:hAnsiTheme="minorHAnsi" w:cstheme="minorBidi"/>
      <w:lang w:eastAsia="en-US"/>
    </w:rPr>
  </w:style>
  <w:style w:type="character" w:customStyle="1" w:styleId="layout">
    <w:name w:val="layout"/>
  </w:style>
  <w:style w:type="paragraph" w:customStyle="1" w:styleId="ConsPlusNormal">
    <w:name w:val="ConsPlusNormal"/>
    <w:qFormat/>
    <w:pPr>
      <w:widowControl w:val="0"/>
      <w:autoSpaceDE w:val="0"/>
      <w:autoSpaceDN w:val="0"/>
    </w:pPr>
    <w:rPr>
      <w:rFonts w:ascii="Arial" w:eastAsia="Times New Roman" w:hAnsi="Arial" w:cs="Arial"/>
    </w:rPr>
  </w:style>
  <w:style w:type="paragraph" w:styleId="a7">
    <w:name w:val="No Spacing"/>
    <w:uiPriority w:val="1"/>
    <w:qFormat/>
    <w:rPr>
      <w:rFonts w:ascii="Calibri" w:eastAsia="Times New Roman" w:hAnsi="Calibri"/>
      <w:sz w:val="22"/>
      <w:szCs w:val="22"/>
    </w:rPr>
  </w:style>
  <w:style w:type="character" w:customStyle="1" w:styleId="20">
    <w:name w:val="Заголовок 2 Знак"/>
    <w:basedOn w:val="a0"/>
    <w:link w:val="2"/>
    <w:uiPriority w:val="9"/>
    <w:rPr>
      <w:rFonts w:asciiTheme="majorHAnsi" w:eastAsiaTheme="majorEastAsia" w:hAnsiTheme="majorHAnsi" w:cstheme="majorBidi"/>
      <w:b/>
      <w:bCs/>
      <w:color w:val="5B9BD5" w:themeColor="accent1"/>
      <w:sz w:val="26"/>
      <w:szCs w:val="26"/>
      <w:lang w:val="en-US" w:bidi="en-US"/>
    </w:rPr>
  </w:style>
  <w:style w:type="paragraph" w:customStyle="1" w:styleId="Default">
    <w:name w:val="Default"/>
    <w:pPr>
      <w:autoSpaceDE w:val="0"/>
      <w:autoSpaceDN w:val="0"/>
      <w:adjustRightInd w:val="0"/>
    </w:pPr>
    <w:rPr>
      <w:rFonts w:eastAsiaTheme="minorEastAsia"/>
      <w:color w:val="000000"/>
      <w:sz w:val="24"/>
      <w:szCs w:val="24"/>
      <w:lang w:val="en-US" w:eastAsia="en-US" w:bidi="en-US"/>
    </w:rPr>
  </w:style>
  <w:style w:type="paragraph" w:customStyle="1" w:styleId="msonormalmrcssattr">
    <w:name w:val="msonormal_mr_css_attr"/>
    <w:basedOn w:val="a"/>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684428">
      <w:bodyDiv w:val="1"/>
      <w:marLeft w:val="0"/>
      <w:marRight w:val="0"/>
      <w:marTop w:val="0"/>
      <w:marBottom w:val="0"/>
      <w:divBdr>
        <w:top w:val="none" w:sz="0" w:space="0" w:color="auto"/>
        <w:left w:val="none" w:sz="0" w:space="0" w:color="auto"/>
        <w:bottom w:val="none" w:sz="0" w:space="0" w:color="auto"/>
        <w:right w:val="none" w:sz="0" w:space="0" w:color="auto"/>
      </w:divBdr>
    </w:div>
    <w:div w:id="1643997807">
      <w:bodyDiv w:val="1"/>
      <w:marLeft w:val="0"/>
      <w:marRight w:val="0"/>
      <w:marTop w:val="0"/>
      <w:marBottom w:val="0"/>
      <w:divBdr>
        <w:top w:val="none" w:sz="0" w:space="0" w:color="auto"/>
        <w:left w:val="none" w:sz="0" w:space="0" w:color="auto"/>
        <w:bottom w:val="none" w:sz="0" w:space="0" w:color="auto"/>
        <w:right w:val="none" w:sz="0" w:space="0" w:color="auto"/>
      </w:divBdr>
    </w:div>
    <w:div w:id="18639374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7</Pages>
  <Words>2760</Words>
  <Characters>15734</Characters>
  <Application>Microsoft Office Word</Application>
  <DocSecurity>0</DocSecurity>
  <Lines>131</Lines>
  <Paragraphs>36</Paragraphs>
  <ScaleCrop>false</ScaleCrop>
  <Company/>
  <LinksUpToDate>false</LinksUpToDate>
  <CharactersWithSpaces>18458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Екатерина Витальевна Бобина</cp:lastModifiedBy>
  <cp:revision>9</cp:revision>
  <dcterms:created xsi:type="dcterms:W3CDTF">2026-06-04T12:32:00Z</dcterms:created>
  <dcterms:modified xsi:type="dcterms:W3CDTF">2026-09-29T13:18:00Z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eyJoZGlkIjoiYzdiYWI5YTRhZmFhYzkzZmNmOWJlYzMwZDIwOTQzM2MifQ==</vt:lpwstr>
  </property>
  <property fmtid="{D5CDD505-2E9C-101B-9397-08002B2CF9AE}" pid="3" name="KSOProductBuildVer">
    <vt:lpwstr>1033-12.1.0.26886</vt:lpwstr>
  </property>
  <property fmtid="{D5CDD505-2E9C-101B-9397-08002B2CF9AE}" pid="4" name="ICV">
    <vt:lpwstr>E0176F62A76B45D286A260ACEFB10D65_12</vt:lpwstr>
  </property>
</Properties>
</file>