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8212B9">
      <w:pPr>
        <w:spacing w:after="0" w:line="240" w:lineRule="auto"/>
        <w:ind w:firstLine="11"/>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Федеральное агентство железнодорожного транспорта</w:t>
      </w:r>
    </w:p>
    <w:p w14:paraId="3048F4A9">
      <w:pPr>
        <w:spacing w:after="0" w:line="240" w:lineRule="auto"/>
        <w:ind w:firstLine="11"/>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Российской Федерации</w:t>
      </w:r>
    </w:p>
    <w:p w14:paraId="6B45110D">
      <w:pPr>
        <w:spacing w:after="0" w:line="240" w:lineRule="auto"/>
        <w:ind w:firstLine="11"/>
        <w:jc w:val="center"/>
        <w:rPr>
          <w:rFonts w:ascii="Times New Roman" w:hAnsi="Times New Roman" w:eastAsia="Times New Roman" w:cs="Times New Roman"/>
          <w:sz w:val="24"/>
          <w:szCs w:val="24"/>
          <w:lang w:eastAsia="ru-RU"/>
        </w:rPr>
      </w:pPr>
    </w:p>
    <w:p w14:paraId="1F702AFD">
      <w:pPr>
        <w:spacing w:after="0" w:line="240" w:lineRule="auto"/>
        <w:ind w:firstLine="11"/>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Федеральное государственное бюджетное образовательное учреждение</w:t>
      </w:r>
    </w:p>
    <w:p w14:paraId="4A2C08B3">
      <w:pPr>
        <w:spacing w:after="0" w:line="240" w:lineRule="auto"/>
        <w:ind w:firstLine="11"/>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высшего образования</w:t>
      </w:r>
    </w:p>
    <w:p w14:paraId="3BB2ABA2">
      <w:pPr>
        <w:spacing w:after="0" w:line="240" w:lineRule="auto"/>
        <w:ind w:firstLine="11"/>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«Петербургский государственный университет путей сообщения Императора Александра </w:t>
      </w:r>
      <w:r>
        <w:rPr>
          <w:rFonts w:ascii="Times New Roman" w:hAnsi="Times New Roman" w:eastAsia="Times New Roman" w:cs="Times New Roman"/>
          <w:sz w:val="24"/>
          <w:szCs w:val="24"/>
          <w:lang w:val="en-US" w:eastAsia="ru-RU"/>
        </w:rPr>
        <w:t>I</w:t>
      </w:r>
      <w:r>
        <w:rPr>
          <w:rFonts w:ascii="Times New Roman" w:hAnsi="Times New Roman" w:eastAsia="Times New Roman" w:cs="Times New Roman"/>
          <w:sz w:val="24"/>
          <w:szCs w:val="24"/>
          <w:lang w:eastAsia="ru-RU"/>
        </w:rPr>
        <w:t>»</w:t>
      </w:r>
    </w:p>
    <w:p w14:paraId="114A2CDE">
      <w:pPr>
        <w:spacing w:after="0" w:line="240" w:lineRule="auto"/>
        <w:ind w:firstLine="11"/>
        <w:jc w:val="center"/>
        <w:rPr>
          <w:rFonts w:ascii="Times New Roman" w:hAnsi="Times New Roman" w:eastAsia="Times New Roman" w:cs="Times New Roman"/>
          <w:sz w:val="24"/>
          <w:szCs w:val="24"/>
          <w:lang w:eastAsia="ru-RU"/>
        </w:rPr>
      </w:pPr>
    </w:p>
    <w:p w14:paraId="44FA237A">
      <w:pPr>
        <w:spacing w:after="0" w:line="240" w:lineRule="auto"/>
        <w:ind w:firstLine="11"/>
        <w:jc w:val="center"/>
        <w:rPr>
          <w:rFonts w:ascii="Times New Roman" w:hAnsi="Times New Roman" w:eastAsia="Times New Roman" w:cs="Times New Roman"/>
          <w:sz w:val="24"/>
          <w:szCs w:val="24"/>
          <w:lang w:eastAsia="ru-RU"/>
        </w:rPr>
      </w:pPr>
    </w:p>
    <w:p w14:paraId="438CA453">
      <w:pPr>
        <w:spacing w:after="0" w:line="240" w:lineRule="auto"/>
        <w:ind w:firstLine="11"/>
        <w:jc w:val="center"/>
        <w:rPr>
          <w:rFonts w:ascii="Times New Roman" w:hAnsi="Times New Roman" w:eastAsia="Times New Roman" w:cs="Times New Roman"/>
          <w:sz w:val="24"/>
          <w:szCs w:val="24"/>
          <w:lang w:eastAsia="ru-RU"/>
        </w:rPr>
      </w:pPr>
    </w:p>
    <w:p w14:paraId="593ACC44">
      <w:pPr>
        <w:spacing w:before="120" w:after="0" w:line="240" w:lineRule="auto"/>
        <w:ind w:firstLine="11"/>
        <w:jc w:val="right"/>
        <w:rPr>
          <w:rFonts w:ascii="Times New Roman" w:hAnsi="Times New Roman" w:eastAsia="Times New Roman" w:cs="Times New Roman"/>
          <w:i/>
          <w:iCs/>
          <w:sz w:val="24"/>
          <w:szCs w:val="24"/>
          <w:lang w:eastAsia="ru-RU"/>
        </w:rPr>
      </w:pPr>
      <w:r>
        <w:rPr>
          <w:rFonts w:ascii="Times New Roman" w:hAnsi="Times New Roman" w:eastAsia="Times New Roman" w:cs="Times New Roman"/>
          <w:i/>
          <w:iCs/>
          <w:sz w:val="24"/>
          <w:szCs w:val="24"/>
          <w:lang w:eastAsia="ru-RU"/>
        </w:rPr>
        <w:t>УТВЕРЖДАЮ:</w:t>
      </w:r>
    </w:p>
    <w:p w14:paraId="7A669B24">
      <w:pPr>
        <w:spacing w:before="120" w:after="0" w:line="240" w:lineRule="auto"/>
        <w:ind w:firstLine="11"/>
        <w:jc w:val="right"/>
        <w:rPr>
          <w:rFonts w:ascii="Times New Roman" w:hAnsi="Times New Roman" w:eastAsia="Times New Roman" w:cs="Times New Roman"/>
          <w:i/>
          <w:sz w:val="24"/>
          <w:szCs w:val="24"/>
          <w:lang w:eastAsia="ru-RU"/>
        </w:rPr>
      </w:pPr>
      <w:r>
        <w:rPr>
          <w:rFonts w:ascii="Times New Roman" w:hAnsi="Times New Roman" w:eastAsia="Times New Roman" w:cs="Times New Roman"/>
          <w:i/>
          <w:sz w:val="24"/>
          <w:szCs w:val="24"/>
          <w:lang w:eastAsia="ru-RU"/>
        </w:rPr>
        <w:t>Проректор по экономике и информатизации</w:t>
      </w:r>
    </w:p>
    <w:p w14:paraId="182A71C3">
      <w:pPr>
        <w:spacing w:before="120" w:after="0" w:line="240" w:lineRule="auto"/>
        <w:ind w:firstLine="11"/>
        <w:jc w:val="right"/>
        <w:rPr>
          <w:rFonts w:ascii="Times New Roman" w:hAnsi="Times New Roman" w:eastAsia="Times New Roman" w:cs="Times New Roman"/>
          <w:i/>
          <w:sz w:val="24"/>
          <w:szCs w:val="24"/>
          <w:lang w:eastAsia="ru-RU"/>
        </w:rPr>
      </w:pPr>
      <w:r>
        <w:rPr>
          <w:rFonts w:ascii="Times New Roman" w:hAnsi="Times New Roman" w:eastAsia="Times New Roman" w:cs="Times New Roman"/>
          <w:i/>
          <w:sz w:val="24"/>
          <w:szCs w:val="24"/>
          <w:lang w:eastAsia="ru-RU"/>
        </w:rPr>
        <w:t>___________________ А.Ф. Колос</w:t>
      </w:r>
    </w:p>
    <w:p w14:paraId="76A7AE2D">
      <w:pPr>
        <w:shd w:val="clear" w:color="auto" w:fill="FFFFFF"/>
        <w:autoSpaceDE w:val="0"/>
        <w:autoSpaceDN w:val="0"/>
        <w:adjustRightInd w:val="0"/>
        <w:spacing w:before="120" w:after="0" w:line="240" w:lineRule="auto"/>
        <w:ind w:firstLine="11"/>
        <w:jc w:val="righ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Дата: 16.09.2026</w:t>
      </w:r>
    </w:p>
    <w:p w14:paraId="5BF77478">
      <w:pPr>
        <w:spacing w:after="0" w:line="240" w:lineRule="auto"/>
        <w:ind w:firstLine="11"/>
        <w:jc w:val="center"/>
        <w:rPr>
          <w:rFonts w:ascii="Times New Roman" w:hAnsi="Times New Roman" w:eastAsia="Times New Roman" w:cs="Times New Roman"/>
          <w:sz w:val="23"/>
          <w:szCs w:val="23"/>
          <w:lang w:eastAsia="ru-RU"/>
        </w:rPr>
      </w:pPr>
    </w:p>
    <w:p w14:paraId="63C431DF">
      <w:pPr>
        <w:spacing w:after="0" w:line="240" w:lineRule="auto"/>
        <w:ind w:firstLine="11"/>
        <w:jc w:val="center"/>
        <w:rPr>
          <w:rFonts w:ascii="Times New Roman" w:hAnsi="Times New Roman" w:eastAsia="Times New Roman" w:cs="Times New Roman"/>
          <w:sz w:val="23"/>
          <w:szCs w:val="23"/>
          <w:lang w:eastAsia="ru-RU"/>
        </w:rPr>
      </w:pPr>
    </w:p>
    <w:p w14:paraId="201CC56D">
      <w:pPr>
        <w:spacing w:after="0" w:line="240" w:lineRule="auto"/>
        <w:ind w:firstLine="11"/>
        <w:jc w:val="center"/>
        <w:rPr>
          <w:rFonts w:ascii="Times New Roman" w:hAnsi="Times New Roman" w:eastAsia="Times New Roman" w:cs="Times New Roman"/>
          <w:sz w:val="23"/>
          <w:szCs w:val="23"/>
          <w:lang w:eastAsia="ru-RU"/>
        </w:rPr>
      </w:pPr>
    </w:p>
    <w:p w14:paraId="3707D250">
      <w:pPr>
        <w:spacing w:before="120" w:after="0" w:line="240" w:lineRule="auto"/>
        <w:ind w:firstLine="11"/>
        <w:jc w:val="center"/>
        <w:rPr>
          <w:rFonts w:ascii="Times New Roman" w:hAnsi="Times New Roman" w:eastAsia="Times New Roman" w:cs="Times New Roman"/>
          <w:b/>
          <w:caps/>
          <w:spacing w:val="40"/>
          <w:sz w:val="27"/>
          <w:szCs w:val="27"/>
          <w:lang w:eastAsia="ru-RU"/>
        </w:rPr>
      </w:pPr>
      <w:r>
        <w:rPr>
          <w:rFonts w:ascii="Times New Roman" w:hAnsi="Times New Roman" w:eastAsia="Times New Roman" w:cs="Times New Roman"/>
          <w:b/>
          <w:caps/>
          <w:spacing w:val="40"/>
          <w:sz w:val="27"/>
          <w:szCs w:val="27"/>
          <w:lang w:eastAsia="ru-RU"/>
        </w:rPr>
        <w:t xml:space="preserve">Документация </w:t>
      </w:r>
    </w:p>
    <w:p w14:paraId="2D08E77D">
      <w:pPr>
        <w:spacing w:before="120" w:after="0" w:line="240" w:lineRule="auto"/>
        <w:ind w:firstLine="11"/>
        <w:jc w:val="center"/>
        <w:rPr>
          <w:rFonts w:ascii="Times New Roman" w:hAnsi="Times New Roman" w:eastAsia="Times New Roman" w:cs="Times New Roman"/>
          <w:b/>
          <w:caps/>
          <w:spacing w:val="40"/>
          <w:sz w:val="27"/>
          <w:szCs w:val="27"/>
          <w:lang w:eastAsia="ru-RU"/>
        </w:rPr>
      </w:pPr>
      <w:r>
        <w:rPr>
          <w:rFonts w:ascii="Times New Roman" w:hAnsi="Times New Roman" w:eastAsia="Times New Roman" w:cs="Times New Roman"/>
          <w:b/>
          <w:caps/>
          <w:spacing w:val="40"/>
          <w:sz w:val="27"/>
          <w:szCs w:val="27"/>
          <w:lang w:eastAsia="ru-RU"/>
        </w:rPr>
        <w:t>об аукционе в электронной форме</w:t>
      </w:r>
    </w:p>
    <w:p w14:paraId="36C553DD">
      <w:pPr>
        <w:spacing w:after="0" w:line="240" w:lineRule="auto"/>
        <w:ind w:firstLine="11"/>
        <w:jc w:val="center"/>
        <w:rPr>
          <w:rFonts w:ascii="Times New Roman" w:hAnsi="Times New Roman" w:eastAsia="Times New Roman" w:cs="Times New Roman"/>
          <w:sz w:val="23"/>
          <w:szCs w:val="23"/>
          <w:lang w:eastAsia="ru-RU"/>
        </w:rPr>
      </w:pPr>
    </w:p>
    <w:p w14:paraId="2D9B06E7">
      <w:pPr>
        <w:spacing w:after="0" w:line="240" w:lineRule="auto"/>
        <w:ind w:firstLine="11"/>
        <w:jc w:val="center"/>
        <w:rPr>
          <w:rFonts w:ascii="Times New Roman" w:hAnsi="Times New Roman" w:eastAsia="Times New Roman" w:cs="Times New Roman"/>
          <w:sz w:val="23"/>
          <w:szCs w:val="23"/>
          <w:lang w:eastAsia="ru-RU"/>
        </w:rPr>
      </w:pPr>
    </w:p>
    <w:p w14:paraId="2CF227C2">
      <w:pPr>
        <w:spacing w:after="0" w:line="240" w:lineRule="auto"/>
        <w:ind w:firstLine="11"/>
        <w:jc w:val="center"/>
        <w:rPr>
          <w:rFonts w:ascii="Times New Roman" w:hAnsi="Times New Roman" w:eastAsia="Times New Roman" w:cs="Times New Roman"/>
          <w:sz w:val="23"/>
          <w:szCs w:val="23"/>
          <w:lang w:eastAsia="ru-RU"/>
        </w:rPr>
      </w:pPr>
    </w:p>
    <w:p w14:paraId="461922CD">
      <w:pPr>
        <w:spacing w:after="0" w:line="240" w:lineRule="auto"/>
        <w:ind w:firstLine="11"/>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Наименование аукциона в электронной форме: </w:t>
      </w:r>
    </w:p>
    <w:p w14:paraId="68AF70B2">
      <w:pPr>
        <w:spacing w:after="0" w:line="240" w:lineRule="auto"/>
        <w:ind w:firstLine="11"/>
        <w:jc w:val="center"/>
        <w:rPr>
          <w:rFonts w:ascii="Times New Roman" w:hAnsi="Times New Roman" w:eastAsia="Times New Roman" w:cs="Times New Roman"/>
          <w:sz w:val="23"/>
          <w:szCs w:val="23"/>
          <w:lang w:eastAsia="ru-RU"/>
        </w:rPr>
      </w:pPr>
      <w:r>
        <w:rPr>
          <w:rFonts w:ascii="Times New Roman" w:hAnsi="Times New Roman" w:eastAsia="Times New Roman" w:cs="Times New Roman"/>
          <w:color w:val="1A1A1A"/>
          <w:shd w:val="clear" w:color="auto" w:fill="FFFFFF"/>
          <w:lang w:eastAsia="ru-RU"/>
        </w:rPr>
        <w:t>Выполнение работ по модернизации фрагмента локальной вычислительной сети (СКС в корпусах: 1,2,3,4,5,6,7,8,9,10 и 14) по адресу: г. Санкт-Петербург, Московский пр., д.9, лит А, набережная реки Фонтанки, д. 113, лит А</w:t>
      </w:r>
    </w:p>
    <w:p w14:paraId="0A687CA0">
      <w:pPr>
        <w:spacing w:after="0" w:line="240" w:lineRule="auto"/>
        <w:ind w:firstLine="11"/>
        <w:jc w:val="center"/>
        <w:rPr>
          <w:rFonts w:ascii="Times New Roman" w:hAnsi="Times New Roman" w:eastAsia="Times New Roman" w:cs="Times New Roman"/>
          <w:sz w:val="23"/>
          <w:szCs w:val="23"/>
          <w:lang w:eastAsia="ru-RU"/>
        </w:rPr>
      </w:pPr>
    </w:p>
    <w:p w14:paraId="434D19C3">
      <w:pPr>
        <w:spacing w:before="120" w:after="0" w:line="240" w:lineRule="auto"/>
        <w:ind w:firstLine="11"/>
        <w:jc w:val="center"/>
        <w:rPr>
          <w:rFonts w:ascii="Times New Roman" w:hAnsi="Times New Roman" w:eastAsia="Times New Roman" w:cs="Times New Roman"/>
          <w:sz w:val="23"/>
          <w:szCs w:val="23"/>
          <w:lang w:eastAsia="ru-RU"/>
        </w:rPr>
      </w:pPr>
    </w:p>
    <w:p w14:paraId="19BC9D69">
      <w:pPr>
        <w:spacing w:before="120" w:after="0" w:line="240" w:lineRule="auto"/>
        <w:ind w:firstLine="11"/>
        <w:jc w:val="center"/>
        <w:rPr>
          <w:rFonts w:ascii="Times New Roman" w:hAnsi="Times New Roman" w:eastAsia="Times New Roman" w:cs="Times New Roman"/>
          <w:sz w:val="23"/>
          <w:szCs w:val="23"/>
          <w:lang w:eastAsia="ru-RU"/>
        </w:rPr>
      </w:pPr>
    </w:p>
    <w:p w14:paraId="431D3ACC">
      <w:pPr>
        <w:spacing w:before="120" w:after="0" w:line="240" w:lineRule="auto"/>
        <w:ind w:firstLine="11"/>
        <w:jc w:val="center"/>
        <w:rPr>
          <w:rFonts w:ascii="Times New Roman" w:hAnsi="Times New Roman" w:eastAsia="Times New Roman" w:cs="Times New Roman"/>
          <w:sz w:val="23"/>
          <w:szCs w:val="23"/>
          <w:lang w:eastAsia="ru-RU"/>
        </w:rPr>
      </w:pPr>
    </w:p>
    <w:p w14:paraId="6F91FEC6">
      <w:pPr>
        <w:spacing w:before="120" w:after="0" w:line="240" w:lineRule="auto"/>
        <w:ind w:firstLine="11"/>
        <w:jc w:val="center"/>
        <w:rPr>
          <w:rFonts w:ascii="Times New Roman" w:hAnsi="Times New Roman" w:eastAsia="Times New Roman" w:cs="Times New Roman"/>
          <w:sz w:val="23"/>
          <w:szCs w:val="23"/>
          <w:lang w:eastAsia="ru-RU"/>
        </w:rPr>
      </w:pPr>
    </w:p>
    <w:p w14:paraId="3BB16476">
      <w:pPr>
        <w:spacing w:before="120" w:after="0" w:line="240" w:lineRule="auto"/>
        <w:ind w:firstLine="11"/>
        <w:jc w:val="center"/>
        <w:rPr>
          <w:rFonts w:ascii="Times New Roman" w:hAnsi="Times New Roman" w:eastAsia="Times New Roman" w:cs="Times New Roman"/>
          <w:sz w:val="23"/>
          <w:szCs w:val="23"/>
          <w:lang w:eastAsia="ru-RU"/>
        </w:rPr>
      </w:pPr>
    </w:p>
    <w:p w14:paraId="2EB81189">
      <w:pPr>
        <w:spacing w:before="120" w:after="0" w:line="240" w:lineRule="auto"/>
        <w:ind w:firstLine="11"/>
        <w:jc w:val="center"/>
        <w:rPr>
          <w:rFonts w:ascii="Times New Roman" w:hAnsi="Times New Roman" w:eastAsia="Times New Roman" w:cs="Times New Roman"/>
          <w:sz w:val="23"/>
          <w:szCs w:val="23"/>
          <w:lang w:eastAsia="ru-RU"/>
        </w:rPr>
      </w:pPr>
    </w:p>
    <w:p w14:paraId="4F881AB3">
      <w:pPr>
        <w:spacing w:before="120" w:after="0" w:line="240" w:lineRule="auto"/>
        <w:ind w:firstLine="11"/>
        <w:jc w:val="center"/>
        <w:rPr>
          <w:rFonts w:ascii="Times New Roman" w:hAnsi="Times New Roman" w:eastAsia="Times New Roman" w:cs="Times New Roman"/>
          <w:sz w:val="23"/>
          <w:szCs w:val="23"/>
          <w:lang w:eastAsia="ru-RU"/>
        </w:rPr>
      </w:pPr>
    </w:p>
    <w:p w14:paraId="05133D77">
      <w:pPr>
        <w:spacing w:before="120" w:after="0" w:line="240" w:lineRule="auto"/>
        <w:ind w:firstLine="11"/>
        <w:jc w:val="center"/>
        <w:rPr>
          <w:rFonts w:ascii="Times New Roman" w:hAnsi="Times New Roman" w:eastAsia="Times New Roman" w:cs="Times New Roman"/>
          <w:sz w:val="23"/>
          <w:szCs w:val="23"/>
          <w:lang w:eastAsia="ru-RU"/>
        </w:rPr>
      </w:pPr>
    </w:p>
    <w:p w14:paraId="376A19CA">
      <w:pPr>
        <w:spacing w:before="120" w:after="0" w:line="240" w:lineRule="auto"/>
        <w:ind w:firstLine="11"/>
        <w:jc w:val="center"/>
        <w:rPr>
          <w:rFonts w:ascii="Times New Roman" w:hAnsi="Times New Roman" w:eastAsia="Times New Roman" w:cs="Times New Roman"/>
          <w:sz w:val="23"/>
          <w:szCs w:val="23"/>
          <w:lang w:eastAsia="ru-RU"/>
        </w:rPr>
      </w:pPr>
    </w:p>
    <w:p w14:paraId="4D176920">
      <w:pPr>
        <w:spacing w:before="120" w:after="0" w:line="240" w:lineRule="auto"/>
        <w:ind w:firstLine="11"/>
        <w:jc w:val="center"/>
        <w:rPr>
          <w:rFonts w:ascii="Times New Roman" w:hAnsi="Times New Roman" w:eastAsia="Times New Roman" w:cs="Times New Roman"/>
          <w:sz w:val="23"/>
          <w:szCs w:val="23"/>
          <w:lang w:eastAsia="ru-RU"/>
        </w:rPr>
      </w:pPr>
    </w:p>
    <w:p w14:paraId="62DCAE0C">
      <w:pPr>
        <w:spacing w:before="120" w:after="0" w:line="240" w:lineRule="auto"/>
        <w:ind w:firstLine="11"/>
        <w:jc w:val="center"/>
        <w:rPr>
          <w:rFonts w:ascii="Times New Roman" w:hAnsi="Times New Roman" w:eastAsia="Times New Roman" w:cs="Times New Roman"/>
          <w:sz w:val="23"/>
          <w:szCs w:val="23"/>
          <w:lang w:eastAsia="ru-RU"/>
        </w:rPr>
      </w:pPr>
    </w:p>
    <w:p w14:paraId="4E1DEAC5">
      <w:pPr>
        <w:spacing w:before="120" w:after="0" w:line="240" w:lineRule="auto"/>
        <w:ind w:firstLine="11"/>
        <w:jc w:val="center"/>
        <w:rPr>
          <w:rFonts w:ascii="Times New Roman" w:hAnsi="Times New Roman" w:eastAsia="Times New Roman" w:cs="Times New Roman"/>
          <w:sz w:val="23"/>
          <w:szCs w:val="23"/>
          <w:lang w:eastAsia="ru-RU"/>
        </w:rPr>
      </w:pPr>
    </w:p>
    <w:p w14:paraId="5CC5F832">
      <w:pPr>
        <w:spacing w:before="120" w:after="0" w:line="240" w:lineRule="auto"/>
        <w:ind w:firstLine="11"/>
        <w:jc w:val="center"/>
        <w:rPr>
          <w:rFonts w:ascii="Times New Roman" w:hAnsi="Times New Roman" w:eastAsia="Times New Roman" w:cs="Times New Roman"/>
          <w:sz w:val="23"/>
          <w:szCs w:val="23"/>
          <w:lang w:eastAsia="ru-RU"/>
        </w:rPr>
      </w:pPr>
      <w:r>
        <w:rPr>
          <w:rFonts w:ascii="Times New Roman" w:hAnsi="Times New Roman" w:eastAsia="Times New Roman" w:cs="Times New Roman"/>
          <w:sz w:val="23"/>
          <w:szCs w:val="23"/>
          <w:lang w:eastAsia="ru-RU"/>
        </w:rPr>
        <w:t xml:space="preserve">г. Санкт-Петербург, </w:t>
      </w:r>
      <w:r>
        <w:rPr>
          <w:rFonts w:ascii="Times New Roman" w:hAnsi="Times New Roman" w:eastAsia="Times New Roman" w:cs="Times New Roman"/>
          <w:sz w:val="23"/>
          <w:szCs w:val="23"/>
          <w:lang w:eastAsia="ru-RU"/>
        </w:rPr>
        <w:fldChar w:fldCharType="begin"/>
      </w:r>
      <w:r>
        <w:rPr>
          <w:rFonts w:ascii="Times New Roman" w:hAnsi="Times New Roman" w:eastAsia="Times New Roman" w:cs="Times New Roman"/>
          <w:sz w:val="23"/>
          <w:szCs w:val="23"/>
          <w:lang w:eastAsia="ru-RU"/>
        </w:rPr>
        <w:instrText xml:space="preserve"> DATE  \@ "yyyy"  \* MERGEFORMAT </w:instrText>
      </w:r>
      <w:r>
        <w:rPr>
          <w:rFonts w:ascii="Times New Roman" w:hAnsi="Times New Roman" w:eastAsia="Times New Roman" w:cs="Times New Roman"/>
          <w:sz w:val="23"/>
          <w:szCs w:val="23"/>
          <w:lang w:eastAsia="ru-RU"/>
        </w:rPr>
        <w:fldChar w:fldCharType="separate"/>
      </w:r>
      <w:r>
        <w:rPr>
          <w:rFonts w:ascii="Times New Roman" w:hAnsi="Times New Roman" w:eastAsia="Times New Roman" w:cs="Times New Roman"/>
          <w:sz w:val="23"/>
          <w:szCs w:val="23"/>
          <w:lang w:eastAsia="ru-RU"/>
        </w:rPr>
        <w:t>2026</w:t>
      </w:r>
      <w:r>
        <w:rPr>
          <w:rFonts w:ascii="Times New Roman" w:hAnsi="Times New Roman" w:eastAsia="Times New Roman" w:cs="Times New Roman"/>
          <w:sz w:val="23"/>
          <w:szCs w:val="23"/>
          <w:lang w:eastAsia="ru-RU"/>
        </w:rPr>
        <w:fldChar w:fldCharType="end"/>
      </w:r>
    </w:p>
    <w:p w14:paraId="7A81E099">
      <w:pPr>
        <w:tabs>
          <w:tab w:val="right" w:leader="dot" w:pos="9911"/>
        </w:tabs>
        <w:spacing w:before="360" w:after="360" w:line="240" w:lineRule="auto"/>
        <w:ind w:firstLine="11"/>
        <w:jc w:val="both"/>
        <w:rPr>
          <w:rFonts w:ascii="Times New Roman" w:hAnsi="Times New Roman" w:eastAsia="Times New Roman" w:cs="Times New Roman"/>
          <w:b/>
          <w:bCs/>
          <w:caps/>
          <w:u w:val="single"/>
          <w:lang w:eastAsia="ru-RU"/>
        </w:rPr>
      </w:pPr>
      <w:r>
        <w:rPr>
          <w:rFonts w:ascii="Times New Roman" w:hAnsi="Times New Roman" w:eastAsia="Times New Roman" w:cs="Times New Roman"/>
          <w:b/>
          <w:bCs/>
          <w:caps/>
          <w:sz w:val="23"/>
          <w:szCs w:val="23"/>
          <w:u w:val="single"/>
          <w:lang w:eastAsia="ru-RU"/>
        </w:rPr>
        <w:br w:type="page"/>
      </w:r>
      <w:bookmarkStart w:id="0" w:name="_Toc241210712"/>
      <w:bookmarkStart w:id="1" w:name="_Toc475014595"/>
      <w:r>
        <w:rPr>
          <w:rFonts w:ascii="Times New Roman" w:hAnsi="Times New Roman" w:eastAsia="Times New Roman" w:cs="Times New Roman"/>
          <w:b/>
          <w:bCs/>
          <w:caps/>
          <w:sz w:val="23"/>
          <w:szCs w:val="23"/>
          <w:u w:val="single"/>
          <w:lang w:eastAsia="ru-RU"/>
        </w:rPr>
        <w:fldChar w:fldCharType="begin"/>
      </w:r>
      <w:r>
        <w:rPr>
          <w:rFonts w:ascii="Times New Roman" w:hAnsi="Times New Roman" w:eastAsia="Times New Roman" w:cs="Times New Roman"/>
          <w:b/>
          <w:bCs/>
          <w:caps/>
          <w:sz w:val="23"/>
          <w:szCs w:val="23"/>
          <w:u w:val="single"/>
          <w:lang w:eastAsia="ru-RU"/>
        </w:rPr>
        <w:instrText xml:space="preserve"> TOC \o "1-2" \h \z \u </w:instrText>
      </w:r>
      <w:r>
        <w:rPr>
          <w:rFonts w:ascii="Times New Roman" w:hAnsi="Times New Roman" w:eastAsia="Times New Roman" w:cs="Times New Roman"/>
          <w:b/>
          <w:bCs/>
          <w:caps/>
          <w:sz w:val="23"/>
          <w:szCs w:val="23"/>
          <w:u w:val="single"/>
          <w:lang w:eastAsia="ru-RU"/>
        </w:rPr>
        <w:fldChar w:fldCharType="separate"/>
      </w:r>
    </w:p>
    <w:p w14:paraId="12C58576">
      <w:pPr>
        <w:tabs>
          <w:tab w:val="right" w:leader="dot" w:pos="9911"/>
        </w:tabs>
        <w:spacing w:before="360" w:after="360" w:line="240" w:lineRule="auto"/>
        <w:ind w:firstLine="11"/>
        <w:jc w:val="both"/>
        <w:rPr>
          <w:rFonts w:ascii="Calibri" w:hAnsi="Calibri" w:eastAsia="Times New Roman" w:cs="Times New Roman"/>
          <w:lang w:eastAsia="ru-RU"/>
        </w:rPr>
      </w:pPr>
      <w:r>
        <w:fldChar w:fldCharType="begin"/>
      </w:r>
      <w:r>
        <w:instrText xml:space="preserve"> HYPERLINK \l "_Toc1576655" </w:instrText>
      </w:r>
      <w:r>
        <w:fldChar w:fldCharType="separate"/>
      </w:r>
      <w:r>
        <w:rPr>
          <w:rFonts w:ascii="Times New Roman" w:hAnsi="Times New Roman" w:eastAsia="Times New Roman" w:cs="Times New Roman"/>
          <w:b/>
          <w:bCs/>
          <w:caps/>
          <w:color w:val="0000FF"/>
          <w:spacing w:val="20"/>
          <w:u w:val="single"/>
          <w:lang w:eastAsia="ru-RU"/>
        </w:rPr>
        <w:t>Часть I. Положения об аукционе в электронной форме</w:t>
      </w:r>
      <w:r>
        <w:rPr>
          <w:rFonts w:ascii="Times New Roman" w:hAnsi="Times New Roman" w:eastAsia="Times New Roman" w:cs="Times New Roman"/>
          <w:b/>
          <w:bCs/>
          <w:caps/>
          <w:u w:val="single"/>
          <w:lang w:eastAsia="ru-RU"/>
        </w:rPr>
        <w:tab/>
      </w:r>
      <w:r>
        <w:rPr>
          <w:rFonts w:ascii="Times New Roman" w:hAnsi="Times New Roman" w:eastAsia="Times New Roman" w:cs="Times New Roman"/>
          <w:b/>
          <w:bCs/>
          <w:caps/>
          <w:u w:val="single"/>
          <w:lang w:eastAsia="ru-RU"/>
        </w:rPr>
        <w:fldChar w:fldCharType="begin"/>
      </w:r>
      <w:r>
        <w:rPr>
          <w:rFonts w:ascii="Times New Roman" w:hAnsi="Times New Roman" w:eastAsia="Times New Roman" w:cs="Times New Roman"/>
          <w:b/>
          <w:bCs/>
          <w:caps/>
          <w:u w:val="single"/>
          <w:lang w:eastAsia="ru-RU"/>
        </w:rPr>
        <w:instrText xml:space="preserve"> PAGEREF _Toc1576655 \h </w:instrText>
      </w:r>
      <w:r>
        <w:rPr>
          <w:rFonts w:ascii="Times New Roman" w:hAnsi="Times New Roman" w:eastAsia="Times New Roman" w:cs="Times New Roman"/>
          <w:b/>
          <w:bCs/>
          <w:caps/>
          <w:u w:val="single"/>
          <w:lang w:eastAsia="ru-RU"/>
        </w:rPr>
        <w:fldChar w:fldCharType="separate"/>
      </w:r>
      <w:r>
        <w:rPr>
          <w:rFonts w:ascii="Times New Roman" w:hAnsi="Times New Roman" w:eastAsia="Times New Roman" w:cs="Times New Roman"/>
          <w:b/>
          <w:bCs/>
          <w:caps/>
          <w:u w:val="single"/>
          <w:lang w:eastAsia="ru-RU"/>
        </w:rPr>
        <w:t>3</w:t>
      </w:r>
      <w:r>
        <w:rPr>
          <w:rFonts w:ascii="Times New Roman" w:hAnsi="Times New Roman" w:eastAsia="Times New Roman" w:cs="Times New Roman"/>
          <w:b/>
          <w:bCs/>
          <w:caps/>
          <w:u w:val="single"/>
          <w:lang w:eastAsia="ru-RU"/>
        </w:rPr>
        <w:fldChar w:fldCharType="end"/>
      </w:r>
      <w:r>
        <w:rPr>
          <w:rFonts w:ascii="Times New Roman" w:hAnsi="Times New Roman" w:eastAsia="Times New Roman" w:cs="Times New Roman"/>
          <w:b/>
          <w:bCs/>
          <w:caps/>
          <w:u w:val="single"/>
          <w:lang w:eastAsia="ru-RU"/>
        </w:rPr>
        <w:fldChar w:fldCharType="end"/>
      </w:r>
    </w:p>
    <w:p w14:paraId="0308D753">
      <w:pPr>
        <w:tabs>
          <w:tab w:val="left" w:pos="581"/>
          <w:tab w:val="right" w:leader="dot" w:pos="9911"/>
        </w:tabs>
        <w:spacing w:before="120" w:after="0" w:line="240" w:lineRule="auto"/>
        <w:ind w:firstLine="11"/>
        <w:jc w:val="both"/>
        <w:rPr>
          <w:rFonts w:ascii="Calibri" w:hAnsi="Calibri" w:eastAsia="Times New Roman" w:cs="Times New Roman"/>
          <w:lang w:eastAsia="ru-RU"/>
        </w:rPr>
      </w:pPr>
      <w:r>
        <w:fldChar w:fldCharType="begin"/>
      </w:r>
      <w:r>
        <w:instrText xml:space="preserve"> HYPERLINK \l "_Toc1576656" </w:instrText>
      </w:r>
      <w:r>
        <w:fldChar w:fldCharType="separate"/>
      </w:r>
      <w:r>
        <w:rPr>
          <w:rFonts w:ascii="Times New Roman" w:hAnsi="Times New Roman" w:eastAsia="Times New Roman" w:cs="Times New Roman"/>
          <w:b/>
          <w:bCs/>
          <w:caps/>
          <w:smallCaps/>
          <w:color w:val="0000FF"/>
          <w:u w:val="single"/>
          <w:lang w:eastAsia="ru-RU"/>
        </w:rPr>
        <w:t>1.</w:t>
      </w:r>
      <w:r>
        <w:rPr>
          <w:rFonts w:ascii="Calibri" w:hAnsi="Calibri" w:eastAsia="Times New Roman" w:cs="Times New Roman"/>
          <w:lang w:eastAsia="ru-RU"/>
        </w:rPr>
        <w:tab/>
      </w:r>
      <w:r>
        <w:rPr>
          <w:rFonts w:ascii="Times New Roman" w:hAnsi="Times New Roman" w:eastAsia="Times New Roman" w:cs="Times New Roman"/>
          <w:b/>
          <w:bCs/>
          <w:caps/>
          <w:smallCaps/>
          <w:color w:val="0000FF"/>
          <w:u w:val="single"/>
          <w:lang w:eastAsia="ru-RU"/>
        </w:rPr>
        <w:t>Раздел I. Общие положения.</w:t>
      </w:r>
      <w:r>
        <w:rPr>
          <w:rFonts w:ascii="Times New Roman" w:hAnsi="Times New Roman" w:eastAsia="Times New Roman" w:cs="Times New Roman"/>
          <w:b/>
          <w:bCs/>
          <w:smallCaps/>
          <w:lang w:eastAsia="ru-RU"/>
        </w:rPr>
        <w:tab/>
      </w:r>
      <w:r>
        <w:rPr>
          <w:rFonts w:ascii="Times New Roman" w:hAnsi="Times New Roman" w:eastAsia="Times New Roman" w:cs="Times New Roman"/>
          <w:b/>
          <w:bCs/>
          <w:smallCaps/>
          <w:lang w:eastAsia="ru-RU"/>
        </w:rPr>
        <w:fldChar w:fldCharType="begin"/>
      </w:r>
      <w:r>
        <w:rPr>
          <w:rFonts w:ascii="Times New Roman" w:hAnsi="Times New Roman" w:eastAsia="Times New Roman" w:cs="Times New Roman"/>
          <w:b/>
          <w:bCs/>
          <w:smallCaps/>
          <w:lang w:eastAsia="ru-RU"/>
        </w:rPr>
        <w:instrText xml:space="preserve"> PAGEREF _Toc1576656 \h </w:instrText>
      </w:r>
      <w:r>
        <w:rPr>
          <w:rFonts w:ascii="Times New Roman" w:hAnsi="Times New Roman" w:eastAsia="Times New Roman" w:cs="Times New Roman"/>
          <w:b/>
          <w:bCs/>
          <w:smallCaps/>
          <w:lang w:eastAsia="ru-RU"/>
        </w:rPr>
        <w:fldChar w:fldCharType="separate"/>
      </w:r>
      <w:r>
        <w:rPr>
          <w:rFonts w:ascii="Times New Roman" w:hAnsi="Times New Roman" w:eastAsia="Times New Roman" w:cs="Times New Roman"/>
          <w:b/>
          <w:bCs/>
          <w:smallCaps/>
          <w:lang w:eastAsia="ru-RU"/>
        </w:rPr>
        <w:t>3</w:t>
      </w:r>
      <w:r>
        <w:rPr>
          <w:rFonts w:ascii="Times New Roman" w:hAnsi="Times New Roman" w:eastAsia="Times New Roman" w:cs="Times New Roman"/>
          <w:b/>
          <w:bCs/>
          <w:smallCaps/>
          <w:lang w:eastAsia="ru-RU"/>
        </w:rPr>
        <w:fldChar w:fldCharType="end"/>
      </w:r>
      <w:r>
        <w:rPr>
          <w:rFonts w:ascii="Times New Roman" w:hAnsi="Times New Roman" w:eastAsia="Times New Roman" w:cs="Times New Roman"/>
          <w:b/>
          <w:bCs/>
          <w:smallCaps/>
          <w:lang w:eastAsia="ru-RU"/>
        </w:rPr>
        <w:fldChar w:fldCharType="end"/>
      </w:r>
    </w:p>
    <w:p w14:paraId="06C1C2DF">
      <w:pPr>
        <w:tabs>
          <w:tab w:val="left" w:pos="581"/>
          <w:tab w:val="right" w:leader="dot" w:pos="9911"/>
        </w:tabs>
        <w:spacing w:before="120" w:after="0" w:line="240" w:lineRule="auto"/>
        <w:ind w:firstLine="11"/>
        <w:jc w:val="both"/>
        <w:rPr>
          <w:rFonts w:ascii="Calibri" w:hAnsi="Calibri" w:eastAsia="Times New Roman" w:cs="Times New Roman"/>
          <w:lang w:eastAsia="ru-RU"/>
        </w:rPr>
      </w:pPr>
      <w:r>
        <w:fldChar w:fldCharType="begin"/>
      </w:r>
      <w:r>
        <w:instrText xml:space="preserve"> HYPERLINK \l "_Toc1576657" </w:instrText>
      </w:r>
      <w:r>
        <w:fldChar w:fldCharType="separate"/>
      </w:r>
      <w:r>
        <w:rPr>
          <w:rFonts w:ascii="Times New Roman" w:hAnsi="Times New Roman" w:eastAsia="Times New Roman" w:cs="Times New Roman"/>
          <w:b/>
          <w:bCs/>
          <w:caps/>
          <w:smallCaps/>
          <w:color w:val="0000FF"/>
          <w:u w:val="single"/>
          <w:lang w:eastAsia="ru-RU"/>
        </w:rPr>
        <w:t>2.</w:t>
      </w:r>
      <w:r>
        <w:rPr>
          <w:rFonts w:ascii="Calibri" w:hAnsi="Calibri" w:eastAsia="Times New Roman" w:cs="Times New Roman"/>
          <w:lang w:eastAsia="ru-RU"/>
        </w:rPr>
        <w:tab/>
      </w:r>
      <w:r>
        <w:rPr>
          <w:rFonts w:ascii="Times New Roman" w:hAnsi="Times New Roman" w:eastAsia="Times New Roman" w:cs="Times New Roman"/>
          <w:b/>
          <w:bCs/>
          <w:caps/>
          <w:smallCaps/>
          <w:color w:val="0000FF"/>
          <w:u w:val="single"/>
          <w:lang w:eastAsia="ru-RU"/>
        </w:rPr>
        <w:t>Раздел II. Требования к участнику аукциона.</w:t>
      </w:r>
      <w:r>
        <w:rPr>
          <w:rFonts w:ascii="Times New Roman" w:hAnsi="Times New Roman" w:eastAsia="Times New Roman" w:cs="Times New Roman"/>
          <w:b/>
          <w:bCs/>
          <w:smallCaps/>
          <w:lang w:eastAsia="ru-RU"/>
        </w:rPr>
        <w:tab/>
      </w:r>
      <w:r>
        <w:rPr>
          <w:rFonts w:ascii="Times New Roman" w:hAnsi="Times New Roman" w:eastAsia="Times New Roman" w:cs="Times New Roman"/>
          <w:b/>
          <w:bCs/>
          <w:smallCaps/>
          <w:lang w:eastAsia="ru-RU"/>
        </w:rPr>
        <w:fldChar w:fldCharType="begin"/>
      </w:r>
      <w:r>
        <w:rPr>
          <w:rFonts w:ascii="Times New Roman" w:hAnsi="Times New Roman" w:eastAsia="Times New Roman" w:cs="Times New Roman"/>
          <w:b/>
          <w:bCs/>
          <w:smallCaps/>
          <w:lang w:eastAsia="ru-RU"/>
        </w:rPr>
        <w:instrText xml:space="preserve"> PAGEREF _Toc1576657 \h </w:instrText>
      </w:r>
      <w:r>
        <w:rPr>
          <w:rFonts w:ascii="Times New Roman" w:hAnsi="Times New Roman" w:eastAsia="Times New Roman" w:cs="Times New Roman"/>
          <w:b/>
          <w:bCs/>
          <w:smallCaps/>
          <w:lang w:eastAsia="ru-RU"/>
        </w:rPr>
        <w:fldChar w:fldCharType="separate"/>
      </w:r>
      <w:r>
        <w:rPr>
          <w:rFonts w:ascii="Times New Roman" w:hAnsi="Times New Roman" w:eastAsia="Times New Roman" w:cs="Times New Roman"/>
          <w:b/>
          <w:bCs/>
          <w:smallCaps/>
          <w:lang w:eastAsia="ru-RU"/>
        </w:rPr>
        <w:t>3</w:t>
      </w:r>
      <w:r>
        <w:rPr>
          <w:rFonts w:ascii="Times New Roman" w:hAnsi="Times New Roman" w:eastAsia="Times New Roman" w:cs="Times New Roman"/>
          <w:b/>
          <w:bCs/>
          <w:smallCaps/>
          <w:lang w:eastAsia="ru-RU"/>
        </w:rPr>
        <w:fldChar w:fldCharType="end"/>
      </w:r>
      <w:r>
        <w:rPr>
          <w:rFonts w:ascii="Times New Roman" w:hAnsi="Times New Roman" w:eastAsia="Times New Roman" w:cs="Times New Roman"/>
          <w:b/>
          <w:bCs/>
          <w:smallCaps/>
          <w:lang w:eastAsia="ru-RU"/>
        </w:rPr>
        <w:fldChar w:fldCharType="end"/>
      </w:r>
    </w:p>
    <w:p w14:paraId="79EB62E9">
      <w:pPr>
        <w:tabs>
          <w:tab w:val="left" w:pos="581"/>
          <w:tab w:val="right" w:leader="dot" w:pos="9911"/>
        </w:tabs>
        <w:spacing w:before="120" w:after="0" w:line="240" w:lineRule="auto"/>
        <w:ind w:firstLine="11"/>
        <w:jc w:val="both"/>
        <w:rPr>
          <w:rFonts w:ascii="Calibri" w:hAnsi="Calibri" w:eastAsia="Times New Roman" w:cs="Times New Roman"/>
          <w:lang w:eastAsia="ru-RU"/>
        </w:rPr>
      </w:pPr>
      <w:r>
        <w:fldChar w:fldCharType="begin"/>
      </w:r>
      <w:r>
        <w:instrText xml:space="preserve"> HYPERLINK \l "_Toc1576658" </w:instrText>
      </w:r>
      <w:r>
        <w:fldChar w:fldCharType="separate"/>
      </w:r>
      <w:r>
        <w:rPr>
          <w:rFonts w:ascii="Times New Roman" w:hAnsi="Times New Roman" w:eastAsia="Times New Roman" w:cs="Times New Roman"/>
          <w:b/>
          <w:bCs/>
          <w:caps/>
          <w:smallCaps/>
          <w:color w:val="0000FF"/>
          <w:u w:val="single"/>
          <w:lang w:eastAsia="ru-RU"/>
        </w:rPr>
        <w:t>3.</w:t>
      </w:r>
      <w:r>
        <w:rPr>
          <w:rFonts w:ascii="Calibri" w:hAnsi="Calibri" w:eastAsia="Times New Roman" w:cs="Times New Roman"/>
          <w:lang w:eastAsia="ru-RU"/>
        </w:rPr>
        <w:tab/>
      </w:r>
      <w:r>
        <w:rPr>
          <w:rFonts w:ascii="Times New Roman" w:hAnsi="Times New Roman" w:eastAsia="Times New Roman" w:cs="Times New Roman"/>
          <w:b/>
          <w:bCs/>
          <w:caps/>
          <w:smallCaps/>
          <w:color w:val="0000FF"/>
          <w:u w:val="single"/>
          <w:lang w:eastAsia="ru-RU"/>
        </w:rPr>
        <w:t>Раздел III. РазъяснениЕ, внесение изменений, отказ от проведения аукциона.</w:t>
      </w:r>
      <w:r>
        <w:rPr>
          <w:rFonts w:ascii="Times New Roman" w:hAnsi="Times New Roman" w:eastAsia="Times New Roman" w:cs="Times New Roman"/>
          <w:b/>
          <w:bCs/>
          <w:smallCaps/>
          <w:lang w:eastAsia="ru-RU"/>
        </w:rPr>
        <w:tab/>
      </w:r>
      <w:r>
        <w:rPr>
          <w:rFonts w:ascii="Times New Roman" w:hAnsi="Times New Roman" w:eastAsia="Times New Roman" w:cs="Times New Roman"/>
          <w:b/>
          <w:bCs/>
          <w:smallCaps/>
          <w:lang w:eastAsia="ru-RU"/>
        </w:rPr>
        <w:fldChar w:fldCharType="begin"/>
      </w:r>
      <w:r>
        <w:rPr>
          <w:rFonts w:ascii="Times New Roman" w:hAnsi="Times New Roman" w:eastAsia="Times New Roman" w:cs="Times New Roman"/>
          <w:b/>
          <w:bCs/>
          <w:smallCaps/>
          <w:lang w:eastAsia="ru-RU"/>
        </w:rPr>
        <w:instrText xml:space="preserve"> PAGEREF _Toc1576658 \h </w:instrText>
      </w:r>
      <w:r>
        <w:rPr>
          <w:rFonts w:ascii="Times New Roman" w:hAnsi="Times New Roman" w:eastAsia="Times New Roman" w:cs="Times New Roman"/>
          <w:b/>
          <w:bCs/>
          <w:smallCaps/>
          <w:lang w:eastAsia="ru-RU"/>
        </w:rPr>
        <w:fldChar w:fldCharType="separate"/>
      </w:r>
      <w:r>
        <w:rPr>
          <w:rFonts w:ascii="Times New Roman" w:hAnsi="Times New Roman" w:eastAsia="Times New Roman" w:cs="Times New Roman"/>
          <w:b/>
          <w:bCs/>
          <w:smallCaps/>
          <w:lang w:eastAsia="ru-RU"/>
        </w:rPr>
        <w:t>5</w:t>
      </w:r>
      <w:r>
        <w:rPr>
          <w:rFonts w:ascii="Times New Roman" w:hAnsi="Times New Roman" w:eastAsia="Times New Roman" w:cs="Times New Roman"/>
          <w:b/>
          <w:bCs/>
          <w:smallCaps/>
          <w:lang w:eastAsia="ru-RU"/>
        </w:rPr>
        <w:fldChar w:fldCharType="end"/>
      </w:r>
      <w:r>
        <w:rPr>
          <w:rFonts w:ascii="Times New Roman" w:hAnsi="Times New Roman" w:eastAsia="Times New Roman" w:cs="Times New Roman"/>
          <w:b/>
          <w:bCs/>
          <w:smallCaps/>
          <w:lang w:eastAsia="ru-RU"/>
        </w:rPr>
        <w:fldChar w:fldCharType="end"/>
      </w:r>
    </w:p>
    <w:p w14:paraId="33E71629">
      <w:pPr>
        <w:tabs>
          <w:tab w:val="left" w:pos="581"/>
          <w:tab w:val="right" w:leader="dot" w:pos="9911"/>
        </w:tabs>
        <w:spacing w:before="120" w:after="0" w:line="240" w:lineRule="auto"/>
        <w:ind w:firstLine="11"/>
        <w:jc w:val="both"/>
        <w:rPr>
          <w:rFonts w:ascii="Calibri" w:hAnsi="Calibri" w:eastAsia="Times New Roman" w:cs="Times New Roman"/>
          <w:lang w:eastAsia="ru-RU"/>
        </w:rPr>
      </w:pPr>
      <w:r>
        <w:fldChar w:fldCharType="begin"/>
      </w:r>
      <w:r>
        <w:instrText xml:space="preserve"> HYPERLINK \l "_Toc1576662" </w:instrText>
      </w:r>
      <w:r>
        <w:fldChar w:fldCharType="separate"/>
      </w:r>
      <w:r>
        <w:rPr>
          <w:rFonts w:ascii="Times New Roman" w:hAnsi="Times New Roman" w:eastAsia="Times New Roman" w:cs="Times New Roman"/>
          <w:b/>
          <w:bCs/>
          <w:caps/>
          <w:smallCaps/>
          <w:color w:val="0000FF"/>
          <w:u w:val="single"/>
          <w:lang w:eastAsia="ru-RU"/>
        </w:rPr>
        <w:t>4.</w:t>
      </w:r>
      <w:r>
        <w:rPr>
          <w:rFonts w:ascii="Calibri" w:hAnsi="Calibri" w:eastAsia="Times New Roman" w:cs="Times New Roman"/>
          <w:lang w:eastAsia="ru-RU"/>
        </w:rPr>
        <w:tab/>
      </w:r>
      <w:r>
        <w:rPr>
          <w:rFonts w:ascii="Times New Roman" w:hAnsi="Times New Roman" w:eastAsia="Times New Roman" w:cs="Times New Roman"/>
          <w:b/>
          <w:bCs/>
          <w:caps/>
          <w:smallCaps/>
          <w:color w:val="0000FF"/>
          <w:u w:val="single"/>
          <w:lang w:eastAsia="ru-RU"/>
        </w:rPr>
        <w:t>раздел IV. требования к содержанию и составу, подача заявки на участие в аукционе.</w:t>
      </w:r>
      <w:r>
        <w:rPr>
          <w:rFonts w:ascii="Times New Roman" w:hAnsi="Times New Roman" w:eastAsia="Times New Roman" w:cs="Times New Roman"/>
          <w:b/>
          <w:bCs/>
          <w:smallCaps/>
          <w:lang w:eastAsia="ru-RU"/>
        </w:rPr>
        <w:tab/>
      </w:r>
      <w:r>
        <w:rPr>
          <w:rFonts w:ascii="Times New Roman" w:hAnsi="Times New Roman" w:eastAsia="Times New Roman" w:cs="Times New Roman"/>
          <w:b/>
          <w:bCs/>
          <w:smallCaps/>
          <w:lang w:eastAsia="ru-RU"/>
        </w:rPr>
        <w:fldChar w:fldCharType="begin"/>
      </w:r>
      <w:r>
        <w:rPr>
          <w:rFonts w:ascii="Times New Roman" w:hAnsi="Times New Roman" w:eastAsia="Times New Roman" w:cs="Times New Roman"/>
          <w:b/>
          <w:bCs/>
          <w:smallCaps/>
          <w:lang w:eastAsia="ru-RU"/>
        </w:rPr>
        <w:instrText xml:space="preserve"> PAGEREF _Toc1576662 \h </w:instrText>
      </w:r>
      <w:r>
        <w:rPr>
          <w:rFonts w:ascii="Times New Roman" w:hAnsi="Times New Roman" w:eastAsia="Times New Roman" w:cs="Times New Roman"/>
          <w:b/>
          <w:bCs/>
          <w:smallCaps/>
          <w:lang w:eastAsia="ru-RU"/>
        </w:rPr>
        <w:fldChar w:fldCharType="separate"/>
      </w:r>
      <w:r>
        <w:rPr>
          <w:rFonts w:ascii="Times New Roman" w:hAnsi="Times New Roman" w:eastAsia="Times New Roman" w:cs="Times New Roman"/>
          <w:b/>
          <w:bCs/>
          <w:smallCaps/>
          <w:lang w:eastAsia="ru-RU"/>
        </w:rPr>
        <w:t>5</w:t>
      </w:r>
      <w:r>
        <w:rPr>
          <w:rFonts w:ascii="Times New Roman" w:hAnsi="Times New Roman" w:eastAsia="Times New Roman" w:cs="Times New Roman"/>
          <w:b/>
          <w:bCs/>
          <w:smallCaps/>
          <w:lang w:eastAsia="ru-RU"/>
        </w:rPr>
        <w:fldChar w:fldCharType="end"/>
      </w:r>
      <w:r>
        <w:rPr>
          <w:rFonts w:ascii="Times New Roman" w:hAnsi="Times New Roman" w:eastAsia="Times New Roman" w:cs="Times New Roman"/>
          <w:b/>
          <w:bCs/>
          <w:smallCaps/>
          <w:lang w:eastAsia="ru-RU"/>
        </w:rPr>
        <w:fldChar w:fldCharType="end"/>
      </w:r>
    </w:p>
    <w:p w14:paraId="6B3FB592">
      <w:pPr>
        <w:tabs>
          <w:tab w:val="left" w:pos="581"/>
          <w:tab w:val="right" w:leader="dot" w:pos="9911"/>
        </w:tabs>
        <w:spacing w:before="120" w:after="0" w:line="240" w:lineRule="auto"/>
        <w:ind w:firstLine="11"/>
        <w:jc w:val="both"/>
        <w:rPr>
          <w:rFonts w:ascii="Calibri" w:hAnsi="Calibri" w:eastAsia="Times New Roman" w:cs="Times New Roman"/>
          <w:lang w:eastAsia="ru-RU"/>
        </w:rPr>
      </w:pPr>
      <w:r>
        <w:fldChar w:fldCharType="begin"/>
      </w:r>
      <w:r>
        <w:instrText xml:space="preserve"> HYPERLINK \l "_Toc1576663" </w:instrText>
      </w:r>
      <w:r>
        <w:fldChar w:fldCharType="separate"/>
      </w:r>
      <w:r>
        <w:rPr>
          <w:rFonts w:ascii="Times New Roman" w:hAnsi="Times New Roman" w:eastAsia="Times New Roman" w:cs="Times New Roman"/>
          <w:b/>
          <w:bCs/>
          <w:caps/>
          <w:smallCaps/>
          <w:color w:val="0000FF"/>
          <w:u w:val="single"/>
          <w:lang w:eastAsia="ru-RU"/>
        </w:rPr>
        <w:t>5.</w:t>
      </w:r>
      <w:r>
        <w:rPr>
          <w:rFonts w:ascii="Calibri" w:hAnsi="Calibri" w:eastAsia="Times New Roman" w:cs="Times New Roman"/>
          <w:lang w:eastAsia="ru-RU"/>
        </w:rPr>
        <w:tab/>
      </w:r>
      <w:r>
        <w:rPr>
          <w:rFonts w:ascii="Times New Roman" w:hAnsi="Times New Roman" w:eastAsia="Times New Roman" w:cs="Times New Roman"/>
          <w:b/>
          <w:bCs/>
          <w:caps/>
          <w:smallCaps/>
          <w:color w:val="0000FF"/>
          <w:u w:val="single"/>
          <w:lang w:eastAsia="ru-RU"/>
        </w:rPr>
        <w:t>Раздел V. Рассмотрение заявок и проведение аукциона.</w:t>
      </w:r>
      <w:r>
        <w:rPr>
          <w:rFonts w:ascii="Times New Roman" w:hAnsi="Times New Roman" w:eastAsia="Times New Roman" w:cs="Times New Roman"/>
          <w:b/>
          <w:bCs/>
          <w:smallCaps/>
          <w:lang w:eastAsia="ru-RU"/>
        </w:rPr>
        <w:tab/>
      </w:r>
      <w:r>
        <w:rPr>
          <w:rFonts w:ascii="Times New Roman" w:hAnsi="Times New Roman" w:eastAsia="Times New Roman" w:cs="Times New Roman"/>
          <w:b/>
          <w:bCs/>
          <w:smallCaps/>
          <w:lang w:eastAsia="ru-RU"/>
        </w:rPr>
        <w:fldChar w:fldCharType="begin"/>
      </w:r>
      <w:r>
        <w:rPr>
          <w:rFonts w:ascii="Times New Roman" w:hAnsi="Times New Roman" w:eastAsia="Times New Roman" w:cs="Times New Roman"/>
          <w:b/>
          <w:bCs/>
          <w:smallCaps/>
          <w:lang w:eastAsia="ru-RU"/>
        </w:rPr>
        <w:instrText xml:space="preserve"> PAGEREF _Toc1576663 \h </w:instrText>
      </w:r>
      <w:r>
        <w:rPr>
          <w:rFonts w:ascii="Times New Roman" w:hAnsi="Times New Roman" w:eastAsia="Times New Roman" w:cs="Times New Roman"/>
          <w:b/>
          <w:bCs/>
          <w:smallCaps/>
          <w:lang w:eastAsia="ru-RU"/>
        </w:rPr>
        <w:fldChar w:fldCharType="separate"/>
      </w:r>
      <w:r>
        <w:rPr>
          <w:rFonts w:ascii="Times New Roman" w:hAnsi="Times New Roman" w:eastAsia="Times New Roman" w:cs="Times New Roman"/>
          <w:b/>
          <w:bCs/>
          <w:smallCaps/>
          <w:lang w:eastAsia="ru-RU"/>
        </w:rPr>
        <w:t>8</w:t>
      </w:r>
      <w:r>
        <w:rPr>
          <w:rFonts w:ascii="Times New Roman" w:hAnsi="Times New Roman" w:eastAsia="Times New Roman" w:cs="Times New Roman"/>
          <w:b/>
          <w:bCs/>
          <w:smallCaps/>
          <w:lang w:eastAsia="ru-RU"/>
        </w:rPr>
        <w:fldChar w:fldCharType="end"/>
      </w:r>
      <w:r>
        <w:rPr>
          <w:rFonts w:ascii="Times New Roman" w:hAnsi="Times New Roman" w:eastAsia="Times New Roman" w:cs="Times New Roman"/>
          <w:b/>
          <w:bCs/>
          <w:smallCaps/>
          <w:lang w:eastAsia="ru-RU"/>
        </w:rPr>
        <w:fldChar w:fldCharType="end"/>
      </w:r>
    </w:p>
    <w:p w14:paraId="454B159B">
      <w:pPr>
        <w:tabs>
          <w:tab w:val="left" w:pos="581"/>
          <w:tab w:val="right" w:leader="dot" w:pos="9911"/>
        </w:tabs>
        <w:spacing w:before="120" w:after="0" w:line="240" w:lineRule="auto"/>
        <w:ind w:firstLine="11"/>
        <w:jc w:val="both"/>
        <w:rPr>
          <w:rFonts w:ascii="Calibri" w:hAnsi="Calibri" w:eastAsia="Times New Roman" w:cs="Times New Roman"/>
          <w:lang w:eastAsia="ru-RU"/>
        </w:rPr>
      </w:pPr>
      <w:r>
        <w:fldChar w:fldCharType="begin"/>
      </w:r>
      <w:r>
        <w:instrText xml:space="preserve"> HYPERLINK \l "_Toc1576666" </w:instrText>
      </w:r>
      <w:r>
        <w:fldChar w:fldCharType="separate"/>
      </w:r>
      <w:r>
        <w:rPr>
          <w:rFonts w:ascii="Times New Roman" w:hAnsi="Times New Roman" w:eastAsia="Times New Roman" w:cs="Times New Roman"/>
          <w:b/>
          <w:bCs/>
          <w:caps/>
          <w:smallCaps/>
          <w:color w:val="0000FF"/>
          <w:u w:val="single"/>
          <w:lang w:eastAsia="ru-RU"/>
        </w:rPr>
        <w:t>6.</w:t>
      </w:r>
      <w:r>
        <w:rPr>
          <w:rFonts w:ascii="Calibri" w:hAnsi="Calibri" w:eastAsia="Times New Roman" w:cs="Times New Roman"/>
          <w:lang w:eastAsia="ru-RU"/>
        </w:rPr>
        <w:tab/>
      </w:r>
      <w:r>
        <w:rPr>
          <w:rFonts w:ascii="Times New Roman" w:hAnsi="Times New Roman" w:eastAsia="Times New Roman" w:cs="Times New Roman"/>
          <w:b/>
          <w:bCs/>
          <w:caps/>
          <w:smallCaps/>
          <w:color w:val="0000FF"/>
          <w:u w:val="single"/>
          <w:lang w:eastAsia="ru-RU"/>
        </w:rPr>
        <w:t>Раздел VI. заключение договора.</w:t>
      </w:r>
      <w:r>
        <w:rPr>
          <w:rFonts w:ascii="Times New Roman" w:hAnsi="Times New Roman" w:eastAsia="Times New Roman" w:cs="Times New Roman"/>
          <w:b/>
          <w:bCs/>
          <w:smallCaps/>
          <w:lang w:eastAsia="ru-RU"/>
        </w:rPr>
        <w:tab/>
      </w:r>
      <w:r>
        <w:rPr>
          <w:rFonts w:ascii="Times New Roman" w:hAnsi="Times New Roman" w:eastAsia="Times New Roman" w:cs="Times New Roman"/>
          <w:b/>
          <w:bCs/>
          <w:smallCaps/>
          <w:lang w:eastAsia="ru-RU"/>
        </w:rPr>
        <w:fldChar w:fldCharType="begin"/>
      </w:r>
      <w:r>
        <w:rPr>
          <w:rFonts w:ascii="Times New Roman" w:hAnsi="Times New Roman" w:eastAsia="Times New Roman" w:cs="Times New Roman"/>
          <w:b/>
          <w:bCs/>
          <w:smallCaps/>
          <w:lang w:eastAsia="ru-RU"/>
        </w:rPr>
        <w:instrText xml:space="preserve"> PAGEREF _Toc1576666 \h </w:instrText>
      </w:r>
      <w:r>
        <w:rPr>
          <w:rFonts w:ascii="Times New Roman" w:hAnsi="Times New Roman" w:eastAsia="Times New Roman" w:cs="Times New Roman"/>
          <w:b/>
          <w:bCs/>
          <w:smallCaps/>
          <w:lang w:eastAsia="ru-RU"/>
        </w:rPr>
        <w:fldChar w:fldCharType="separate"/>
      </w:r>
      <w:r>
        <w:rPr>
          <w:rFonts w:ascii="Times New Roman" w:hAnsi="Times New Roman" w:eastAsia="Times New Roman" w:cs="Times New Roman"/>
          <w:b/>
          <w:bCs/>
          <w:smallCaps/>
          <w:lang w:eastAsia="ru-RU"/>
        </w:rPr>
        <w:t>10</w:t>
      </w:r>
      <w:r>
        <w:rPr>
          <w:rFonts w:ascii="Times New Roman" w:hAnsi="Times New Roman" w:eastAsia="Times New Roman" w:cs="Times New Roman"/>
          <w:b/>
          <w:bCs/>
          <w:smallCaps/>
          <w:lang w:eastAsia="ru-RU"/>
        </w:rPr>
        <w:fldChar w:fldCharType="end"/>
      </w:r>
      <w:r>
        <w:rPr>
          <w:rFonts w:ascii="Times New Roman" w:hAnsi="Times New Roman" w:eastAsia="Times New Roman" w:cs="Times New Roman"/>
          <w:b/>
          <w:bCs/>
          <w:smallCaps/>
          <w:lang w:eastAsia="ru-RU"/>
        </w:rPr>
        <w:fldChar w:fldCharType="end"/>
      </w:r>
    </w:p>
    <w:p w14:paraId="55F18FAB">
      <w:pPr>
        <w:tabs>
          <w:tab w:val="left" w:pos="581"/>
          <w:tab w:val="right" w:leader="dot" w:pos="9911"/>
        </w:tabs>
        <w:spacing w:before="120" w:after="0" w:line="240" w:lineRule="auto"/>
        <w:ind w:firstLine="11"/>
        <w:jc w:val="both"/>
        <w:rPr>
          <w:rFonts w:ascii="Calibri" w:hAnsi="Calibri" w:eastAsia="Times New Roman" w:cs="Times New Roman"/>
          <w:lang w:eastAsia="ru-RU"/>
        </w:rPr>
      </w:pPr>
      <w:r>
        <w:fldChar w:fldCharType="begin"/>
      </w:r>
      <w:r>
        <w:instrText xml:space="preserve"> HYPERLINK \l "_Toc1576667" </w:instrText>
      </w:r>
      <w:r>
        <w:fldChar w:fldCharType="separate"/>
      </w:r>
      <w:r>
        <w:rPr>
          <w:rFonts w:ascii="Times New Roman" w:hAnsi="Times New Roman" w:eastAsia="Times New Roman" w:cs="Times New Roman"/>
          <w:b/>
          <w:bCs/>
          <w:caps/>
          <w:smallCaps/>
          <w:color w:val="0000FF"/>
          <w:u w:val="single"/>
          <w:lang w:eastAsia="ru-RU"/>
        </w:rPr>
        <w:t>7.</w:t>
      </w:r>
      <w:r>
        <w:rPr>
          <w:rFonts w:ascii="Calibri" w:hAnsi="Calibri" w:eastAsia="Times New Roman" w:cs="Times New Roman"/>
          <w:lang w:eastAsia="ru-RU"/>
        </w:rPr>
        <w:tab/>
      </w:r>
      <w:r>
        <w:rPr>
          <w:rFonts w:ascii="Times New Roman" w:hAnsi="Times New Roman" w:eastAsia="Times New Roman" w:cs="Times New Roman"/>
          <w:b/>
          <w:bCs/>
          <w:caps/>
          <w:smallCaps/>
          <w:color w:val="0000FF"/>
          <w:u w:val="single"/>
          <w:lang w:eastAsia="ru-RU"/>
        </w:rPr>
        <w:t>Раздел VII. Обеспечение исполнения договора.</w:t>
      </w:r>
      <w:r>
        <w:rPr>
          <w:rFonts w:ascii="Times New Roman" w:hAnsi="Times New Roman" w:eastAsia="Times New Roman" w:cs="Times New Roman"/>
          <w:b/>
          <w:bCs/>
          <w:smallCaps/>
          <w:lang w:eastAsia="ru-RU"/>
        </w:rPr>
        <w:tab/>
      </w:r>
      <w:r>
        <w:rPr>
          <w:rFonts w:ascii="Times New Roman" w:hAnsi="Times New Roman" w:eastAsia="Times New Roman" w:cs="Times New Roman"/>
          <w:b/>
          <w:bCs/>
          <w:smallCaps/>
          <w:lang w:eastAsia="ru-RU"/>
        </w:rPr>
        <w:fldChar w:fldCharType="begin"/>
      </w:r>
      <w:r>
        <w:rPr>
          <w:rFonts w:ascii="Times New Roman" w:hAnsi="Times New Roman" w:eastAsia="Times New Roman" w:cs="Times New Roman"/>
          <w:b/>
          <w:bCs/>
          <w:smallCaps/>
          <w:lang w:eastAsia="ru-RU"/>
        </w:rPr>
        <w:instrText xml:space="preserve"> PAGEREF _Toc1576667 \h </w:instrText>
      </w:r>
      <w:r>
        <w:rPr>
          <w:rFonts w:ascii="Times New Roman" w:hAnsi="Times New Roman" w:eastAsia="Times New Roman" w:cs="Times New Roman"/>
          <w:b/>
          <w:bCs/>
          <w:smallCaps/>
          <w:lang w:eastAsia="ru-RU"/>
        </w:rPr>
        <w:fldChar w:fldCharType="separate"/>
      </w:r>
      <w:r>
        <w:rPr>
          <w:rFonts w:ascii="Times New Roman" w:hAnsi="Times New Roman" w:eastAsia="Times New Roman" w:cs="Times New Roman"/>
          <w:b/>
          <w:bCs/>
          <w:smallCaps/>
          <w:lang w:eastAsia="ru-RU"/>
        </w:rPr>
        <w:t>11</w:t>
      </w:r>
      <w:r>
        <w:rPr>
          <w:rFonts w:ascii="Times New Roman" w:hAnsi="Times New Roman" w:eastAsia="Times New Roman" w:cs="Times New Roman"/>
          <w:b/>
          <w:bCs/>
          <w:smallCaps/>
          <w:lang w:eastAsia="ru-RU"/>
        </w:rPr>
        <w:fldChar w:fldCharType="end"/>
      </w:r>
      <w:r>
        <w:rPr>
          <w:rFonts w:ascii="Times New Roman" w:hAnsi="Times New Roman" w:eastAsia="Times New Roman" w:cs="Times New Roman"/>
          <w:b/>
          <w:bCs/>
          <w:smallCaps/>
          <w:lang w:eastAsia="ru-RU"/>
        </w:rPr>
        <w:fldChar w:fldCharType="end"/>
      </w:r>
    </w:p>
    <w:p w14:paraId="393362B5">
      <w:pPr>
        <w:tabs>
          <w:tab w:val="left" w:pos="581"/>
          <w:tab w:val="right" w:leader="dot" w:pos="9911"/>
        </w:tabs>
        <w:spacing w:before="120" w:after="0" w:line="240" w:lineRule="auto"/>
        <w:ind w:firstLine="11"/>
        <w:jc w:val="both"/>
        <w:rPr>
          <w:rFonts w:ascii="Calibri" w:hAnsi="Calibri" w:eastAsia="Times New Roman" w:cs="Times New Roman"/>
          <w:lang w:eastAsia="ru-RU"/>
        </w:rPr>
      </w:pPr>
      <w:r>
        <w:fldChar w:fldCharType="begin"/>
      </w:r>
      <w:r>
        <w:instrText xml:space="preserve"> HYPERLINK \l "_Toc1576668" </w:instrText>
      </w:r>
      <w:r>
        <w:fldChar w:fldCharType="separate"/>
      </w:r>
      <w:r>
        <w:rPr>
          <w:rFonts w:ascii="Times New Roman" w:hAnsi="Times New Roman" w:eastAsia="Times New Roman" w:cs="Times New Roman"/>
          <w:b/>
          <w:bCs/>
          <w:caps/>
          <w:smallCaps/>
          <w:color w:val="0000FF"/>
          <w:u w:val="single"/>
          <w:lang w:eastAsia="ru-RU"/>
        </w:rPr>
        <w:t>8.</w:t>
      </w:r>
      <w:r>
        <w:rPr>
          <w:rFonts w:ascii="Calibri" w:hAnsi="Calibri" w:eastAsia="Times New Roman" w:cs="Times New Roman"/>
          <w:lang w:eastAsia="ru-RU"/>
        </w:rPr>
        <w:tab/>
      </w:r>
      <w:r>
        <w:rPr>
          <w:rFonts w:ascii="Times New Roman" w:hAnsi="Times New Roman" w:eastAsia="Times New Roman" w:cs="Times New Roman"/>
          <w:b/>
          <w:bCs/>
          <w:caps/>
          <w:smallCaps/>
          <w:color w:val="0000FF"/>
          <w:u w:val="single"/>
          <w:lang w:eastAsia="ru-RU"/>
        </w:rPr>
        <w:t>Раздел VI</w:t>
      </w:r>
      <w:r>
        <w:rPr>
          <w:rFonts w:ascii="Times New Roman" w:hAnsi="Times New Roman" w:eastAsia="Times New Roman" w:cs="Times New Roman"/>
          <w:b/>
          <w:bCs/>
          <w:caps/>
          <w:smallCaps/>
          <w:color w:val="0000FF"/>
          <w:u w:val="single"/>
          <w:lang w:val="en-US" w:eastAsia="ru-RU"/>
        </w:rPr>
        <w:t>i</w:t>
      </w:r>
      <w:r>
        <w:rPr>
          <w:rFonts w:ascii="Times New Roman" w:hAnsi="Times New Roman" w:eastAsia="Times New Roman" w:cs="Times New Roman"/>
          <w:b/>
          <w:bCs/>
          <w:caps/>
          <w:smallCaps/>
          <w:color w:val="0000FF"/>
          <w:u w:val="single"/>
          <w:lang w:eastAsia="ru-RU"/>
        </w:rPr>
        <w:t>I. Изменение, расторжение договора.</w:t>
      </w:r>
      <w:r>
        <w:rPr>
          <w:rFonts w:ascii="Times New Roman" w:hAnsi="Times New Roman" w:eastAsia="Times New Roman" w:cs="Times New Roman"/>
          <w:b/>
          <w:bCs/>
          <w:smallCaps/>
          <w:lang w:eastAsia="ru-RU"/>
        </w:rPr>
        <w:tab/>
      </w:r>
      <w:r>
        <w:rPr>
          <w:rFonts w:ascii="Times New Roman" w:hAnsi="Times New Roman" w:eastAsia="Times New Roman" w:cs="Times New Roman"/>
          <w:b/>
          <w:bCs/>
          <w:smallCaps/>
          <w:lang w:eastAsia="ru-RU"/>
        </w:rPr>
        <w:fldChar w:fldCharType="begin"/>
      </w:r>
      <w:r>
        <w:rPr>
          <w:rFonts w:ascii="Times New Roman" w:hAnsi="Times New Roman" w:eastAsia="Times New Roman" w:cs="Times New Roman"/>
          <w:b/>
          <w:bCs/>
          <w:smallCaps/>
          <w:lang w:eastAsia="ru-RU"/>
        </w:rPr>
        <w:instrText xml:space="preserve"> PAGEREF _Toc1576668 \h </w:instrText>
      </w:r>
      <w:r>
        <w:rPr>
          <w:rFonts w:ascii="Times New Roman" w:hAnsi="Times New Roman" w:eastAsia="Times New Roman" w:cs="Times New Roman"/>
          <w:b/>
          <w:bCs/>
          <w:smallCaps/>
          <w:lang w:eastAsia="ru-RU"/>
        </w:rPr>
        <w:fldChar w:fldCharType="separate"/>
      </w:r>
      <w:r>
        <w:rPr>
          <w:rFonts w:ascii="Times New Roman" w:hAnsi="Times New Roman" w:eastAsia="Times New Roman" w:cs="Times New Roman"/>
          <w:b/>
          <w:bCs/>
          <w:smallCaps/>
          <w:lang w:eastAsia="ru-RU"/>
        </w:rPr>
        <w:t>14</w:t>
      </w:r>
      <w:r>
        <w:rPr>
          <w:rFonts w:ascii="Times New Roman" w:hAnsi="Times New Roman" w:eastAsia="Times New Roman" w:cs="Times New Roman"/>
          <w:b/>
          <w:bCs/>
          <w:smallCaps/>
          <w:lang w:eastAsia="ru-RU"/>
        </w:rPr>
        <w:fldChar w:fldCharType="end"/>
      </w:r>
      <w:r>
        <w:rPr>
          <w:rFonts w:ascii="Times New Roman" w:hAnsi="Times New Roman" w:eastAsia="Times New Roman" w:cs="Times New Roman"/>
          <w:b/>
          <w:bCs/>
          <w:smallCaps/>
          <w:lang w:eastAsia="ru-RU"/>
        </w:rPr>
        <w:fldChar w:fldCharType="end"/>
      </w:r>
    </w:p>
    <w:p w14:paraId="1B466A6D">
      <w:pPr>
        <w:tabs>
          <w:tab w:val="left" w:pos="581"/>
          <w:tab w:val="right" w:leader="dot" w:pos="9911"/>
        </w:tabs>
        <w:spacing w:before="120" w:after="0" w:line="240" w:lineRule="auto"/>
        <w:ind w:firstLine="11"/>
        <w:jc w:val="both"/>
        <w:rPr>
          <w:rFonts w:ascii="Calibri" w:hAnsi="Calibri" w:eastAsia="Times New Roman" w:cs="Times New Roman"/>
          <w:lang w:eastAsia="ru-RU"/>
        </w:rPr>
      </w:pPr>
      <w:r>
        <w:fldChar w:fldCharType="begin"/>
      </w:r>
      <w:r>
        <w:instrText xml:space="preserve"> HYPERLINK \l "_Toc1576670" </w:instrText>
      </w:r>
      <w:r>
        <w:fldChar w:fldCharType="separate"/>
      </w:r>
      <w:r>
        <w:rPr>
          <w:rFonts w:ascii="Times New Roman" w:hAnsi="Times New Roman" w:eastAsia="Times New Roman" w:cs="Times New Roman"/>
          <w:b/>
          <w:bCs/>
          <w:caps/>
          <w:smallCaps/>
          <w:color w:val="0000FF"/>
          <w:spacing w:val="20"/>
          <w:u w:val="single"/>
          <w:lang w:eastAsia="ru-RU"/>
        </w:rPr>
        <w:t>Часть II. Техническое задание (Технические требования)</w:t>
      </w:r>
      <w:r>
        <w:rPr>
          <w:rFonts w:ascii="Times New Roman" w:hAnsi="Times New Roman" w:eastAsia="Times New Roman" w:cs="Times New Roman"/>
          <w:b/>
          <w:bCs/>
          <w:smallCaps/>
          <w:lang w:eastAsia="ru-RU"/>
        </w:rPr>
        <w:tab/>
      </w:r>
      <w:r>
        <w:rPr>
          <w:rFonts w:ascii="Times New Roman" w:hAnsi="Times New Roman" w:eastAsia="Times New Roman" w:cs="Times New Roman"/>
          <w:b/>
          <w:bCs/>
          <w:smallCaps/>
          <w:lang w:eastAsia="ru-RU"/>
        </w:rPr>
        <w:fldChar w:fldCharType="begin"/>
      </w:r>
      <w:r>
        <w:rPr>
          <w:rFonts w:ascii="Times New Roman" w:hAnsi="Times New Roman" w:eastAsia="Times New Roman" w:cs="Times New Roman"/>
          <w:b/>
          <w:bCs/>
          <w:smallCaps/>
          <w:lang w:eastAsia="ru-RU"/>
        </w:rPr>
        <w:instrText xml:space="preserve"> PAGEREF _Toc1576670 \h </w:instrText>
      </w:r>
      <w:r>
        <w:rPr>
          <w:rFonts w:ascii="Times New Roman" w:hAnsi="Times New Roman" w:eastAsia="Times New Roman" w:cs="Times New Roman"/>
          <w:b/>
          <w:bCs/>
          <w:smallCaps/>
          <w:lang w:eastAsia="ru-RU"/>
        </w:rPr>
        <w:fldChar w:fldCharType="separate"/>
      </w:r>
      <w:r>
        <w:rPr>
          <w:rFonts w:ascii="Times New Roman" w:hAnsi="Times New Roman" w:eastAsia="Times New Roman" w:cs="Times New Roman"/>
          <w:b/>
          <w:bCs/>
          <w:smallCaps/>
          <w:lang w:eastAsia="ru-RU"/>
        </w:rPr>
        <w:t>23</w:t>
      </w:r>
      <w:r>
        <w:rPr>
          <w:rFonts w:ascii="Times New Roman" w:hAnsi="Times New Roman" w:eastAsia="Times New Roman" w:cs="Times New Roman"/>
          <w:b/>
          <w:bCs/>
          <w:smallCaps/>
          <w:lang w:eastAsia="ru-RU"/>
        </w:rPr>
        <w:fldChar w:fldCharType="end"/>
      </w:r>
      <w:r>
        <w:rPr>
          <w:rFonts w:ascii="Times New Roman" w:hAnsi="Times New Roman" w:eastAsia="Times New Roman" w:cs="Times New Roman"/>
          <w:b/>
          <w:bCs/>
          <w:smallCaps/>
          <w:lang w:eastAsia="ru-RU"/>
        </w:rPr>
        <w:fldChar w:fldCharType="end"/>
      </w:r>
    </w:p>
    <w:p w14:paraId="52443813">
      <w:pPr>
        <w:tabs>
          <w:tab w:val="right" w:leader="dot" w:pos="9911"/>
        </w:tabs>
        <w:spacing w:before="360" w:after="360" w:line="240" w:lineRule="auto"/>
        <w:ind w:firstLine="11"/>
        <w:jc w:val="both"/>
        <w:rPr>
          <w:rFonts w:ascii="Calibri" w:hAnsi="Calibri" w:eastAsia="Times New Roman" w:cs="Times New Roman"/>
          <w:lang w:eastAsia="ru-RU"/>
        </w:rPr>
      </w:pPr>
      <w:r>
        <w:fldChar w:fldCharType="begin"/>
      </w:r>
      <w:r>
        <w:instrText xml:space="preserve"> HYPERLINK \l "_Toc1576671" </w:instrText>
      </w:r>
      <w:r>
        <w:fldChar w:fldCharType="separate"/>
      </w:r>
      <w:r>
        <w:rPr>
          <w:rFonts w:ascii="Times New Roman" w:hAnsi="Times New Roman" w:eastAsia="Times New Roman" w:cs="Times New Roman"/>
          <w:b/>
          <w:bCs/>
          <w:caps/>
          <w:color w:val="0000FF"/>
          <w:spacing w:val="20"/>
          <w:u w:val="single"/>
          <w:lang w:eastAsia="ru-RU"/>
        </w:rPr>
        <w:t xml:space="preserve">Часть </w:t>
      </w:r>
      <w:r>
        <w:rPr>
          <w:rFonts w:ascii="Times New Roman" w:hAnsi="Times New Roman" w:eastAsia="Times New Roman" w:cs="Times New Roman"/>
          <w:b/>
          <w:bCs/>
          <w:caps/>
          <w:color w:val="0000FF"/>
          <w:spacing w:val="20"/>
          <w:u w:val="single"/>
          <w:lang w:val="en-US" w:eastAsia="ru-RU"/>
        </w:rPr>
        <w:t>III</w:t>
      </w:r>
      <w:r>
        <w:rPr>
          <w:rFonts w:ascii="Times New Roman" w:hAnsi="Times New Roman" w:eastAsia="Times New Roman" w:cs="Times New Roman"/>
          <w:b/>
          <w:bCs/>
          <w:caps/>
          <w:color w:val="0000FF"/>
          <w:spacing w:val="20"/>
          <w:u w:val="single"/>
          <w:lang w:eastAsia="ru-RU"/>
        </w:rPr>
        <w:t>. Проект договора</w:t>
      </w:r>
      <w:r>
        <w:rPr>
          <w:rFonts w:ascii="Times New Roman" w:hAnsi="Times New Roman" w:eastAsia="Times New Roman" w:cs="Times New Roman"/>
          <w:b/>
          <w:bCs/>
          <w:caps/>
          <w:u w:val="single"/>
          <w:lang w:eastAsia="ru-RU"/>
        </w:rPr>
        <w:tab/>
      </w:r>
      <w:r>
        <w:rPr>
          <w:rFonts w:ascii="Times New Roman" w:hAnsi="Times New Roman" w:eastAsia="Times New Roman" w:cs="Times New Roman"/>
          <w:b/>
          <w:bCs/>
          <w:caps/>
          <w:u w:val="single"/>
          <w:lang w:eastAsia="ru-RU"/>
        </w:rPr>
        <w:fldChar w:fldCharType="begin"/>
      </w:r>
      <w:r>
        <w:rPr>
          <w:rFonts w:ascii="Times New Roman" w:hAnsi="Times New Roman" w:eastAsia="Times New Roman" w:cs="Times New Roman"/>
          <w:b/>
          <w:bCs/>
          <w:caps/>
          <w:u w:val="single"/>
          <w:lang w:eastAsia="ru-RU"/>
        </w:rPr>
        <w:instrText xml:space="preserve"> PAGEREF _Toc1576671 \h </w:instrText>
      </w:r>
      <w:r>
        <w:rPr>
          <w:rFonts w:ascii="Times New Roman" w:hAnsi="Times New Roman" w:eastAsia="Times New Roman" w:cs="Times New Roman"/>
          <w:b/>
          <w:bCs/>
          <w:caps/>
          <w:u w:val="single"/>
          <w:lang w:eastAsia="ru-RU"/>
        </w:rPr>
        <w:fldChar w:fldCharType="separate"/>
      </w:r>
      <w:r>
        <w:rPr>
          <w:rFonts w:ascii="Times New Roman" w:hAnsi="Times New Roman" w:eastAsia="Times New Roman" w:cs="Times New Roman"/>
          <w:b/>
          <w:bCs/>
          <w:caps/>
          <w:u w:val="single"/>
          <w:lang w:eastAsia="ru-RU"/>
        </w:rPr>
        <w:t>23</w:t>
      </w:r>
      <w:r>
        <w:rPr>
          <w:rFonts w:ascii="Times New Roman" w:hAnsi="Times New Roman" w:eastAsia="Times New Roman" w:cs="Times New Roman"/>
          <w:b/>
          <w:bCs/>
          <w:caps/>
          <w:u w:val="single"/>
          <w:lang w:eastAsia="ru-RU"/>
        </w:rPr>
        <w:fldChar w:fldCharType="end"/>
      </w:r>
      <w:r>
        <w:rPr>
          <w:rFonts w:ascii="Times New Roman" w:hAnsi="Times New Roman" w:eastAsia="Times New Roman" w:cs="Times New Roman"/>
          <w:b/>
          <w:bCs/>
          <w:caps/>
          <w:u w:val="single"/>
          <w:lang w:eastAsia="ru-RU"/>
        </w:rPr>
        <w:fldChar w:fldCharType="end"/>
      </w:r>
    </w:p>
    <w:p w14:paraId="28529866">
      <w:pPr>
        <w:spacing w:before="120" w:after="0" w:line="240" w:lineRule="auto"/>
        <w:jc w:val="both"/>
        <w:outlineLvl w:val="0"/>
        <w:rPr>
          <w:rFonts w:ascii="Times New Roman" w:hAnsi="Times New Roman" w:eastAsia="Times New Roman" w:cs="Times New Roman"/>
          <w:b/>
          <w:bCs/>
          <w:caps/>
          <w:spacing w:val="20"/>
          <w:lang w:eastAsia="ru-RU"/>
        </w:rPr>
      </w:pPr>
      <w:r>
        <w:rPr>
          <w:rFonts w:ascii="Times New Roman" w:hAnsi="Times New Roman" w:eastAsia="Times New Roman" w:cs="Times New Roman"/>
          <w:sz w:val="23"/>
          <w:szCs w:val="23"/>
          <w:lang w:eastAsia="ru-RU"/>
        </w:rPr>
        <w:fldChar w:fldCharType="end"/>
      </w:r>
      <w:r>
        <w:rPr>
          <w:rFonts w:ascii="Times New Roman" w:hAnsi="Times New Roman" w:eastAsia="Times New Roman" w:cs="Times New Roman"/>
          <w:sz w:val="23"/>
          <w:szCs w:val="23"/>
          <w:lang w:eastAsia="ru-RU"/>
        </w:rPr>
        <w:br w:type="page"/>
      </w:r>
      <w:bookmarkStart w:id="2" w:name="_Toc432073110"/>
      <w:bookmarkStart w:id="3" w:name="_Toc1576655"/>
      <w:bookmarkStart w:id="4" w:name="_Toc241210678"/>
      <w:bookmarkStart w:id="5" w:name="_Toc1576657"/>
      <w:bookmarkStart w:id="6" w:name="_Toc432073112"/>
      <w:bookmarkStart w:id="7" w:name="_Toc241210671"/>
      <w:r>
        <w:rPr>
          <w:rFonts w:ascii="Times New Roman" w:hAnsi="Times New Roman" w:eastAsia="Times New Roman" w:cs="Times New Roman"/>
          <w:b/>
          <w:bCs/>
          <w:caps/>
          <w:spacing w:val="20"/>
          <w:lang w:eastAsia="ru-RU"/>
        </w:rPr>
        <w:t>Часть I. Положения Аукционе</w:t>
      </w:r>
      <w:bookmarkEnd w:id="2"/>
      <w:bookmarkEnd w:id="3"/>
      <w:r>
        <w:rPr>
          <w:rFonts w:ascii="Times New Roman" w:hAnsi="Times New Roman" w:eastAsia="Times New Roman" w:cs="Times New Roman"/>
          <w:b/>
          <w:bCs/>
          <w:caps/>
          <w:spacing w:val="20"/>
          <w:lang w:eastAsia="ru-RU"/>
        </w:rPr>
        <w:t xml:space="preserve"> в Электронной форме</w:t>
      </w:r>
    </w:p>
    <w:p w14:paraId="241FD32E">
      <w:pPr>
        <w:numPr>
          <w:ilvl w:val="0"/>
          <w:numId w:val="13"/>
        </w:numPr>
        <w:spacing w:after="0" w:line="240" w:lineRule="auto"/>
        <w:ind w:left="357" w:hanging="357"/>
        <w:jc w:val="both"/>
        <w:outlineLvl w:val="1"/>
        <w:rPr>
          <w:rFonts w:ascii="Times New Roman" w:hAnsi="Times New Roman" w:eastAsia="Times New Roman" w:cs="Times New Roman"/>
          <w:b/>
          <w:bCs/>
          <w:caps/>
          <w:color w:val="000000"/>
          <w:lang w:eastAsia="ru-RU"/>
        </w:rPr>
      </w:pPr>
      <w:bookmarkStart w:id="8" w:name="_Toc432073111"/>
      <w:bookmarkStart w:id="9" w:name="_Toc1576656"/>
      <w:r>
        <w:rPr>
          <w:rFonts w:ascii="Times New Roman" w:hAnsi="Times New Roman" w:eastAsia="Times New Roman" w:cs="Times New Roman"/>
          <w:b/>
          <w:bCs/>
          <w:caps/>
          <w:color w:val="000000"/>
          <w:lang w:eastAsia="ru-RU"/>
        </w:rPr>
        <w:t>Раздел I. Общие положения.</w:t>
      </w:r>
      <w:bookmarkEnd w:id="8"/>
      <w:bookmarkEnd w:id="9"/>
    </w:p>
    <w:p w14:paraId="543CEB3E">
      <w:pPr>
        <w:numPr>
          <w:ilvl w:val="1"/>
          <w:numId w:val="13"/>
        </w:numPr>
        <w:spacing w:after="0" w:line="240" w:lineRule="auto"/>
        <w:ind w:left="0" w:firstLine="0"/>
        <w:jc w:val="both"/>
        <w:outlineLvl w:val="2"/>
        <w:rPr>
          <w:rFonts w:ascii="Times New Roman" w:hAnsi="Times New Roman" w:eastAsia="Times New Roman" w:cs="Times New Roman"/>
          <w:b/>
          <w:bCs/>
          <w:caps/>
          <w:color w:val="000000"/>
          <w:lang w:eastAsia="ru-RU"/>
        </w:rPr>
      </w:pPr>
      <w:bookmarkStart w:id="10" w:name="_Toc241210673"/>
      <w:r>
        <w:rPr>
          <w:rFonts w:ascii="Times New Roman" w:hAnsi="Times New Roman" w:eastAsia="Times New Roman" w:cs="Times New Roman"/>
          <w:b/>
          <w:bCs/>
          <w:color w:val="000000"/>
          <w:lang w:eastAsia="ru-RU"/>
        </w:rPr>
        <w:t>Законодательное регулирование</w:t>
      </w:r>
      <w:bookmarkEnd w:id="10"/>
    </w:p>
    <w:p w14:paraId="775ECC95">
      <w:pPr>
        <w:numPr>
          <w:ilvl w:val="2"/>
          <w:numId w:val="13"/>
        </w:numPr>
        <w:autoSpaceDE w:val="0"/>
        <w:autoSpaceDN w:val="0"/>
        <w:adjustRightInd w:val="0"/>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Настоящая документация об аукционе в электронной форме подготовлена в соответствии с </w:t>
      </w:r>
      <w:r>
        <w:rPr>
          <w:rFonts w:ascii="Times New Roman" w:hAnsi="Times New Roman" w:eastAsia="Times New Roman" w:cs="Times New Roman"/>
          <w:lang w:eastAsia="ru-RU"/>
        </w:rPr>
        <w:t xml:space="preserve">Федеральным законом от 18.07.2011 № 223-ФЗ «О </w:t>
      </w:r>
      <w:r>
        <w:rPr>
          <w:rFonts w:ascii="Times New Roman" w:hAnsi="Times New Roman" w:eastAsia="Times New Roman" w:cs="Times New Roman"/>
          <w:color w:val="000000"/>
          <w:lang w:eastAsia="ru-RU"/>
        </w:rPr>
        <w:t xml:space="preserve">закупках товаров, работ, услуг отдельными видами юридических лиц», Федеральным законом от 26.07.2006 г. № 135-ФЗ «О защите конкуренции», Гражданским кодексом РФ, Бюджетным кодексом РФ, </w:t>
      </w:r>
      <w:r>
        <w:rPr>
          <w:rFonts w:ascii="Times New Roman" w:hAnsi="Times New Roman" w:eastAsia="Times New Roman" w:cs="Times New Roman"/>
          <w:lang w:eastAsia="ru-RU"/>
        </w:rPr>
        <w:t>Положением о закупке товаров, работ, услуг для нужд федерального государственного бюджетного образовательного учреждения высшего образования «Петербургский государственный университет путей сообщения Императора Александра I» (СМК ДП 06.05-2024) от 07.04.2025 №</w:t>
      </w:r>
      <w:r>
        <w:rPr>
          <w:rFonts w:ascii="Times New Roman" w:hAnsi="Times New Roman" w:eastAsia="Times New Roman" w:cs="Times New Roman"/>
          <w:shd w:val="clear" w:color="auto" w:fill="FFFFFF"/>
          <w:lang w:eastAsia="ru-RU"/>
        </w:rPr>
        <w:t>1130022351</w:t>
      </w:r>
      <w:r>
        <w:rPr>
          <w:rFonts w:ascii="Times New Roman" w:hAnsi="Times New Roman" w:eastAsia="Times New Roman" w:cs="Times New Roman"/>
          <w:lang w:eastAsia="ru-RU"/>
        </w:rPr>
        <w:t>, утвержденного Приказом Федерального агентства железнодорожного транспорта от 07.04.2025 № 333,</w:t>
      </w:r>
      <w:r>
        <w:rPr>
          <w:rFonts w:ascii="Times New Roman" w:hAnsi="Times New Roman" w:eastAsia="Times New Roman" w:cs="Times New Roman"/>
          <w:color w:val="000000"/>
          <w:lang w:eastAsia="ru-RU"/>
        </w:rPr>
        <w:t xml:space="preserve"> и иными нормативно-правовыми актами Российской Федерации.</w:t>
      </w:r>
    </w:p>
    <w:p w14:paraId="02C981DF">
      <w:pPr>
        <w:autoSpaceDE w:val="0"/>
        <w:autoSpaceDN w:val="0"/>
        <w:adjustRightInd w:val="0"/>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Заказчик проводит аукцион в электронной форме (далее - аукцион), предмет и условия которого указаны в Информационной карте документации об аукционе в соответствии с процедурами, условиями и положениями настоящей документации об аукционе.</w:t>
      </w:r>
    </w:p>
    <w:p w14:paraId="69B0EFAA">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1.1.2. В настоящей документации применяются следующие сокращения:</w:t>
      </w:r>
    </w:p>
    <w:p w14:paraId="73859ABF">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ЕИС – Единая информационная система в сфере закупок.</w:t>
      </w:r>
    </w:p>
    <w:p w14:paraId="47E47ECD">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Закон № 135-ФЗ – Федеральный закон от 26 июля 2006 года № 135-ФЗ «О защите конкуренции».</w:t>
      </w:r>
    </w:p>
    <w:p w14:paraId="23E86651">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Закон № 209-ФЗ – Федеральный </w:t>
      </w:r>
      <w:r>
        <w:fldChar w:fldCharType="begin"/>
      </w:r>
      <w:r>
        <w:instrText xml:space="preserve"> HYPERLINK "consultantplus://offline/ref=28675A2278EBD2480B370F77C086021BD4DA38EBF64E8B600F69040502333A91FC43500908EE88615D0AB0B437d604K" </w:instrText>
      </w:r>
      <w:r>
        <w:fldChar w:fldCharType="separate"/>
      </w:r>
      <w:r>
        <w:rPr>
          <w:rFonts w:ascii="Times New Roman" w:hAnsi="Times New Roman" w:eastAsia="Times New Roman" w:cs="Times New Roman"/>
          <w:color w:val="000000"/>
          <w:lang w:eastAsia="ru-RU"/>
        </w:rPr>
        <w:t>закон</w:t>
      </w:r>
      <w:r>
        <w:rPr>
          <w:rFonts w:ascii="Times New Roman" w:hAnsi="Times New Roman" w:eastAsia="Times New Roman" w:cs="Times New Roman"/>
          <w:color w:val="000000"/>
          <w:lang w:eastAsia="ru-RU"/>
        </w:rPr>
        <w:fldChar w:fldCharType="end"/>
      </w:r>
      <w:r>
        <w:rPr>
          <w:rFonts w:ascii="Times New Roman" w:hAnsi="Times New Roman" w:eastAsia="Times New Roman" w:cs="Times New Roman"/>
          <w:color w:val="000000"/>
          <w:lang w:eastAsia="ru-RU"/>
        </w:rPr>
        <w:t xml:space="preserve"> от 24 июля 2007 года № 209-ФЗ «О развитии малого и среднего предпринимательства в Российской Федерации».</w:t>
      </w:r>
    </w:p>
    <w:p w14:paraId="0CFDA2A4">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Закон № 223-ФЗ – Федеральный </w:t>
      </w:r>
      <w:r>
        <w:fldChar w:fldCharType="begin"/>
      </w:r>
      <w:r>
        <w:instrText xml:space="preserve"> HYPERLINK "consultantplus://offline/ref=28675A2278EBD2480B370F77C086021BD4DB3CE8F5498B600F69040502333A91FC43500908EE88615D0AB0B437d604K" </w:instrText>
      </w:r>
      <w:r>
        <w:fldChar w:fldCharType="separate"/>
      </w:r>
      <w:r>
        <w:rPr>
          <w:rFonts w:ascii="Times New Roman" w:hAnsi="Times New Roman" w:eastAsia="Times New Roman" w:cs="Times New Roman"/>
          <w:color w:val="000000"/>
          <w:lang w:eastAsia="ru-RU"/>
        </w:rPr>
        <w:t>закон</w:t>
      </w:r>
      <w:r>
        <w:rPr>
          <w:rFonts w:ascii="Times New Roman" w:hAnsi="Times New Roman" w:eastAsia="Times New Roman" w:cs="Times New Roman"/>
          <w:color w:val="000000"/>
          <w:lang w:eastAsia="ru-RU"/>
        </w:rPr>
        <w:fldChar w:fldCharType="end"/>
      </w:r>
      <w:r>
        <w:rPr>
          <w:rFonts w:ascii="Times New Roman" w:hAnsi="Times New Roman" w:eastAsia="Times New Roman" w:cs="Times New Roman"/>
          <w:color w:val="000000"/>
          <w:lang w:eastAsia="ru-RU"/>
        </w:rPr>
        <w:t xml:space="preserve"> от 18 июля 2011 года № 223-ФЗ «О закупках товаров, работ, услуг отдельными видами юридических лиц».</w:t>
      </w:r>
    </w:p>
    <w:p w14:paraId="7CB2EEA5">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Закон № 44-ФЗ – Федеральный </w:t>
      </w:r>
      <w:r>
        <w:fldChar w:fldCharType="begin"/>
      </w:r>
      <w:r>
        <w:instrText xml:space="preserve"> HYPERLINK "consultantplus://offline/ref=28675A2278EBD2480B370F77C086021BD4DB3CE8F5488B600F69040502333A91FC43500908EE88615D0AB0B437d604K" </w:instrText>
      </w:r>
      <w:r>
        <w:fldChar w:fldCharType="separate"/>
      </w:r>
      <w:r>
        <w:rPr>
          <w:rFonts w:ascii="Times New Roman" w:hAnsi="Times New Roman" w:eastAsia="Times New Roman" w:cs="Times New Roman"/>
          <w:color w:val="000000"/>
          <w:lang w:eastAsia="ru-RU"/>
        </w:rPr>
        <w:t>закон</w:t>
      </w:r>
      <w:r>
        <w:rPr>
          <w:rFonts w:ascii="Times New Roman" w:hAnsi="Times New Roman" w:eastAsia="Times New Roman" w:cs="Times New Roman"/>
          <w:color w:val="000000"/>
          <w:lang w:eastAsia="ru-RU"/>
        </w:rPr>
        <w:fldChar w:fldCharType="end"/>
      </w:r>
      <w:r>
        <w:rPr>
          <w:rFonts w:ascii="Times New Roman" w:hAnsi="Times New Roman" w:eastAsia="Times New Roman" w:cs="Times New Roman"/>
          <w:color w:val="000000"/>
          <w:lang w:eastAsia="ru-RU"/>
        </w:rPr>
        <w:t xml:space="preserve"> от 05 апреля 2013 года № 44-ФЗ «О контрактной системе в сфере закупок товаров, работ, услуг для обеспечения государственных и муниципальных нужд».</w:t>
      </w:r>
    </w:p>
    <w:p w14:paraId="7ABBBB99">
      <w:pPr>
        <w:widowControl w:val="0"/>
        <w:autoSpaceDE w:val="0"/>
        <w:autoSpaceDN w:val="0"/>
        <w:adjustRightInd w:val="0"/>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ИНН – </w:t>
      </w:r>
      <w:r>
        <w:rPr>
          <w:rFonts w:ascii="Times New Roman" w:hAnsi="Times New Roman" w:eastAsia="Times New Roman" w:cs="Times New Roman"/>
          <w:bCs/>
          <w:color w:val="222222"/>
          <w:shd w:val="clear" w:color="auto" w:fill="FFFFFF"/>
          <w:lang w:eastAsia="ru-RU"/>
        </w:rPr>
        <w:t>идентификационный номер налогоплательщика.</w:t>
      </w:r>
    </w:p>
    <w:p w14:paraId="677B0F3B">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Постановление Правительства РФ № 1352 – </w:t>
      </w:r>
      <w:r>
        <w:fldChar w:fldCharType="begin"/>
      </w:r>
      <w:r>
        <w:instrText xml:space="preserve"> HYPERLINK "consultantplus://offline/ref=28675A2278EBD2480B370F77C086021BD5DB3BEFFE4F8B600F69040502333A91FC43500908EE88615D0AB0B437d604K" </w:instrText>
      </w:r>
      <w:r>
        <w:fldChar w:fldCharType="separate"/>
      </w:r>
      <w:r>
        <w:rPr>
          <w:rFonts w:ascii="Times New Roman" w:hAnsi="Times New Roman" w:eastAsia="Times New Roman" w:cs="Times New Roman"/>
          <w:color w:val="000000"/>
          <w:lang w:eastAsia="ru-RU"/>
        </w:rPr>
        <w:t>Постановление</w:t>
      </w:r>
      <w:r>
        <w:rPr>
          <w:rFonts w:ascii="Times New Roman" w:hAnsi="Times New Roman" w:eastAsia="Times New Roman" w:cs="Times New Roman"/>
          <w:color w:val="000000"/>
          <w:lang w:eastAsia="ru-RU"/>
        </w:rPr>
        <w:fldChar w:fldCharType="end"/>
      </w:r>
      <w:r>
        <w:rPr>
          <w:rFonts w:ascii="Times New Roman" w:hAnsi="Times New Roman" w:eastAsia="Times New Roman" w:cs="Times New Roman"/>
          <w:color w:val="000000"/>
          <w:lang w:eastAsia="ru-RU"/>
        </w:rPr>
        <w:t xml:space="preserve"> Правительства РФ от 11 декабря 2014 года №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3C734B43">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lang w:eastAsia="ru-RU"/>
        </w:rPr>
        <w:t>Постановление Правительства РФ № 616 – Постановление Правительства РФ от 21 июня 2012 года № 616 «Об утверждении перечня товаров, работ и услуг, закупка которых осуществляется в электронной форме».</w:t>
      </w:r>
    </w:p>
    <w:p w14:paraId="085D98E4">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Приоритет –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1A3E36ED">
      <w:pPr>
        <w:autoSpaceDE w:val="0"/>
        <w:autoSpaceDN w:val="0"/>
        <w:adjustRightInd w:val="0"/>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Университет,</w:t>
      </w:r>
      <w:r>
        <w:rPr>
          <w:rFonts w:ascii="Times New Roman" w:hAnsi="Times New Roman" w:eastAsia="Times New Roman" w:cs="Times New Roman"/>
          <w:lang w:eastAsia="ru-RU"/>
        </w:rPr>
        <w:t xml:space="preserve"> ФГБОУ ВО ПГУПС</w:t>
      </w:r>
      <w:r>
        <w:rPr>
          <w:rFonts w:ascii="Times New Roman" w:hAnsi="Times New Roman" w:eastAsia="Times New Roman" w:cs="Times New Roman"/>
          <w:color w:val="000000"/>
          <w:lang w:eastAsia="ru-RU"/>
        </w:rPr>
        <w:t xml:space="preserve"> – федеральное государственное бюджетное образовательное учреждение высшего образования «Петербургский государственный университет путей сообщения Императора Александра I».</w:t>
      </w:r>
    </w:p>
    <w:p w14:paraId="2ED29080">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Электронная подпись – усиленная квалифицированная электронная подпись.</w:t>
      </w:r>
    </w:p>
    <w:p w14:paraId="38CEC8A8">
      <w:pPr>
        <w:spacing w:before="120" w:after="0" w:line="240" w:lineRule="auto"/>
        <w:jc w:val="both"/>
        <w:outlineLvl w:val="0"/>
        <w:rPr>
          <w:rFonts w:ascii="Times New Roman" w:hAnsi="Times New Roman" w:eastAsia="Times New Roman" w:cs="Times New Roman"/>
          <w:b/>
          <w:bCs/>
          <w:caps/>
          <w:color w:val="000000"/>
          <w:lang w:eastAsia="ru-RU"/>
        </w:rPr>
      </w:pPr>
      <w:r>
        <w:rPr>
          <w:rFonts w:ascii="Times New Roman" w:hAnsi="Times New Roman" w:eastAsia="Times New Roman" w:cs="Times New Roman"/>
          <w:b/>
          <w:bCs/>
          <w:caps/>
          <w:color w:val="000000"/>
          <w:lang w:eastAsia="ru-RU"/>
        </w:rPr>
        <w:t xml:space="preserve">Раздел II. Требования к участнику </w:t>
      </w:r>
      <w:bookmarkEnd w:id="4"/>
      <w:r>
        <w:rPr>
          <w:rFonts w:ascii="Times New Roman" w:hAnsi="Times New Roman" w:eastAsia="Times New Roman" w:cs="Times New Roman"/>
          <w:b/>
          <w:bCs/>
          <w:caps/>
          <w:color w:val="000000"/>
          <w:lang w:eastAsia="ru-RU"/>
        </w:rPr>
        <w:t>аукциона.</w:t>
      </w:r>
      <w:bookmarkEnd w:id="5"/>
      <w:bookmarkEnd w:id="6"/>
    </w:p>
    <w:p w14:paraId="42A2F3DF">
      <w:pPr>
        <w:autoSpaceDE w:val="0"/>
        <w:autoSpaceDN w:val="0"/>
        <w:adjustRightInd w:val="0"/>
        <w:spacing w:after="0" w:line="240" w:lineRule="auto"/>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lang w:eastAsia="ru-RU"/>
        </w:rPr>
        <w:t xml:space="preserve">2.1. </w:t>
      </w:r>
      <w:r>
        <w:rPr>
          <w:rFonts w:ascii="Times New Roman" w:hAnsi="Times New Roman" w:eastAsia="Times New Roman" w:cs="Times New Roman"/>
          <w:color w:val="000000" w:themeColor="text1"/>
          <w:lang w:eastAsia="ru-RU"/>
          <w14:textFill>
            <w14:solidFill>
              <w14:schemeClr w14:val="tx1"/>
            </w14:solidFill>
          </w14:textFill>
        </w:rPr>
        <w:t>Участником аукциона могут быть любые юридические лица независимо от организационно-правовой формы, формы собственности, места нахождения и места происхождения капитала или любые физические лица, в том числе зарегистрированные в качестве индивидуального предпринимателя.</w:t>
      </w:r>
    </w:p>
    <w:p w14:paraId="65AFEFF1">
      <w:pPr>
        <w:widowControl w:val="0"/>
        <w:tabs>
          <w:tab w:val="left" w:pos="7480"/>
        </w:tabs>
        <w:autoSpaceDE w:val="0"/>
        <w:autoSpaceDN w:val="0"/>
        <w:adjustRightInd w:val="0"/>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2.2. Для получения доступа к участию в аукционе участник должен пройти аккредитацию. Аккредитацию осуществляет оператор электронной площадки. Порядок аккредитации, а также перечень документов и сведений, необходимых для получения аккредитации, размещены на электронной площадке.</w:t>
      </w:r>
    </w:p>
    <w:p w14:paraId="75FDC45F">
      <w:pPr>
        <w:numPr>
          <w:ilvl w:val="1"/>
          <w:numId w:val="14"/>
        </w:numPr>
        <w:spacing w:after="0" w:line="240" w:lineRule="auto"/>
        <w:jc w:val="both"/>
        <w:outlineLvl w:val="2"/>
        <w:rPr>
          <w:rFonts w:ascii="Times New Roman" w:hAnsi="Times New Roman" w:eastAsia="Times New Roman" w:cs="Times New Roman"/>
          <w:b/>
          <w:bCs/>
          <w:color w:val="000000"/>
          <w:lang w:eastAsia="ru-RU"/>
        </w:rPr>
      </w:pPr>
      <w:r>
        <w:rPr>
          <w:rFonts w:ascii="Times New Roman" w:hAnsi="Times New Roman" w:eastAsia="Times New Roman" w:cs="Times New Roman"/>
          <w:b/>
          <w:bCs/>
          <w:color w:val="000000"/>
          <w:lang w:eastAsia="ru-RU"/>
        </w:rPr>
        <w:t xml:space="preserve"> </w:t>
      </w:r>
      <w:bookmarkStart w:id="11" w:name="_Ref378771780"/>
      <w:r>
        <w:rPr>
          <w:rFonts w:ascii="Times New Roman" w:hAnsi="Times New Roman" w:eastAsia="Times New Roman" w:cs="Times New Roman"/>
          <w:b/>
          <w:bCs/>
          <w:color w:val="000000"/>
          <w:lang w:eastAsia="ru-RU"/>
        </w:rPr>
        <w:t>Единые требования, предъявляемые к участнику аукциона:</w:t>
      </w:r>
      <w:bookmarkEnd w:id="11"/>
    </w:p>
    <w:p w14:paraId="1B545109">
      <w:pPr>
        <w:numPr>
          <w:ilvl w:val="2"/>
          <w:numId w:val="14"/>
        </w:numPr>
        <w:autoSpaceDE w:val="0"/>
        <w:autoSpaceDN w:val="0"/>
        <w:adjustRightInd w:val="0"/>
        <w:spacing w:after="0" w:line="240" w:lineRule="auto"/>
        <w:ind w:left="0" w:firstLine="0"/>
        <w:jc w:val="both"/>
        <w:outlineLvl w:val="2"/>
        <w:rPr>
          <w:rFonts w:ascii="Times New Roman" w:hAnsi="Times New Roman" w:eastAsia="Times New Roman" w:cs="Times New Roman"/>
          <w:color w:val="000000"/>
          <w:lang w:eastAsia="ru-RU"/>
        </w:rPr>
      </w:pPr>
      <w:bookmarkStart w:id="12" w:name="_Ref378771707"/>
      <w:r>
        <w:rPr>
          <w:rFonts w:ascii="Times New Roman" w:hAnsi="Times New Roman" w:eastAsia="Times New Roman" w:cs="Times New Roman"/>
          <w:color w:val="000000"/>
          <w:lang w:eastAsia="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(перечень документов, которые должны быть представлены участником аукциона устанавливается в Информационной карте аукциона)</w:t>
      </w:r>
      <w:bookmarkStart w:id="13" w:name="Par1"/>
      <w:bookmarkEnd w:id="13"/>
      <w:r>
        <w:rPr>
          <w:rFonts w:ascii="Times New Roman" w:hAnsi="Times New Roman" w:eastAsia="Times New Roman" w:cs="Times New Roman"/>
          <w:color w:val="000000"/>
          <w:lang w:eastAsia="ru-RU"/>
        </w:rPr>
        <w:t>;</w:t>
      </w:r>
      <w:bookmarkEnd w:id="12"/>
    </w:p>
    <w:p w14:paraId="644CFE6E">
      <w:pPr>
        <w:numPr>
          <w:ilvl w:val="2"/>
          <w:numId w:val="14"/>
        </w:numPr>
        <w:autoSpaceDE w:val="0"/>
        <w:autoSpaceDN w:val="0"/>
        <w:adjustRightInd w:val="0"/>
        <w:spacing w:after="0" w:line="240" w:lineRule="auto"/>
        <w:ind w:left="0" w:firstLine="0"/>
        <w:jc w:val="both"/>
        <w:outlineLvl w:val="2"/>
        <w:rPr>
          <w:rFonts w:ascii="Times New Roman" w:hAnsi="Times New Roman" w:eastAsia="Times New Roman" w:cs="Times New Roman"/>
          <w:color w:val="000000"/>
          <w:lang w:eastAsia="ru-RU"/>
        </w:rPr>
      </w:pPr>
      <w:bookmarkStart w:id="14" w:name="_Ref378771774"/>
      <w:r>
        <w:rPr>
          <w:rFonts w:ascii="Times New Roman" w:hAnsi="Times New Roman" w:eastAsia="Times New Roman" w:cs="Times New Roman"/>
          <w:color w:val="000000"/>
          <w:lang w:eastAsia="ru-RU"/>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bookmarkEnd w:id="14"/>
    </w:p>
    <w:p w14:paraId="0D03397A">
      <w:pPr>
        <w:numPr>
          <w:ilvl w:val="2"/>
          <w:numId w:val="14"/>
        </w:numPr>
        <w:autoSpaceDE w:val="0"/>
        <w:autoSpaceDN w:val="0"/>
        <w:adjustRightInd w:val="0"/>
        <w:spacing w:after="0" w:line="240" w:lineRule="auto"/>
        <w:ind w:left="0" w:firstLine="0"/>
        <w:jc w:val="both"/>
        <w:outlineLvl w:val="2"/>
        <w:rPr>
          <w:rFonts w:ascii="Times New Roman" w:hAnsi="Times New Roman" w:eastAsia="Times New Roman" w:cs="Times New Roman"/>
          <w:color w:val="000000"/>
          <w:lang w:eastAsia="ru-RU"/>
        </w:rPr>
      </w:pPr>
      <w:bookmarkStart w:id="15" w:name="_Ref378772268"/>
      <w:r>
        <w:rPr>
          <w:rFonts w:ascii="Times New Roman" w:hAnsi="Times New Roman" w:eastAsia="Times New Roman" w:cs="Times New Roman"/>
          <w:color w:val="000000"/>
          <w:lang w:eastAsia="ru-RU"/>
        </w:rPr>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bookmarkEnd w:id="15"/>
    </w:p>
    <w:p w14:paraId="7E14994E">
      <w:pPr>
        <w:numPr>
          <w:ilvl w:val="2"/>
          <w:numId w:val="14"/>
        </w:numPr>
        <w:autoSpaceDE w:val="0"/>
        <w:autoSpaceDN w:val="0"/>
        <w:adjustRightInd w:val="0"/>
        <w:spacing w:after="0" w:line="240" w:lineRule="auto"/>
        <w:ind w:left="0" w:firstLine="0"/>
        <w:jc w:val="both"/>
        <w:outlineLvl w:val="2"/>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C05CF5B">
      <w:pPr>
        <w:numPr>
          <w:ilvl w:val="2"/>
          <w:numId w:val="14"/>
        </w:numPr>
        <w:autoSpaceDE w:val="0"/>
        <w:autoSpaceDN w:val="0"/>
        <w:adjustRightInd w:val="0"/>
        <w:spacing w:after="0" w:line="240" w:lineRule="auto"/>
        <w:ind w:left="0" w:firstLine="0"/>
        <w:jc w:val="both"/>
        <w:outlineLvl w:val="2"/>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r>
        <w:fldChar w:fldCharType="begin"/>
      </w:r>
      <w:r>
        <w:instrText xml:space="preserve"> HYPERLINK "http://www.consultant.ru/document/cons_doc_LAW_296703/7cb5d9b7f75fd72853e0610988cc9f6fdd08802e/" \l "dst101897" </w:instrText>
      </w:r>
      <w:r>
        <w:fldChar w:fldCharType="separate"/>
      </w:r>
      <w:r>
        <w:rPr>
          <w:rFonts w:ascii="Times New Roman" w:hAnsi="Times New Roman" w:eastAsia="Times New Roman" w:cs="Times New Roman"/>
          <w:color w:val="000000"/>
          <w:lang w:eastAsia="ru-RU"/>
        </w:rPr>
        <w:t>статьями 289</w:t>
      </w:r>
      <w:r>
        <w:rPr>
          <w:rFonts w:ascii="Times New Roman" w:hAnsi="Times New Roman" w:eastAsia="Times New Roman" w:cs="Times New Roman"/>
          <w:color w:val="000000"/>
          <w:lang w:eastAsia="ru-RU"/>
        </w:rPr>
        <w:fldChar w:fldCharType="end"/>
      </w:r>
      <w:r>
        <w:rPr>
          <w:rFonts w:ascii="Times New Roman" w:hAnsi="Times New Roman" w:eastAsia="Times New Roman" w:cs="Times New Roman"/>
          <w:color w:val="000000"/>
          <w:lang w:eastAsia="ru-RU"/>
        </w:rPr>
        <w:t xml:space="preserve">, </w:t>
      </w:r>
      <w:r>
        <w:fldChar w:fldCharType="begin"/>
      </w:r>
      <w:r>
        <w:instrText xml:space="preserve"> HYPERLINK "http://www.consultant.ru/document/cons_doc_LAW_296703/6411e005f539b666d6f360f202cb7b1c23fe27c3/" \l "dst2054" </w:instrText>
      </w:r>
      <w:r>
        <w:fldChar w:fldCharType="separate"/>
      </w:r>
      <w:r>
        <w:rPr>
          <w:rFonts w:ascii="Times New Roman" w:hAnsi="Times New Roman" w:eastAsia="Times New Roman" w:cs="Times New Roman"/>
          <w:color w:val="000000"/>
          <w:lang w:eastAsia="ru-RU"/>
        </w:rPr>
        <w:t>290</w:t>
      </w:r>
      <w:r>
        <w:rPr>
          <w:rFonts w:ascii="Times New Roman" w:hAnsi="Times New Roman" w:eastAsia="Times New Roman" w:cs="Times New Roman"/>
          <w:color w:val="000000"/>
          <w:lang w:eastAsia="ru-RU"/>
        </w:rPr>
        <w:fldChar w:fldCharType="end"/>
      </w:r>
      <w:r>
        <w:rPr>
          <w:rFonts w:ascii="Times New Roman" w:hAnsi="Times New Roman" w:eastAsia="Times New Roman" w:cs="Times New Roman"/>
          <w:color w:val="000000"/>
          <w:lang w:eastAsia="ru-RU"/>
        </w:rPr>
        <w:t xml:space="preserve">, </w:t>
      </w:r>
      <w:r>
        <w:fldChar w:fldCharType="begin"/>
      </w:r>
      <w:r>
        <w:instrText xml:space="preserve"> HYPERLINK "http://www.consultant.ru/document/cons_doc_LAW_296703/0108932a3c6234f73590b25799588ada492deb23/" \l "dst2072" </w:instrText>
      </w:r>
      <w:r>
        <w:fldChar w:fldCharType="separate"/>
      </w:r>
      <w:r>
        <w:rPr>
          <w:rFonts w:ascii="Times New Roman" w:hAnsi="Times New Roman" w:eastAsia="Times New Roman" w:cs="Times New Roman"/>
          <w:color w:val="000000"/>
          <w:lang w:eastAsia="ru-RU"/>
        </w:rPr>
        <w:t>291</w:t>
      </w:r>
      <w:r>
        <w:rPr>
          <w:rFonts w:ascii="Times New Roman" w:hAnsi="Times New Roman" w:eastAsia="Times New Roman" w:cs="Times New Roman"/>
          <w:color w:val="000000"/>
          <w:lang w:eastAsia="ru-RU"/>
        </w:rPr>
        <w:fldChar w:fldCharType="end"/>
      </w:r>
      <w:r>
        <w:rPr>
          <w:rFonts w:ascii="Times New Roman" w:hAnsi="Times New Roman" w:eastAsia="Times New Roman" w:cs="Times New Roman"/>
          <w:color w:val="000000"/>
          <w:lang w:eastAsia="ru-RU"/>
        </w:rPr>
        <w:t xml:space="preserve">, </w:t>
      </w:r>
      <w:r>
        <w:fldChar w:fldCharType="begin"/>
      </w:r>
      <w:r>
        <w:instrText xml:space="preserve"> HYPERLINK "http://www.consultant.ru/document/cons_doc_LAW_296703/a74ca4364cb5aa0d95db2b7636907af350ab52c8/" \l "dst2086" </w:instrText>
      </w:r>
      <w:r>
        <w:fldChar w:fldCharType="separate"/>
      </w:r>
      <w:r>
        <w:rPr>
          <w:rFonts w:ascii="Times New Roman" w:hAnsi="Times New Roman" w:eastAsia="Times New Roman" w:cs="Times New Roman"/>
          <w:color w:val="000000"/>
          <w:lang w:eastAsia="ru-RU"/>
        </w:rPr>
        <w:t>291.1</w:t>
      </w:r>
      <w:r>
        <w:rPr>
          <w:rFonts w:ascii="Times New Roman" w:hAnsi="Times New Roman" w:eastAsia="Times New Roman" w:cs="Times New Roman"/>
          <w:color w:val="000000"/>
          <w:lang w:eastAsia="ru-RU"/>
        </w:rPr>
        <w:fldChar w:fldCharType="end"/>
      </w:r>
      <w:r>
        <w:rPr>
          <w:rFonts w:ascii="Times New Roman" w:hAnsi="Times New Roman" w:eastAsia="Times New Roman" w:cs="Times New Roman"/>
          <w:color w:val="000000"/>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3628BB4">
      <w:pPr>
        <w:numPr>
          <w:ilvl w:val="2"/>
          <w:numId w:val="14"/>
        </w:numPr>
        <w:autoSpaceDE w:val="0"/>
        <w:autoSpaceDN w:val="0"/>
        <w:adjustRightInd w:val="0"/>
        <w:spacing w:after="0" w:line="240" w:lineRule="auto"/>
        <w:ind w:left="0" w:firstLine="0"/>
        <w:jc w:val="both"/>
        <w:outlineLvl w:val="2"/>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r>
        <w:fldChar w:fldCharType="begin"/>
      </w:r>
      <w:r>
        <w:instrText xml:space="preserve"> HYPERLINK "http://www.consultant.ru/document/cons_doc_LAW_310131/f61ff313afecf81a91a43d729c2df55c1d6a1533/" \l "dst2620" </w:instrText>
      </w:r>
      <w:r>
        <w:fldChar w:fldCharType="separate"/>
      </w:r>
      <w:r>
        <w:rPr>
          <w:rFonts w:ascii="Times New Roman" w:hAnsi="Times New Roman" w:eastAsia="Times New Roman" w:cs="Times New Roman"/>
          <w:color w:val="000000"/>
          <w:lang w:eastAsia="ru-RU"/>
        </w:rPr>
        <w:t>статьей 19.28</w:t>
      </w:r>
      <w:r>
        <w:rPr>
          <w:rFonts w:ascii="Times New Roman" w:hAnsi="Times New Roman" w:eastAsia="Times New Roman" w:cs="Times New Roman"/>
          <w:color w:val="000000"/>
          <w:lang w:eastAsia="ru-RU"/>
        </w:rPr>
        <w:fldChar w:fldCharType="end"/>
      </w:r>
      <w:r>
        <w:rPr>
          <w:rFonts w:ascii="Times New Roman" w:hAnsi="Times New Roman" w:eastAsia="Times New Roman" w:cs="Times New Roman"/>
          <w:color w:val="000000"/>
          <w:lang w:eastAsia="ru-RU"/>
        </w:rPr>
        <w:t xml:space="preserve"> Кодекса Российской Федерации об административных правонарушениях;</w:t>
      </w:r>
    </w:p>
    <w:p w14:paraId="5F82972C">
      <w:pPr>
        <w:numPr>
          <w:ilvl w:val="2"/>
          <w:numId w:val="14"/>
        </w:numPr>
        <w:autoSpaceDE w:val="0"/>
        <w:autoSpaceDN w:val="0"/>
        <w:adjustRightInd w:val="0"/>
        <w:spacing w:after="0" w:line="240" w:lineRule="auto"/>
        <w:ind w:left="0" w:firstLine="0"/>
        <w:jc w:val="both"/>
        <w:outlineLvl w:val="2"/>
        <w:rPr>
          <w:rFonts w:ascii="Times New Roman" w:hAnsi="Times New Roman" w:eastAsia="Times New Roman" w:cs="Times New Roman"/>
          <w:color w:val="000000"/>
          <w:lang w:eastAsia="ru-RU"/>
        </w:rPr>
      </w:pPr>
      <w:r>
        <w:rPr>
          <w:rFonts w:ascii="Times New Roman" w:hAnsi="Times New Roman" w:eastAsia="Times New Roman" w:cs="Times New Roman"/>
          <w:bCs/>
          <w:color w:val="000000"/>
          <w:lang w:eastAsia="ru-RU"/>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r>
        <w:rPr>
          <w:rFonts w:ascii="Times New Roman" w:hAnsi="Times New Roman" w:eastAsia="Times New Roman" w:cs="Times New Roman"/>
          <w:color w:val="000000"/>
          <w:lang w:eastAsia="ru-RU"/>
        </w:rPr>
        <w:t>;</w:t>
      </w:r>
    </w:p>
    <w:p w14:paraId="1449C827">
      <w:pPr>
        <w:numPr>
          <w:ilvl w:val="2"/>
          <w:numId w:val="14"/>
        </w:numPr>
        <w:autoSpaceDE w:val="0"/>
        <w:autoSpaceDN w:val="0"/>
        <w:adjustRightInd w:val="0"/>
        <w:spacing w:after="0" w:line="240" w:lineRule="auto"/>
        <w:ind w:left="0" w:firstLine="0"/>
        <w:jc w:val="both"/>
        <w:outlineLvl w:val="2"/>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bookmarkStart w:id="16" w:name="Par5"/>
      <w:bookmarkEnd w:id="16"/>
    </w:p>
    <w:p w14:paraId="19236069">
      <w:pPr>
        <w:numPr>
          <w:ilvl w:val="2"/>
          <w:numId w:val="14"/>
        </w:numPr>
        <w:autoSpaceDE w:val="0"/>
        <w:autoSpaceDN w:val="0"/>
        <w:adjustRightInd w:val="0"/>
        <w:spacing w:after="0" w:line="240" w:lineRule="auto"/>
        <w:ind w:left="0" w:firstLine="0"/>
        <w:jc w:val="both"/>
        <w:outlineLvl w:val="2"/>
        <w:rPr>
          <w:rFonts w:ascii="Times New Roman" w:hAnsi="Times New Roman" w:eastAsia="Times New Roman" w:cs="Times New Roman"/>
          <w:color w:val="000000"/>
          <w:lang w:eastAsia="ru-RU"/>
        </w:rPr>
      </w:pPr>
      <w:r>
        <w:rPr>
          <w:rFonts w:ascii="Times New Roman" w:hAnsi="Times New Roman" w:eastAsia="Times New Roman" w:cs="Times New Roman"/>
          <w:bCs/>
          <w:color w:val="000000"/>
          <w:lang w:eastAsia="ru-RU"/>
        </w:rPr>
        <w:t xml:space="preserve">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статьей 3 Закона № 223-ФЗ, и (или) в реестре недобросовестных поставщиков, предусмотренном </w:t>
      </w:r>
      <w:r>
        <w:rPr>
          <w:rFonts w:ascii="Times New Roman" w:hAnsi="Times New Roman" w:eastAsia="Times New Roman" w:cs="Times New Roman"/>
          <w:color w:val="000000"/>
          <w:lang w:eastAsia="ru-RU"/>
        </w:rPr>
        <w:t>- Закон № 44-ФЗ)</w:t>
      </w:r>
      <w:r>
        <w:rPr>
          <w:rFonts w:ascii="Times New Roman" w:hAnsi="Times New Roman" w:eastAsia="Times New Roman" w:cs="Times New Roman"/>
          <w:bCs/>
          <w:color w:val="000000"/>
          <w:lang w:eastAsia="ru-RU"/>
        </w:rPr>
        <w:t>.</w:t>
      </w:r>
    </w:p>
    <w:p w14:paraId="3C3F2120">
      <w:pPr>
        <w:numPr>
          <w:ilvl w:val="1"/>
          <w:numId w:val="14"/>
        </w:numPr>
        <w:spacing w:after="0" w:line="240" w:lineRule="auto"/>
        <w:ind w:left="0" w:firstLine="0"/>
        <w:jc w:val="both"/>
        <w:outlineLvl w:val="2"/>
        <w:rPr>
          <w:rFonts w:ascii="Times New Roman" w:hAnsi="Times New Roman" w:eastAsia="Times New Roman" w:cs="Times New Roman"/>
          <w:b/>
          <w:bCs/>
          <w:color w:val="000000"/>
          <w:lang w:eastAsia="ru-RU"/>
        </w:rPr>
      </w:pPr>
      <w:bookmarkStart w:id="17" w:name="_Ref378771894"/>
      <w:r>
        <w:rPr>
          <w:rFonts w:ascii="Times New Roman" w:hAnsi="Times New Roman" w:eastAsia="Times New Roman" w:cs="Times New Roman"/>
          <w:b/>
          <w:bCs/>
          <w:color w:val="000000"/>
          <w:lang w:eastAsia="ru-RU"/>
        </w:rPr>
        <w:t>Дополнительные требования, предъявляемые к участнику аукциона:</w:t>
      </w:r>
      <w:bookmarkEnd w:id="17"/>
    </w:p>
    <w:p w14:paraId="4FE84382">
      <w:pPr>
        <w:numPr>
          <w:ilvl w:val="2"/>
          <w:numId w:val="14"/>
        </w:numPr>
        <w:autoSpaceDE w:val="0"/>
        <w:autoSpaceDN w:val="0"/>
        <w:adjustRightInd w:val="0"/>
        <w:spacing w:after="0" w:line="240" w:lineRule="auto"/>
        <w:ind w:left="0" w:firstLine="0"/>
        <w:jc w:val="both"/>
        <w:rPr>
          <w:rFonts w:ascii="Times New Roman" w:hAnsi="Times New Roman" w:eastAsia="Times New Roman" w:cs="Times New Roman"/>
          <w:color w:val="000000"/>
          <w:lang w:eastAsia="ru-RU"/>
        </w:rPr>
      </w:pPr>
      <w:bookmarkStart w:id="18" w:name="Par13"/>
      <w:bookmarkEnd w:id="18"/>
      <w:r>
        <w:rPr>
          <w:rFonts w:ascii="Times New Roman" w:hAnsi="Times New Roman" w:eastAsia="Times New Roman" w:cs="Times New Roman"/>
          <w:color w:val="000000"/>
          <w:lang w:eastAsia="ru-RU"/>
        </w:rPr>
        <w:t xml:space="preserve">Заказчик вправе предъявить иные дополнительные квалификационные требования к участникам закупки в зависимости от предмета закупки, в том числе: </w:t>
      </w:r>
    </w:p>
    <w:p w14:paraId="488EEE2E">
      <w:pPr>
        <w:widowControl w:val="0"/>
        <w:numPr>
          <w:ilvl w:val="0"/>
          <w:numId w:val="15"/>
        </w:numPr>
        <w:autoSpaceDE w:val="0"/>
        <w:autoSpaceDN w:val="0"/>
        <w:adjustRightInd w:val="0"/>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наличие финансовых, материальных средств, а также иных возможностей (ресурсов), необходимых для выполнения условий договора;</w:t>
      </w:r>
    </w:p>
    <w:p w14:paraId="3E67FE48">
      <w:pPr>
        <w:widowControl w:val="0"/>
        <w:numPr>
          <w:ilvl w:val="0"/>
          <w:numId w:val="15"/>
        </w:numPr>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положительная деловая репутация, наличие опыта осуществления поставок, выполнения работ или оказания услуг.</w:t>
      </w:r>
    </w:p>
    <w:p w14:paraId="6872C63C">
      <w:pPr>
        <w:spacing w:after="0" w:line="240" w:lineRule="auto"/>
        <w:ind w:firstLine="567"/>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При установлении указанных требований Заказчик обязан определить конкретные единицы их изменения.</w:t>
      </w:r>
    </w:p>
    <w:p w14:paraId="42F6CC73">
      <w:pPr>
        <w:numPr>
          <w:ilvl w:val="2"/>
          <w:numId w:val="14"/>
        </w:numPr>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В случае установления таких требований </w:t>
      </w:r>
      <w:r>
        <w:fldChar w:fldCharType="begin"/>
      </w:r>
      <w:r>
        <w:instrText xml:space="preserve"> HYPERLINK "consultantplus://offline/ref=D2BAEB052A4C4A6308C1F13452E69A30C319FC1DB0BA4F37D5C36B800B15B6FFF43EF7144AE3873FG5F2J" </w:instrText>
      </w:r>
      <w:r>
        <w:fldChar w:fldCharType="separate"/>
      </w:r>
      <w:r>
        <w:rPr>
          <w:rFonts w:ascii="Times New Roman" w:hAnsi="Times New Roman" w:eastAsia="Times New Roman" w:cs="Times New Roman"/>
          <w:color w:val="000000"/>
          <w:lang w:eastAsia="ru-RU"/>
        </w:rPr>
        <w:t>п</w:t>
      </w:r>
      <w:r>
        <w:rPr>
          <w:rFonts w:ascii="Times New Roman" w:hAnsi="Times New Roman" w:eastAsia="Times New Roman" w:cs="Times New Roman"/>
          <w:color w:val="000000"/>
          <w:lang w:eastAsia="ru-RU"/>
        </w:rPr>
        <w:fldChar w:fldCharType="end"/>
      </w:r>
      <w:r>
        <w:rPr>
          <w:rFonts w:ascii="Times New Roman" w:hAnsi="Times New Roman" w:eastAsia="Times New Roman" w:cs="Times New Roman"/>
          <w:color w:val="000000"/>
          <w:lang w:eastAsia="ru-RU"/>
        </w:rPr>
        <w:t>еречень документов, которые подтверждают соответствие участников закупок дополнительным требованиям, устанавливается в Информационной карте аукциона.</w:t>
      </w:r>
    </w:p>
    <w:p w14:paraId="64FFDC5C">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2.4.3. 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w:t>
      </w:r>
      <w:bookmarkStart w:id="19" w:name="Par26"/>
      <w:bookmarkEnd w:id="19"/>
      <w:bookmarkStart w:id="20" w:name="Par25"/>
      <w:bookmarkEnd w:id="20"/>
    </w:p>
    <w:p w14:paraId="78A533A5">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2.4.4.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20072F5A">
      <w:pPr>
        <w:numPr>
          <w:ilvl w:val="1"/>
          <w:numId w:val="14"/>
        </w:numPr>
        <w:spacing w:after="0" w:line="240" w:lineRule="auto"/>
        <w:jc w:val="both"/>
        <w:rPr>
          <w:rFonts w:ascii="Times New Roman" w:hAnsi="Times New Roman" w:eastAsia="Times New Roman" w:cs="Times New Roman"/>
          <w:b/>
          <w:color w:val="000000"/>
          <w:lang w:eastAsia="ru-RU"/>
        </w:rPr>
      </w:pPr>
      <w:bookmarkStart w:id="21" w:name="_Ref378772608"/>
      <w:bookmarkStart w:id="22" w:name="_Toc432073113"/>
      <w:r>
        <w:rPr>
          <w:rFonts w:ascii="Times New Roman" w:hAnsi="Times New Roman" w:eastAsia="Times New Roman" w:cs="Times New Roman"/>
          <w:b/>
          <w:bCs/>
          <w:color w:val="000000"/>
          <w:lang w:eastAsia="ru-RU"/>
        </w:rPr>
        <w:t xml:space="preserve">Требования, устанавливаемые Заказчиком к участникам закупки в случае проведения аукциона для </w:t>
      </w:r>
      <w:r>
        <w:rPr>
          <w:rFonts w:ascii="Times New Roman" w:hAnsi="Times New Roman" w:eastAsia="Times New Roman" w:cs="Times New Roman"/>
          <w:b/>
        </w:rPr>
        <w:t>субъектов малого и среднего предпринимательства</w:t>
      </w:r>
      <w:r>
        <w:rPr>
          <w:rFonts w:ascii="Times New Roman" w:hAnsi="Times New Roman" w:eastAsia="Times New Roman" w:cs="Times New Roman"/>
          <w:b/>
          <w:bCs/>
          <w:color w:val="000000"/>
          <w:lang w:eastAsia="ru-RU"/>
        </w:rPr>
        <w:t>:</w:t>
      </w:r>
      <w:bookmarkEnd w:id="21"/>
    </w:p>
    <w:p w14:paraId="532BC3D1">
      <w:pPr>
        <w:widowControl w:val="0"/>
        <w:numPr>
          <w:ilvl w:val="2"/>
          <w:numId w:val="14"/>
        </w:numPr>
        <w:tabs>
          <w:tab w:val="left" w:pos="0"/>
        </w:tabs>
        <w:autoSpaceDE w:val="0"/>
        <w:autoSpaceDN w:val="0"/>
        <w:adjustRightInd w:val="0"/>
        <w:spacing w:after="0" w:line="240" w:lineRule="auto"/>
        <w:ind w:left="0" w:firstLine="0"/>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 xml:space="preserve">Заказчик обязан осуществлять закупки </w:t>
      </w:r>
      <w:r>
        <w:rPr>
          <w:rFonts w:ascii="Times New Roman" w:hAnsi="Times New Roman" w:eastAsia="Times New Roman" w:cs="Times New Roman"/>
          <w:lang w:eastAsia="ru-RU"/>
        </w:rPr>
        <w:t xml:space="preserve">в соответствии с </w:t>
      </w:r>
      <w:r>
        <w:rPr>
          <w:rFonts w:ascii="Times New Roman" w:hAnsi="Times New Roman" w:eastAsia="Times New Roman" w:cs="Times New Roman"/>
          <w:color w:val="000000"/>
          <w:lang w:eastAsia="ru-RU"/>
        </w:rPr>
        <w:t>частью 8 статьи 3</w:t>
      </w:r>
      <w:r>
        <w:rPr>
          <w:rFonts w:ascii="Times New Roman" w:hAnsi="Times New Roman" w:eastAsia="Times New Roman" w:cs="Times New Roman"/>
          <w:lang w:eastAsia="ru-RU"/>
        </w:rPr>
        <w:t xml:space="preserve"> Закона № 223-ФЗ, если правительством Российской Федерации установлен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а также особенности участия в закупке субъектов малого и среднего предпринимательства.</w:t>
      </w:r>
    </w:p>
    <w:p w14:paraId="11B4EF8B">
      <w:pPr>
        <w:widowControl w:val="0"/>
        <w:numPr>
          <w:ilvl w:val="2"/>
          <w:numId w:val="14"/>
        </w:numPr>
        <w:tabs>
          <w:tab w:val="left" w:pos="0"/>
        </w:tabs>
        <w:autoSpaceDE w:val="0"/>
        <w:autoSpaceDN w:val="0"/>
        <w:adjustRightInd w:val="0"/>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В случае если в соответствии с положениями Информационной картой документации об аукционе проводится аукцион среди </w:t>
      </w:r>
      <w:r>
        <w:rPr>
          <w:rFonts w:ascii="Times New Roman" w:hAnsi="Times New Roman" w:eastAsia="Times New Roman" w:cs="Times New Roman"/>
        </w:rPr>
        <w:t>субъектов малого и среднего предпринимательства</w:t>
      </w:r>
      <w:r>
        <w:rPr>
          <w:rFonts w:ascii="Times New Roman" w:hAnsi="Times New Roman" w:eastAsia="Times New Roman" w:cs="Times New Roman"/>
          <w:color w:val="000000"/>
          <w:lang w:eastAsia="ru-RU"/>
        </w:rPr>
        <w:t xml:space="preserve">, то участниками такого аукциона могут быть только субъекты </w:t>
      </w:r>
      <w:r>
        <w:rPr>
          <w:rFonts w:ascii="Times New Roman" w:hAnsi="Times New Roman" w:eastAsia="Times New Roman" w:cs="Times New Roman"/>
        </w:rPr>
        <w:t>малого и среднего предпринимательства</w:t>
      </w:r>
      <w:r>
        <w:rPr>
          <w:rFonts w:ascii="Times New Roman" w:hAnsi="Times New Roman" w:eastAsia="Times New Roman" w:cs="Times New Roman"/>
          <w:color w:val="000000"/>
          <w:lang w:eastAsia="ru-RU"/>
        </w:rPr>
        <w:t>. Статус субъекта малого и среднего предпринимательства определяется в соответствии с законодательством Российской Федерации.</w:t>
      </w:r>
    </w:p>
    <w:p w14:paraId="580B42B9">
      <w:pPr>
        <w:numPr>
          <w:ilvl w:val="0"/>
          <w:numId w:val="14"/>
        </w:numPr>
        <w:spacing w:after="0" w:line="240" w:lineRule="auto"/>
        <w:jc w:val="both"/>
        <w:outlineLvl w:val="1"/>
        <w:rPr>
          <w:rFonts w:ascii="Times New Roman" w:hAnsi="Times New Roman" w:eastAsia="Times New Roman" w:cs="Times New Roman"/>
          <w:b/>
          <w:bCs/>
          <w:caps/>
          <w:color w:val="000000"/>
          <w:lang w:eastAsia="ru-RU"/>
        </w:rPr>
      </w:pPr>
      <w:bookmarkStart w:id="23" w:name="_Toc1576658"/>
      <w:r>
        <w:rPr>
          <w:rFonts w:ascii="Times New Roman" w:hAnsi="Times New Roman" w:eastAsia="Times New Roman" w:cs="Times New Roman"/>
          <w:b/>
          <w:bCs/>
          <w:caps/>
          <w:color w:val="000000"/>
          <w:lang w:eastAsia="ru-RU"/>
        </w:rPr>
        <w:t>Раздел III. РазъяснениЕ, внесение изменений, отказ от проведения аукциона.</w:t>
      </w:r>
      <w:bookmarkEnd w:id="22"/>
      <w:bookmarkEnd w:id="23"/>
    </w:p>
    <w:p w14:paraId="35000D2F">
      <w:pPr>
        <w:numPr>
          <w:ilvl w:val="1"/>
          <w:numId w:val="16"/>
        </w:numPr>
        <w:spacing w:after="0" w:line="240" w:lineRule="auto"/>
        <w:jc w:val="both"/>
        <w:outlineLvl w:val="1"/>
        <w:rPr>
          <w:rFonts w:ascii="Times New Roman" w:hAnsi="Times New Roman" w:eastAsia="Times New Roman" w:cs="Times New Roman"/>
          <w:b/>
          <w:bCs/>
          <w:caps/>
          <w:color w:val="000000"/>
          <w:lang w:eastAsia="ru-RU"/>
        </w:rPr>
      </w:pPr>
      <w:bookmarkStart w:id="24" w:name="_Toc1576659"/>
      <w:bookmarkStart w:id="25" w:name="_Toc379911112"/>
      <w:bookmarkStart w:id="26" w:name="_Toc381286701"/>
      <w:bookmarkStart w:id="27" w:name="_Toc432073114"/>
      <w:bookmarkStart w:id="28" w:name="_Toc483491565"/>
      <w:r>
        <w:rPr>
          <w:rFonts w:ascii="Times New Roman" w:hAnsi="Times New Roman" w:eastAsia="Times New Roman" w:cs="Times New Roman"/>
          <w:b/>
          <w:bCs/>
          <w:color w:val="000000"/>
          <w:lang w:eastAsia="ru-RU"/>
        </w:rPr>
        <w:t>Разъяснение положений документации об аукционе</w:t>
      </w:r>
      <w:bookmarkEnd w:id="24"/>
      <w:bookmarkEnd w:id="25"/>
      <w:bookmarkEnd w:id="26"/>
      <w:bookmarkEnd w:id="27"/>
      <w:bookmarkEnd w:id="28"/>
    </w:p>
    <w:p w14:paraId="65B7D81B">
      <w:pPr>
        <w:numPr>
          <w:ilvl w:val="2"/>
          <w:numId w:val="16"/>
        </w:numPr>
        <w:autoSpaceDE w:val="0"/>
        <w:autoSpaceDN w:val="0"/>
        <w:adjustRightInd w:val="0"/>
        <w:spacing w:after="0" w:line="240" w:lineRule="auto"/>
        <w:ind w:left="0" w:firstLine="0"/>
        <w:jc w:val="both"/>
        <w:outlineLvl w:val="1"/>
        <w:rPr>
          <w:rFonts w:ascii="Times New Roman" w:hAnsi="Times New Roman" w:eastAsia="Times New Roman" w:cs="Times New Roman"/>
          <w:color w:val="000000"/>
          <w:lang w:eastAsia="ru-RU"/>
        </w:rPr>
      </w:pPr>
      <w:bookmarkStart w:id="29" w:name="_Toc1576660"/>
      <w:bookmarkStart w:id="30" w:name="_Toc381286702"/>
      <w:bookmarkStart w:id="31" w:name="_Toc432073115"/>
      <w:bookmarkStart w:id="32" w:name="_Toc483491566"/>
      <w:r>
        <w:rPr>
          <w:rFonts w:ascii="Times New Roman" w:hAnsi="Times New Roman" w:eastAsia="Times New Roman" w:cs="Times New Roman"/>
          <w:color w:val="000000"/>
          <w:lang w:eastAsia="ru-RU"/>
        </w:rPr>
        <w:t>Любой участник закупки вправе направить Заказчику запрос о даче разъяснений положений документации об аукционе в виде электронного документа.</w:t>
      </w:r>
      <w:bookmarkEnd w:id="29"/>
      <w:bookmarkEnd w:id="30"/>
      <w:bookmarkEnd w:id="31"/>
      <w:bookmarkEnd w:id="32"/>
      <w:r>
        <w:rPr>
          <w:rFonts w:ascii="Times New Roman" w:hAnsi="Times New Roman" w:eastAsia="Times New Roman" w:cs="Times New Roman"/>
          <w:color w:val="000000"/>
          <w:lang w:eastAsia="ru-RU"/>
        </w:rPr>
        <w:t> </w:t>
      </w:r>
    </w:p>
    <w:p w14:paraId="3DF18CC5">
      <w:pPr>
        <w:numPr>
          <w:ilvl w:val="2"/>
          <w:numId w:val="16"/>
        </w:numPr>
        <w:autoSpaceDE w:val="0"/>
        <w:autoSpaceDN w:val="0"/>
        <w:adjustRightInd w:val="0"/>
        <w:spacing w:after="0" w:line="240" w:lineRule="auto"/>
        <w:ind w:left="0" w:firstLine="0"/>
        <w:jc w:val="both"/>
        <w:outlineLvl w:val="1"/>
        <w:rPr>
          <w:rFonts w:ascii="Times New Roman" w:hAnsi="Times New Roman" w:eastAsia="Times New Roman" w:cs="Times New Roman"/>
          <w:color w:val="000000"/>
          <w:lang w:eastAsia="ru-RU"/>
        </w:rPr>
      </w:pPr>
      <w:bookmarkStart w:id="33" w:name="_Toc1576661"/>
      <w:bookmarkStart w:id="34" w:name="_Toc483491567"/>
      <w:bookmarkStart w:id="35" w:name="_Toc379911114"/>
      <w:bookmarkStart w:id="36" w:name="_Toc432073116"/>
      <w:bookmarkStart w:id="37" w:name="_Toc381286703"/>
      <w:r>
        <w:rPr>
          <w:rFonts w:ascii="Times New Roman" w:hAnsi="Times New Roman" w:eastAsia="Times New Roman" w:cs="Times New Roman"/>
          <w:color w:val="000000"/>
          <w:lang w:eastAsia="ru-RU"/>
        </w:rPr>
        <w:t>В течение трех дней со дня поступления такого запроса Заказчик размещает в ЕИС разъяснения с указанием предмета запроса, но без указания участника закупки, от которого поступил запрос. В рамках разъяснений положений документации об аукционе Заказчик не может изменять предмет закупки и существенные условия проекта договора, при условии, что указанный запрос поступил заказчику не позднее чем за три дня до даты окончания срока подачи заявок на участие в аукционе.</w:t>
      </w:r>
      <w:bookmarkEnd w:id="33"/>
      <w:bookmarkEnd w:id="34"/>
      <w:bookmarkEnd w:id="35"/>
      <w:bookmarkEnd w:id="36"/>
      <w:bookmarkEnd w:id="37"/>
    </w:p>
    <w:p w14:paraId="2189C7C7">
      <w:pPr>
        <w:numPr>
          <w:ilvl w:val="1"/>
          <w:numId w:val="16"/>
        </w:numPr>
        <w:spacing w:after="0" w:line="240" w:lineRule="auto"/>
        <w:jc w:val="both"/>
        <w:outlineLvl w:val="2"/>
        <w:rPr>
          <w:rFonts w:ascii="Times New Roman" w:hAnsi="Times New Roman" w:eastAsia="Times New Roman" w:cs="Times New Roman"/>
          <w:b/>
          <w:bCs/>
          <w:color w:val="000000"/>
          <w:lang w:eastAsia="ru-RU"/>
        </w:rPr>
      </w:pPr>
      <w:r>
        <w:rPr>
          <w:rFonts w:ascii="Times New Roman" w:hAnsi="Times New Roman" w:eastAsia="Times New Roman" w:cs="Times New Roman"/>
          <w:b/>
          <w:bCs/>
          <w:color w:val="000000"/>
          <w:lang w:eastAsia="ru-RU"/>
        </w:rPr>
        <w:t>Внесение изменений в документацию об аукционе.</w:t>
      </w:r>
    </w:p>
    <w:p w14:paraId="63DAC5C2">
      <w:pPr>
        <w:spacing w:after="0" w:line="240" w:lineRule="auto"/>
        <w:jc w:val="both"/>
        <w:outlineLvl w:val="2"/>
        <w:rPr>
          <w:rFonts w:ascii="Times New Roman" w:hAnsi="Times New Roman" w:eastAsia="Times New Roman" w:cs="Times New Roman"/>
          <w:b/>
          <w:bCs/>
          <w:color w:val="000000"/>
          <w:lang w:eastAsia="ru-RU"/>
        </w:rPr>
      </w:pPr>
      <w:r>
        <w:rPr>
          <w:rFonts w:ascii="Times New Roman" w:hAnsi="Times New Roman" w:eastAsia="Times New Roman" w:cs="Times New Roman"/>
          <w:lang w:eastAsia="ru-RU"/>
        </w:rPr>
        <w:t>3.2.1. 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об аукционе. Изменять предмет закупки не допускается</w:t>
      </w:r>
      <w:r>
        <w:rPr>
          <w:rFonts w:ascii="Times New Roman" w:hAnsi="Times New Roman" w:eastAsia="Times New Roman" w:cs="Times New Roman"/>
          <w:color w:val="000000"/>
          <w:lang w:eastAsia="ru-RU"/>
        </w:rPr>
        <w:t>.</w:t>
      </w:r>
    </w:p>
    <w:p w14:paraId="2FA8F757">
      <w:pPr>
        <w:spacing w:after="0" w:line="240" w:lineRule="auto"/>
        <w:jc w:val="both"/>
        <w:outlineLvl w:val="2"/>
        <w:rPr>
          <w:rFonts w:ascii="Times New Roman" w:hAnsi="Times New Roman" w:eastAsia="Times New Roman" w:cs="Times New Roman"/>
          <w:b/>
          <w:bCs/>
          <w:color w:val="000000"/>
          <w:lang w:eastAsia="ru-RU"/>
        </w:rPr>
      </w:pPr>
      <w:r>
        <w:rPr>
          <w:rFonts w:ascii="Times New Roman" w:hAnsi="Times New Roman" w:eastAsia="Times New Roman" w:cs="Times New Roman"/>
          <w:color w:val="000000"/>
          <w:lang w:eastAsia="ru-RU"/>
        </w:rPr>
        <w:t xml:space="preserve">3.2.2. </w:t>
      </w:r>
      <w:r>
        <w:rPr>
          <w:rFonts w:ascii="Times New Roman" w:hAnsi="Times New Roman" w:eastAsia="Times New Roman" w:cs="Times New Roman"/>
          <w:lang w:eastAsia="ru-RU"/>
        </w:rPr>
        <w:t xml:space="preserve">Изменения, внесенные в извещение об аукционе, документацию об аукционе, размещаются в единой информационной системе не позднее трех дней со дня принятия решения об их внесении. </w:t>
      </w:r>
    </w:p>
    <w:p w14:paraId="70BDCDE8">
      <w:pPr>
        <w:spacing w:after="0" w:line="240" w:lineRule="auto"/>
        <w:jc w:val="both"/>
        <w:outlineLvl w:val="2"/>
        <w:rPr>
          <w:rFonts w:ascii="Times New Roman" w:hAnsi="Times New Roman" w:eastAsia="Times New Roman" w:cs="Times New Roman"/>
          <w:b/>
          <w:bCs/>
          <w:color w:val="000000"/>
          <w:lang w:eastAsia="ru-RU"/>
        </w:rPr>
      </w:pPr>
      <w:r>
        <w:rPr>
          <w:rFonts w:ascii="Times New Roman" w:hAnsi="Times New Roman" w:eastAsia="Times New Roman" w:cs="Times New Roman"/>
          <w:lang w:eastAsia="ru-RU"/>
        </w:rPr>
        <w:t>3.2.3. В результате внесения указанных изменений срок подачи заявок на участие в аукционе должен быть продлен следующим образом. С даты размещения в единой информационной системе изменений в извещение об аукционе, документацию об аукционе до даты окончания срока подачи заявок на участие в аукционе должно оставаться не менее половины срока подачи заявок на участие в аукционе, установленного Положением</w:t>
      </w:r>
      <w:r>
        <w:rPr>
          <w:rFonts w:ascii="Times New Roman" w:hAnsi="Times New Roman" w:eastAsia="Times New Roman" w:cs="Times New Roman"/>
          <w:color w:val="000000"/>
          <w:lang w:eastAsia="ru-RU"/>
        </w:rPr>
        <w:t>.</w:t>
      </w:r>
    </w:p>
    <w:p w14:paraId="59DD8DA3">
      <w:pPr>
        <w:spacing w:after="0" w:line="240" w:lineRule="auto"/>
        <w:jc w:val="both"/>
        <w:outlineLvl w:val="2"/>
        <w:rPr>
          <w:rFonts w:ascii="Times New Roman" w:hAnsi="Times New Roman" w:eastAsia="Times New Roman" w:cs="Times New Roman"/>
          <w:b/>
          <w:bCs/>
          <w:color w:val="000000"/>
          <w:lang w:eastAsia="ru-RU"/>
        </w:rPr>
      </w:pPr>
      <w:r>
        <w:rPr>
          <w:rFonts w:ascii="Times New Roman" w:hAnsi="Times New Roman" w:eastAsia="Times New Roman" w:cs="Times New Roman"/>
          <w:color w:val="000000"/>
          <w:lang w:eastAsia="ru-RU"/>
        </w:rPr>
        <w:t>3.2.4. Заказчик не несет ответственности в случае, если участник аукциона не ознакомился с изменениями, внесенными в извещение о проведении аукциона и аукционную документацию размещенными и опубликованными надлежащим образом.</w:t>
      </w:r>
    </w:p>
    <w:p w14:paraId="5C6E9597">
      <w:pPr>
        <w:numPr>
          <w:ilvl w:val="1"/>
          <w:numId w:val="16"/>
        </w:numPr>
        <w:spacing w:after="0" w:line="240" w:lineRule="auto"/>
        <w:jc w:val="both"/>
        <w:outlineLvl w:val="2"/>
        <w:rPr>
          <w:rFonts w:ascii="Times New Roman" w:hAnsi="Times New Roman" w:eastAsia="Times New Roman" w:cs="Times New Roman"/>
          <w:b/>
          <w:bCs/>
          <w:color w:val="000000"/>
          <w:lang w:eastAsia="ru-RU"/>
        </w:rPr>
      </w:pPr>
      <w:r>
        <w:rPr>
          <w:rFonts w:ascii="Times New Roman" w:hAnsi="Times New Roman" w:eastAsia="Times New Roman" w:cs="Times New Roman"/>
          <w:b/>
          <w:bCs/>
          <w:color w:val="000000"/>
          <w:lang w:eastAsia="ru-RU"/>
        </w:rPr>
        <w:t>Отказ от проведения аукциона</w:t>
      </w:r>
    </w:p>
    <w:p w14:paraId="234D73BD">
      <w:pPr>
        <w:numPr>
          <w:ilvl w:val="2"/>
          <w:numId w:val="16"/>
        </w:numPr>
        <w:autoSpaceDE w:val="0"/>
        <w:autoSpaceDN w:val="0"/>
        <w:adjustRightInd w:val="0"/>
        <w:spacing w:after="0" w:line="240" w:lineRule="auto"/>
        <w:ind w:left="0" w:firstLine="0"/>
        <w:jc w:val="both"/>
        <w:rPr>
          <w:rFonts w:ascii="Times New Roman" w:hAnsi="Times New Roman" w:eastAsia="Times New Roman" w:cs="Times New Roman"/>
          <w:color w:val="000000"/>
          <w:lang w:eastAsia="ru-RU"/>
        </w:rPr>
      </w:pPr>
      <w:bookmarkStart w:id="38" w:name="Par0"/>
      <w:bookmarkEnd w:id="38"/>
      <w:r>
        <w:rPr>
          <w:rFonts w:ascii="Times New Roman" w:hAnsi="Times New Roman" w:eastAsia="Times New Roman" w:cs="Times New Roman"/>
          <w:lang w:eastAsia="ru-RU"/>
        </w:rPr>
        <w:t>Заказчик вправе отменить проведение аукциона до наступления даты и времени окончания срока подачи заявок на участие в аукционе</w:t>
      </w:r>
      <w:r>
        <w:rPr>
          <w:rFonts w:ascii="Times New Roman" w:hAnsi="Times New Roman" w:eastAsia="Times New Roman" w:cs="Times New Roman"/>
          <w:color w:val="000000"/>
          <w:lang w:eastAsia="ru-RU"/>
        </w:rPr>
        <w:t>.</w:t>
      </w:r>
    </w:p>
    <w:p w14:paraId="4FF59FC5">
      <w:pPr>
        <w:numPr>
          <w:ilvl w:val="2"/>
          <w:numId w:val="16"/>
        </w:numPr>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lang w:eastAsia="ru-RU"/>
        </w:rPr>
        <w:t>Решение об отмене от проведения закупки размещается в единой информационной системе в день его принятия.</w:t>
      </w:r>
    </w:p>
    <w:p w14:paraId="1A16AEBB">
      <w:pPr>
        <w:numPr>
          <w:ilvl w:val="2"/>
          <w:numId w:val="16"/>
        </w:numPr>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lang w:eastAsia="ru-RU"/>
        </w:rPr>
        <w:t>По истечении срока отмены аукциона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r>
        <w:rPr>
          <w:rFonts w:ascii="Times New Roman" w:hAnsi="Times New Roman" w:eastAsia="Times New Roman" w:cs="Times New Roman"/>
          <w:color w:val="000000"/>
          <w:lang w:eastAsia="ru-RU"/>
        </w:rPr>
        <w:t>.</w:t>
      </w:r>
    </w:p>
    <w:p w14:paraId="155CFE24">
      <w:pPr>
        <w:numPr>
          <w:ilvl w:val="0"/>
          <w:numId w:val="16"/>
        </w:numPr>
        <w:spacing w:after="0" w:line="240" w:lineRule="auto"/>
        <w:ind w:left="357" w:hanging="357"/>
        <w:jc w:val="both"/>
        <w:outlineLvl w:val="1"/>
        <w:rPr>
          <w:rFonts w:ascii="Times New Roman" w:hAnsi="Times New Roman" w:eastAsia="Times New Roman" w:cs="Times New Roman"/>
          <w:b/>
          <w:bCs/>
          <w:caps/>
          <w:color w:val="000000"/>
          <w:lang w:eastAsia="ru-RU"/>
        </w:rPr>
      </w:pPr>
      <w:bookmarkStart w:id="39" w:name="_Toc1576662"/>
      <w:bookmarkStart w:id="40" w:name="_Toc432073118"/>
      <w:r>
        <w:rPr>
          <w:rFonts w:ascii="Times New Roman" w:hAnsi="Times New Roman" w:eastAsia="Times New Roman" w:cs="Times New Roman"/>
          <w:b/>
          <w:bCs/>
          <w:caps/>
          <w:color w:val="000000"/>
          <w:lang w:eastAsia="ru-RU"/>
        </w:rPr>
        <w:t>раздел IV. требования к содержанию и составу, подача заявки на участие в аукционе.</w:t>
      </w:r>
      <w:bookmarkEnd w:id="39"/>
      <w:bookmarkEnd w:id="40"/>
    </w:p>
    <w:p w14:paraId="0D103D3A">
      <w:pPr>
        <w:numPr>
          <w:ilvl w:val="1"/>
          <w:numId w:val="17"/>
        </w:numPr>
        <w:spacing w:after="0" w:line="240" w:lineRule="auto"/>
        <w:ind w:left="0" w:firstLine="0"/>
        <w:jc w:val="both"/>
        <w:outlineLvl w:val="2"/>
        <w:rPr>
          <w:rFonts w:ascii="Times New Roman" w:hAnsi="Times New Roman" w:eastAsia="Times New Roman" w:cs="Times New Roman"/>
          <w:b/>
          <w:bCs/>
          <w:color w:val="000000"/>
          <w:lang w:eastAsia="ru-RU"/>
        </w:rPr>
      </w:pPr>
      <w:r>
        <w:rPr>
          <w:rFonts w:ascii="Times New Roman" w:hAnsi="Times New Roman" w:eastAsia="Times New Roman" w:cs="Times New Roman"/>
          <w:b/>
          <w:bCs/>
          <w:color w:val="000000"/>
          <w:lang w:eastAsia="ru-RU"/>
        </w:rPr>
        <w:t>Требования к содержанию и составу заявки на участие в аукционе.</w:t>
      </w:r>
    </w:p>
    <w:p w14:paraId="265DB725">
      <w:pPr>
        <w:numPr>
          <w:ilvl w:val="2"/>
          <w:numId w:val="17"/>
        </w:numPr>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Все документы, входящие в состав заявки на участие в аукционе, должны быть составлены на русском языке. Подача документов, входящих в состав заявки на иностранном языке должна сопровождаться предоставлением надлежащим образом заверенного перевода соответствующих документов на русский язык.</w:t>
      </w:r>
    </w:p>
    <w:p w14:paraId="1B4BC6E1">
      <w:pPr>
        <w:numPr>
          <w:ilvl w:val="2"/>
          <w:numId w:val="17"/>
        </w:numPr>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Документы, происходящие из иностранного государства, должны быть надлежащим образом легализованы в соответствии с законодательством и международными Договорами Российской Федерации.</w:t>
      </w:r>
    </w:p>
    <w:p w14:paraId="2A31F072">
      <w:pPr>
        <w:numPr>
          <w:ilvl w:val="2"/>
          <w:numId w:val="17"/>
        </w:numPr>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Подача заявок на участие в аукционе осуществляется только лицами, получившими аккредитацию на электронной площадке. Заявка подается с использованием программно-аппаратных средств электронной площадки.</w:t>
      </w:r>
    </w:p>
    <w:p w14:paraId="4CF55C53">
      <w:pPr>
        <w:numPr>
          <w:ilvl w:val="2"/>
          <w:numId w:val="17"/>
        </w:numPr>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Заявка на участие в аукционе состоит из двух частей и ценового предложения.</w:t>
      </w:r>
    </w:p>
    <w:p w14:paraId="5A56263E">
      <w:pPr>
        <w:numPr>
          <w:ilvl w:val="2"/>
          <w:numId w:val="17"/>
        </w:numPr>
        <w:spacing w:after="0" w:line="240" w:lineRule="auto"/>
        <w:ind w:left="0" w:firstLine="0"/>
        <w:jc w:val="both"/>
        <w:rPr>
          <w:rFonts w:ascii="Times New Roman" w:hAnsi="Times New Roman" w:eastAsia="Times New Roman" w:cs="Times New Roman"/>
          <w:color w:val="000000"/>
          <w:lang w:eastAsia="ru-RU"/>
        </w:rPr>
      </w:pPr>
      <w:bookmarkStart w:id="41" w:name="_Ref378770879"/>
      <w:r>
        <w:rPr>
          <w:rFonts w:ascii="Times New Roman" w:hAnsi="Times New Roman" w:eastAsia="Times New Roman" w:cs="Times New Roman"/>
          <w:color w:val="000000"/>
          <w:lang w:eastAsia="ru-RU"/>
        </w:rPr>
        <w:t xml:space="preserve">Первая часть </w:t>
      </w:r>
      <w:bookmarkEnd w:id="41"/>
      <w:r>
        <w:rPr>
          <w:rFonts w:ascii="Times New Roman" w:hAnsi="Times New Roman" w:eastAsia="Times New Roman" w:cs="Times New Roman"/>
          <w:color w:val="000000"/>
          <w:lang w:eastAsia="ru-RU"/>
        </w:rPr>
        <w:t>заявки на участие в аукционе должна содержать следующие сведения:</w:t>
      </w:r>
    </w:p>
    <w:p w14:paraId="23FB3021">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4.1.5.1. согласие участника аукциона на поставку товара, выполнение работы или оказание услуги на условиях, предусмотренных аукционной документацией и не подлежащих изменению по результатам проведения аукциона (такое согласие дается с применением программно-аппаратных средств электронной площадки);</w:t>
      </w:r>
    </w:p>
    <w:p w14:paraId="2F39F4B2">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4.1.5.2. описание поставляемого товара, выполняемой работы, оказываемой услуги, которые являются предметом закупки в соответствии с требованиями аукционной документации;</w:t>
      </w:r>
    </w:p>
    <w:p w14:paraId="68BD39B6">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4.1.5.3. при осуществлении закупки товара или закупки работы, услуги, для выполнения, оказания которых используется товар:</w:t>
      </w:r>
    </w:p>
    <w:p w14:paraId="097B26BD">
      <w:pPr>
        <w:spacing w:after="0" w:line="240" w:lineRule="auto"/>
        <w:ind w:firstLine="709"/>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1) наименование страны происхождения товара (в случае если Заказчик при проведении аукциона установил приоритет);</w:t>
      </w:r>
    </w:p>
    <w:p w14:paraId="7DCEF6F8">
      <w:pPr>
        <w:spacing w:after="0" w:line="240" w:lineRule="auto"/>
        <w:ind w:firstLine="709"/>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2) конкретные показатели товара, соответствующие значениям, установленным в аукционной документации, и указание на товарный знак (при наличии). Информация, предусмотренная настоящим подпунктом, включается в заявку на участие в аукционе в случае отсутствия в аукционной документации указания на товарный знак или в случае, если участник закупки предлагает эквивалентный товар, который обозначен товарным знаком, отличным от товарного знака, указанного в аукционной документации.</w:t>
      </w:r>
    </w:p>
    <w:p w14:paraId="4C8E086E">
      <w:pPr>
        <w:numPr>
          <w:ilvl w:val="3"/>
          <w:numId w:val="18"/>
        </w:numPr>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Первая часть заявки на участие в аукционе, предусмотренная п. </w:t>
      </w:r>
      <w:r>
        <w:rPr>
          <w:rFonts w:ascii="Times New Roman" w:hAnsi="Times New Roman" w:eastAsia="Times New Roman" w:cs="Times New Roman"/>
          <w:sz w:val="24"/>
          <w:szCs w:val="24"/>
          <w:lang w:eastAsia="ru-RU"/>
        </w:rPr>
        <w:fldChar w:fldCharType="begin"/>
      </w:r>
      <w:r>
        <w:rPr>
          <w:rFonts w:ascii="Times New Roman" w:hAnsi="Times New Roman" w:eastAsia="Times New Roman" w:cs="Times New Roman"/>
          <w:sz w:val="24"/>
          <w:szCs w:val="24"/>
          <w:lang w:eastAsia="ru-RU"/>
        </w:rPr>
        <w:instrText xml:space="preserve"> REF _Ref378770879 \r \h  \* MERGEFORMAT </w:instrText>
      </w:r>
      <w:r>
        <w:rPr>
          <w:rFonts w:ascii="Times New Roman" w:hAnsi="Times New Roman" w:eastAsia="Times New Roman" w:cs="Times New Roman"/>
          <w:sz w:val="24"/>
          <w:szCs w:val="24"/>
          <w:lang w:eastAsia="ru-RU"/>
        </w:rPr>
        <w:fldChar w:fldCharType="separate"/>
      </w:r>
      <w:r>
        <w:rPr>
          <w:rFonts w:ascii="Times New Roman" w:hAnsi="Times New Roman" w:eastAsia="Times New Roman" w:cs="Times New Roman"/>
          <w:color w:val="000000"/>
          <w:lang w:eastAsia="ru-RU"/>
        </w:rPr>
        <w:t>4.1.5</w:t>
      </w:r>
      <w:r>
        <w:rPr>
          <w:rFonts w:ascii="Times New Roman" w:hAnsi="Times New Roman" w:eastAsia="Times New Roman" w:cs="Times New Roman"/>
          <w:sz w:val="24"/>
          <w:szCs w:val="24"/>
          <w:lang w:eastAsia="ru-RU"/>
        </w:rPr>
        <w:fldChar w:fldCharType="end"/>
      </w:r>
      <w:r>
        <w:rPr>
          <w:rFonts w:ascii="Times New Roman" w:hAnsi="Times New Roman" w:eastAsia="Times New Roman" w:cs="Times New Roman"/>
          <w:color w:val="000000"/>
          <w:lang w:eastAsia="ru-RU"/>
        </w:rPr>
        <w:t xml:space="preserve"> настоящей документации, может содержать эскиз, рисунок, чертеж, фотографию, иное изображение товара, на поставку которого заключается договор.</w:t>
      </w:r>
    </w:p>
    <w:p w14:paraId="522902B2">
      <w:pPr>
        <w:numPr>
          <w:ilvl w:val="2"/>
          <w:numId w:val="19"/>
        </w:numPr>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В первой части заявки на участие в аукционе не допускается указание сведений об участнике аукциона, подавшем заявку на участие в таком аукционе, и о его соответствии единым квалификационным требованиям, установленным в аукционной документации (если такие требования установлены в аукционной документации).</w:t>
      </w:r>
    </w:p>
    <w:p w14:paraId="75E09E7E">
      <w:pPr>
        <w:numPr>
          <w:ilvl w:val="2"/>
          <w:numId w:val="19"/>
        </w:numPr>
        <w:spacing w:after="0" w:line="240" w:lineRule="auto"/>
        <w:ind w:left="0" w:firstLine="0"/>
        <w:jc w:val="both"/>
        <w:rPr>
          <w:rFonts w:ascii="Times New Roman" w:hAnsi="Times New Roman" w:eastAsia="Times New Roman" w:cs="Times New Roman"/>
          <w:color w:val="000000"/>
          <w:lang w:eastAsia="ru-RU"/>
        </w:rPr>
      </w:pPr>
      <w:bookmarkStart w:id="42" w:name="_Ref378775048"/>
      <w:r>
        <w:rPr>
          <w:rFonts w:ascii="Times New Roman" w:hAnsi="Times New Roman" w:eastAsia="Times New Roman" w:cs="Times New Roman"/>
          <w:color w:val="000000"/>
          <w:lang w:eastAsia="ru-RU"/>
        </w:rPr>
        <w:t>Вторая часть заявки на участие в аукционе должна содержать следующие документы и сведения:</w:t>
      </w:r>
      <w:bookmarkEnd w:id="42"/>
    </w:p>
    <w:p w14:paraId="02CADD73">
      <w:pPr>
        <w:widowControl w:val="0"/>
        <w:numPr>
          <w:ilvl w:val="3"/>
          <w:numId w:val="19"/>
        </w:num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сведения об участнике аукциона, подавшем заявку: </w:t>
      </w:r>
    </w:p>
    <w:p w14:paraId="588252B0">
      <w:pPr>
        <w:widowControl w:val="0"/>
        <w:spacing w:after="0" w:line="240" w:lineRule="auto"/>
        <w:ind w:firstLine="709"/>
        <w:contextualSpacing/>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ИНН, фирменное наименование (полное наименование), организационно-правовую форму, место нахождения, почтовый адрес (для юридического лица);</w:t>
      </w:r>
    </w:p>
    <w:p w14:paraId="308BCAF2">
      <w:pPr>
        <w:widowControl w:val="0"/>
        <w:spacing w:after="0" w:line="240" w:lineRule="auto"/>
        <w:ind w:firstLine="709"/>
        <w:contextualSpacing/>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фамилию, имя, отчество, паспортные данные, ИНН (при наличии), сведения о месте жительства (для физического лица), номер контактного телефона;</w:t>
      </w:r>
    </w:p>
    <w:p w14:paraId="20F4AF89">
      <w:pPr>
        <w:widowControl w:val="0"/>
        <w:numPr>
          <w:ilvl w:val="3"/>
          <w:numId w:val="19"/>
        </w:numPr>
        <w:tabs>
          <w:tab w:val="left" w:pos="993"/>
        </w:tabs>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копии учредительных документов участника аукциона (для юридических лиц);</w:t>
      </w:r>
    </w:p>
    <w:p w14:paraId="4CF35590">
      <w:pPr>
        <w:widowControl w:val="0"/>
        <w:numPr>
          <w:ilvl w:val="3"/>
          <w:numId w:val="19"/>
        </w:numPr>
        <w:tabs>
          <w:tab w:val="left" w:pos="993"/>
        </w:tabs>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копии документов, удостоверяющих личность (для физических лиц);</w:t>
      </w:r>
    </w:p>
    <w:p w14:paraId="1F95569B">
      <w:pPr>
        <w:widowControl w:val="0"/>
        <w:numPr>
          <w:ilvl w:val="3"/>
          <w:numId w:val="19"/>
        </w:numPr>
        <w:tabs>
          <w:tab w:val="left" w:pos="709"/>
        </w:tabs>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копию выписки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w:t>
      </w:r>
    </w:p>
    <w:p w14:paraId="541EC601">
      <w:pPr>
        <w:widowControl w:val="0"/>
        <w:numPr>
          <w:ilvl w:val="3"/>
          <w:numId w:val="19"/>
        </w:numPr>
        <w:tabs>
          <w:tab w:val="left" w:pos="709"/>
        </w:tabs>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копию надлежащим образом заверенного перевода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w:t>
      </w:r>
    </w:p>
    <w:p w14:paraId="3BBB2679">
      <w:pPr>
        <w:widowControl w:val="0"/>
        <w:numPr>
          <w:ilvl w:val="3"/>
          <w:numId w:val="19"/>
        </w:numPr>
        <w:tabs>
          <w:tab w:val="left" w:pos="851"/>
        </w:tabs>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копию документа, подтверждающего полномочия лица осуществлять действия от имени участника закупок - юридического лица (копию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копию доверенности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w:t>
      </w:r>
    </w:p>
    <w:p w14:paraId="69825926">
      <w:pPr>
        <w:widowControl w:val="0"/>
        <w:numPr>
          <w:ilvl w:val="3"/>
          <w:numId w:val="19"/>
        </w:numPr>
        <w:tabs>
          <w:tab w:val="left" w:pos="851"/>
        </w:tabs>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и (или) учредительными документами юридического лица и если для участника закупки поставки товаров, выполнение работ, оказание услуг, являющихся предметом договора, или внесение денежных средств в качестве обеспечения заявки на участие в аукционе, обеспечения исполнения договора являются крупной сделкой. Предоставление указанного решения не требуется в случае, если начальная (максимальная) цена договора не превышает максимальную сумму сделки, предусмотренную решением об одобрении или о совершении сделок, предоставляемым для аккредитации участника закупки на электронной площадке;</w:t>
      </w:r>
    </w:p>
    <w:p w14:paraId="033E9260">
      <w:pPr>
        <w:widowControl w:val="0"/>
        <w:numPr>
          <w:ilvl w:val="3"/>
          <w:numId w:val="19"/>
        </w:numPr>
        <w:tabs>
          <w:tab w:val="left" w:pos="567"/>
        </w:tabs>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документ, декларирующий соответствие участника закупки требованиям, установленным в аукционной документации;</w:t>
      </w:r>
    </w:p>
    <w:p w14:paraId="24B3861B">
      <w:pPr>
        <w:widowControl w:val="0"/>
        <w:numPr>
          <w:ilvl w:val="3"/>
          <w:numId w:val="19"/>
        </w:numPr>
        <w:tabs>
          <w:tab w:val="left" w:pos="567"/>
        </w:tabs>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копии документов, подтверждающих соответствие участника аукциона требованиям аукционной документации и законодательства РФ к лицам, которые осуществляют поставки товаров, выполнение работ, оказание услуг;</w:t>
      </w:r>
    </w:p>
    <w:p w14:paraId="0ED18443">
      <w:pPr>
        <w:widowControl w:val="0"/>
        <w:numPr>
          <w:ilvl w:val="3"/>
          <w:numId w:val="19"/>
        </w:numPr>
        <w:tabs>
          <w:tab w:val="left" w:pos="851"/>
        </w:tabs>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копии документов, подтверждающих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аукционной документацией. Исключение составляют документы, которые согласно гражданскому законодательству могут быть представлены только вместе с товаром;</w:t>
      </w:r>
    </w:p>
    <w:p w14:paraId="009CCDD5">
      <w:pPr>
        <w:widowControl w:val="0"/>
        <w:numPr>
          <w:ilvl w:val="3"/>
          <w:numId w:val="19"/>
        </w:numPr>
        <w:tabs>
          <w:tab w:val="left" w:pos="993"/>
        </w:tabs>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обязательство участника аукциона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об их представлении установлено в Информационной карте аукционной документации;</w:t>
      </w:r>
    </w:p>
    <w:p w14:paraId="1F81490C">
      <w:pPr>
        <w:widowControl w:val="0"/>
        <w:tabs>
          <w:tab w:val="left" w:pos="709"/>
        </w:tabs>
        <w:spacing w:after="0" w:line="240" w:lineRule="auto"/>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4.1.8. Вторая часть заявки на участие в аукционе может содержать:</w:t>
      </w:r>
    </w:p>
    <w:p w14:paraId="25CE421F">
      <w:pPr>
        <w:widowControl w:val="0"/>
        <w:numPr>
          <w:ilvl w:val="0"/>
          <w:numId w:val="20"/>
        </w:numPr>
        <w:tabs>
          <w:tab w:val="left" w:pos="284"/>
        </w:tabs>
        <w:spacing w:after="0" w:line="240" w:lineRule="auto"/>
        <w:ind w:left="0" w:firstLine="0"/>
        <w:jc w:val="both"/>
        <w:rPr>
          <w:rFonts w:ascii="Times New Roman" w:hAnsi="Times New Roman" w:eastAsia="Times New Roman" w:cs="Times New Roman"/>
          <w:lang w:eastAsia="ru-RU"/>
        </w:rPr>
      </w:pPr>
      <w:r>
        <w:rPr>
          <w:rFonts w:ascii="Times New Roman" w:hAnsi="Times New Roman" w:eastAsia="Times New Roman" w:cs="Times New Roman"/>
          <w:lang w:eastAsia="ru-RU"/>
        </w:rPr>
        <w:t>дополнительные документы и сведения по усмотрению участника;</w:t>
      </w:r>
    </w:p>
    <w:p w14:paraId="1AA76E51">
      <w:pPr>
        <w:widowControl w:val="0"/>
        <w:tabs>
          <w:tab w:val="left" w:pos="993"/>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2) иные документы, подтверждающие соответствие участника закупки и (или) товара, работы, услуги требованиям, установленным в аукционной документации.</w:t>
      </w:r>
    </w:p>
    <w:p w14:paraId="2F070CDE">
      <w:pPr>
        <w:numPr>
          <w:ilvl w:val="1"/>
          <w:numId w:val="19"/>
        </w:numPr>
        <w:spacing w:after="0" w:line="240" w:lineRule="auto"/>
        <w:ind w:left="0" w:firstLine="0"/>
        <w:jc w:val="both"/>
        <w:outlineLvl w:val="2"/>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Подача заявок на участие в аукционе.</w:t>
      </w:r>
    </w:p>
    <w:p w14:paraId="41393DC9">
      <w:pPr>
        <w:spacing w:after="0" w:line="240" w:lineRule="auto"/>
        <w:jc w:val="both"/>
        <w:outlineLvl w:val="2"/>
        <w:rPr>
          <w:rFonts w:ascii="Times New Roman" w:hAnsi="Times New Roman" w:eastAsia="Times New Roman" w:cs="Times New Roman"/>
          <w:lang w:eastAsia="ru-RU"/>
        </w:rPr>
      </w:pPr>
      <w:r>
        <w:rPr>
          <w:rFonts w:ascii="Times New Roman" w:hAnsi="Times New Roman" w:eastAsia="Times New Roman" w:cs="Times New Roman"/>
          <w:lang w:eastAsia="ru-RU"/>
        </w:rPr>
        <w:t>4.2.1. Участник аукциона вправе подать заявку на участие в таком аукционе в любое время с момента размещения извещения о его проведении до предусмотренных настоящей документацией об аукционе даты и времени окончания срока подачи на участие в таком аукционе заявок.</w:t>
      </w:r>
    </w:p>
    <w:p w14:paraId="402AF44C">
      <w:pPr>
        <w:spacing w:after="0" w:line="240" w:lineRule="auto"/>
        <w:jc w:val="both"/>
        <w:outlineLvl w:val="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4.2.2. Заявка на участие в аукционе направляется участником аукциона оператору электронной площадки в форме двух электронных документов, содержащих части заявки, предусмотренные </w:t>
      </w:r>
      <w:r>
        <w:fldChar w:fldCharType="begin"/>
      </w:r>
      <w:r>
        <w:instrText xml:space="preserve"> HYPERLINK "consultantplus://offline/ref=5E27A05F0C9590DCFF9DEACC093E9451316AB097F50191799C2B19FFC640464E9E50563922FE0404M8HAM" </w:instrText>
      </w:r>
      <w:r>
        <w:fldChar w:fldCharType="separate"/>
      </w:r>
      <w:r>
        <w:rPr>
          <w:rFonts w:ascii="Times New Roman" w:hAnsi="Times New Roman" w:eastAsia="Times New Roman" w:cs="Times New Roman"/>
          <w:lang w:eastAsia="ru-RU"/>
        </w:rPr>
        <w:t>пунктами</w:t>
      </w:r>
      <w:r>
        <w:rPr>
          <w:rFonts w:ascii="Times New Roman" w:hAnsi="Times New Roman" w:eastAsia="Times New Roman" w:cs="Times New Roman"/>
          <w:color w:val="0000FF"/>
          <w:lang w:eastAsia="ru-RU"/>
        </w:rPr>
        <w:t xml:space="preserve"> </w:t>
      </w:r>
      <w:r>
        <w:rPr>
          <w:rFonts w:ascii="Times New Roman" w:hAnsi="Times New Roman" w:eastAsia="Times New Roman" w:cs="Times New Roman"/>
          <w:color w:val="0000FF"/>
          <w:lang w:eastAsia="ru-RU"/>
        </w:rPr>
        <w:fldChar w:fldCharType="end"/>
      </w:r>
      <w:r>
        <w:rPr>
          <w:rFonts w:ascii="Times New Roman" w:hAnsi="Times New Roman" w:eastAsia="Times New Roman" w:cs="Times New Roman"/>
          <w:sz w:val="24"/>
          <w:szCs w:val="24"/>
          <w:lang w:eastAsia="ru-RU"/>
        </w:rPr>
        <w:fldChar w:fldCharType="begin"/>
      </w:r>
      <w:r>
        <w:rPr>
          <w:rFonts w:ascii="Times New Roman" w:hAnsi="Times New Roman" w:eastAsia="Times New Roman" w:cs="Times New Roman"/>
          <w:sz w:val="24"/>
          <w:szCs w:val="24"/>
          <w:lang w:eastAsia="ru-RU"/>
        </w:rPr>
        <w:instrText xml:space="preserve"> REF _Ref378770879 \r \h  \* MERGEFORMAT </w:instrText>
      </w:r>
      <w:r>
        <w:rPr>
          <w:rFonts w:ascii="Times New Roman" w:hAnsi="Times New Roman" w:eastAsia="Times New Roman" w:cs="Times New Roman"/>
          <w:sz w:val="24"/>
          <w:szCs w:val="24"/>
          <w:lang w:eastAsia="ru-RU"/>
        </w:rPr>
        <w:fldChar w:fldCharType="separate"/>
      </w:r>
      <w:r>
        <w:rPr>
          <w:rFonts w:ascii="Times New Roman" w:hAnsi="Times New Roman" w:eastAsia="Times New Roman" w:cs="Times New Roman"/>
          <w:lang w:eastAsia="ru-RU"/>
        </w:rPr>
        <w:t>4.1.5</w:t>
      </w:r>
      <w:r>
        <w:rPr>
          <w:rFonts w:ascii="Times New Roman" w:hAnsi="Times New Roman" w:eastAsia="Times New Roman" w:cs="Times New Roman"/>
          <w:sz w:val="24"/>
          <w:szCs w:val="24"/>
          <w:lang w:eastAsia="ru-RU"/>
        </w:rPr>
        <w:fldChar w:fldCharType="end"/>
      </w:r>
      <w:r>
        <w:rPr>
          <w:rFonts w:ascii="Times New Roman" w:hAnsi="Times New Roman" w:eastAsia="Times New Roman" w:cs="Times New Roman"/>
          <w:lang w:eastAsia="ru-RU"/>
        </w:rPr>
        <w:t xml:space="preserve"> и </w:t>
      </w:r>
      <w:r>
        <w:rPr>
          <w:rFonts w:ascii="Times New Roman" w:hAnsi="Times New Roman" w:eastAsia="Times New Roman" w:cs="Times New Roman"/>
          <w:sz w:val="24"/>
          <w:szCs w:val="24"/>
          <w:lang w:eastAsia="ru-RU"/>
        </w:rPr>
        <w:fldChar w:fldCharType="begin"/>
      </w:r>
      <w:r>
        <w:rPr>
          <w:rFonts w:ascii="Times New Roman" w:hAnsi="Times New Roman" w:eastAsia="Times New Roman" w:cs="Times New Roman"/>
          <w:sz w:val="24"/>
          <w:szCs w:val="24"/>
          <w:lang w:eastAsia="ru-RU"/>
        </w:rPr>
        <w:instrText xml:space="preserve"> REF _Ref378775048 \r \h  \* MERGEFORMAT </w:instrText>
      </w:r>
      <w:r>
        <w:rPr>
          <w:rFonts w:ascii="Times New Roman" w:hAnsi="Times New Roman" w:eastAsia="Times New Roman" w:cs="Times New Roman"/>
          <w:sz w:val="24"/>
          <w:szCs w:val="24"/>
          <w:lang w:eastAsia="ru-RU"/>
        </w:rPr>
        <w:fldChar w:fldCharType="separate"/>
      </w:r>
      <w:r>
        <w:rPr>
          <w:rFonts w:ascii="Times New Roman" w:hAnsi="Times New Roman" w:eastAsia="Times New Roman" w:cs="Times New Roman"/>
          <w:lang w:eastAsia="ru-RU"/>
        </w:rPr>
        <w:t>4.1.7</w:t>
      </w:r>
      <w:r>
        <w:rPr>
          <w:rFonts w:ascii="Times New Roman" w:hAnsi="Times New Roman" w:eastAsia="Times New Roman" w:cs="Times New Roman"/>
          <w:sz w:val="24"/>
          <w:szCs w:val="24"/>
          <w:lang w:eastAsia="ru-RU"/>
        </w:rPr>
        <w:fldChar w:fldCharType="end"/>
      </w:r>
      <w:r>
        <w:rPr>
          <w:rFonts w:ascii="Times New Roman" w:hAnsi="Times New Roman" w:eastAsia="Times New Roman" w:cs="Times New Roman"/>
          <w:lang w:eastAsia="ru-RU"/>
        </w:rPr>
        <w:t xml:space="preserve"> настоящей документации об аукционе. Указанные электронные документы подаются одновременно.</w:t>
      </w:r>
      <w:bookmarkStart w:id="43" w:name="_Ref530866902"/>
    </w:p>
    <w:p w14:paraId="5B5A9996">
      <w:pPr>
        <w:spacing w:after="0" w:line="240" w:lineRule="auto"/>
        <w:jc w:val="both"/>
        <w:outlineLvl w:val="2"/>
        <w:rPr>
          <w:rFonts w:ascii="Times New Roman" w:hAnsi="Times New Roman" w:eastAsia="Times New Roman" w:cs="Times New Roman"/>
          <w:lang w:eastAsia="ru-RU"/>
        </w:rPr>
      </w:pPr>
      <w:r>
        <w:rPr>
          <w:rFonts w:ascii="Times New Roman" w:hAnsi="Times New Roman" w:eastAsia="Times New Roman" w:cs="Times New Roman"/>
          <w:lang w:eastAsia="ru-RU"/>
        </w:rPr>
        <w:t>4.2.3. Участник аукциона вправе подать только одну заявку на участие в аукционе. В случае подачи заявок на участие в аукционе в отношении нескольких лотов, участник аукциона подает отдельные заявки в отношении каждого лота</w:t>
      </w:r>
      <w:bookmarkEnd w:id="43"/>
      <w:r>
        <w:rPr>
          <w:rFonts w:ascii="Times New Roman" w:hAnsi="Times New Roman" w:eastAsia="Times New Roman" w:cs="Times New Roman"/>
          <w:lang w:eastAsia="ru-RU"/>
        </w:rPr>
        <w:t>.</w:t>
      </w:r>
    </w:p>
    <w:p w14:paraId="0273BFE6">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4.2.4. Участник аукциона подает заявку в соответствии с порядком, предусмотренным регламентом оператора электронной площадки</w:t>
      </w:r>
      <w:r>
        <w:rPr>
          <w:rFonts w:ascii="Times New Roman" w:hAnsi="Times New Roman" w:eastAsia="Times New Roman" w:cs="Times New Roman"/>
          <w:color w:val="000000"/>
          <w:lang w:eastAsia="ru-RU"/>
        </w:rPr>
        <w:t>.</w:t>
      </w:r>
    </w:p>
    <w:p w14:paraId="2F8C1A66">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4.2.5. Документы и сведения, направляемые в форме электронных документов участником аукциона на электронную площадку, должны быть подписаны электронной цифровой подписью лица, имеющего право действовать от имени такого участника аукциона.</w:t>
      </w:r>
    </w:p>
    <w:p w14:paraId="66C00652">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4.2.6. Участник аукциона, подавший заявку на участие в таком аукционе, вправе отозвать данную заявку не позднее даты окончания срока подачи заявок на участие в таком аукционе, направив об этом уведомление оператору электронной площадки.</w:t>
      </w:r>
    </w:p>
    <w:p w14:paraId="091C6961">
      <w:pPr>
        <w:numPr>
          <w:ilvl w:val="1"/>
          <w:numId w:val="19"/>
        </w:numPr>
        <w:autoSpaceDE w:val="0"/>
        <w:autoSpaceDN w:val="0"/>
        <w:adjustRightInd w:val="0"/>
        <w:spacing w:after="0" w:line="240" w:lineRule="auto"/>
        <w:ind w:left="0" w:firstLine="0"/>
        <w:jc w:val="both"/>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 Порядок заполнения сведения о функциональных, технических и качественных, эксплуатационных характеристиках объекта закупки для представления в первой части заявки на участие в электронном аукционе.</w:t>
      </w:r>
    </w:p>
    <w:p w14:paraId="086F6178">
      <w:pPr>
        <w:tabs>
          <w:tab w:val="left" w:pos="1134"/>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4.3.1. Участник аукциона при установлении конкретных показателей, соответствующих значениям, установленным документацией об аукционе в электронной форме, предлагаемого к поставке товара, обязан руководствоваться следующими положениями: </w:t>
      </w:r>
    </w:p>
    <w:p w14:paraId="42BEE39E">
      <w:pPr>
        <w:tabs>
          <w:tab w:val="left" w:pos="1134"/>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при указании заказчиком в значениях показателей товаров определения «должен» - участник  аукциона обязан указать (любым определением) о соответствии данного показателя предлагаемого товара; </w:t>
      </w:r>
    </w:p>
    <w:p w14:paraId="0B33B553">
      <w:pPr>
        <w:tabs>
          <w:tab w:val="left" w:pos="1134"/>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при указании заказчиком показателей через «или», участник должен указать на конкретное значение выбрав один из показателей;</w:t>
      </w:r>
    </w:p>
    <w:p w14:paraId="4CDB5C97">
      <w:pPr>
        <w:tabs>
          <w:tab w:val="left" w:pos="1134"/>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при указании (перечислении) заказчиком показателей через запятую или союз «и», участник должен указать все перечисленные показатели;</w:t>
      </w:r>
    </w:p>
    <w:p w14:paraId="30684037">
      <w:pPr>
        <w:tabs>
          <w:tab w:val="left" w:pos="1134"/>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указание показателей со значениями «более, менее, выше, ниже» означает, что конкретное значение должно быть указано дискретно (без слов «более, менее, выше, ниже») и должно исключать установленное значение. Дискретное значение при этом устанавливается в сторону, соответственно, уменьшения либо увеличения значения показателя;</w:t>
      </w:r>
    </w:p>
    <w:p w14:paraId="4FED42BD">
      <w:pPr>
        <w:tabs>
          <w:tab w:val="left" w:pos="1134"/>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при установлении показателей со словом «диапазон», участник обязан указать соответствующий диапазон показателей, включая установленные;</w:t>
      </w:r>
    </w:p>
    <w:p w14:paraId="48ECDC40">
      <w:pPr>
        <w:tabs>
          <w:tab w:val="left" w:pos="1134"/>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указание показателей со словами «не менее, не более, не хуже, не ниже, не выше» означает, что показатели товара могут быть идентичны значениям, установленным заказчиком, значение данного показателя должно быть указано дискретно (без слов «не менее, не более, не хуже, не ниже, не выше»). Дискретное значение при этом устанавливается в сторону, соответственно, уменьшения либо увеличения значения показателя;</w:t>
      </w:r>
    </w:p>
    <w:p w14:paraId="47DE78F1">
      <w:pPr>
        <w:tabs>
          <w:tab w:val="left" w:pos="1134"/>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указание показателей с сочетанием слов «более, менее, не более, не менее, не ниже, не выше, выше, ниже» с союзом «и» означает, что показатели товара могут быть идентичны значениям, установленным заказчиком, значение данного показателя должно быть указано дискретно (без слов «не менее, не более, не хуже»). Дискретное значение при этом устанавливается в сторону, соответственно, уменьшения либо увеличения значения показателя;</w:t>
      </w:r>
    </w:p>
    <w:p w14:paraId="1B682595">
      <w:pPr>
        <w:tabs>
          <w:tab w:val="left" w:pos="1134"/>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указание показателей с сочетанием слов «более, менее, не более, не менее, не ниже, не выше, выше, ниже» с союзом «и» означает, что показатели товара могут быть идентичны значениям, установленным заказчиком, либо исключать их в соответствии с положением настоящего раздела документации об электронном аукционе, при этом значение данного показателя должно быть указано дискретно (без слов «более, менее, не более, не менее, не ниже, не выше, выше, ниже» и союза «и»). Дискретное значение при этом устанавливается в диапазоне указанных показателей, включая либо исключая соответственно установленные;</w:t>
      </w:r>
    </w:p>
    <w:p w14:paraId="54914B84">
      <w:pPr>
        <w:tabs>
          <w:tab w:val="left" w:pos="1134"/>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указание показателей со словами «могут быть» означает, что участник аукциона может установить свои значения показателей;</w:t>
      </w:r>
    </w:p>
    <w:p w14:paraId="28164CAB">
      <w:pPr>
        <w:tabs>
          <w:tab w:val="left" w:pos="1134"/>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значения, указанные после слов «от», «до», «выше» являются неизменными, слова «минимальный» и «максимальный» являются неизменными значениями.</w:t>
      </w:r>
    </w:p>
    <w:p w14:paraId="1DE10D9D">
      <w:pPr>
        <w:tabs>
          <w:tab w:val="left" w:pos="1134"/>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4.3.2. При заполнении заявки участник должен указывать существующие показатели, соответствующие требованиям действующих нормативов на данный товар (ТУ, национальный стандарт, международный стандарт).</w:t>
      </w:r>
    </w:p>
    <w:p w14:paraId="5413BA31">
      <w:pPr>
        <w:tabs>
          <w:tab w:val="left" w:pos="1134"/>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4.3.3. В случае если в настоящей документации об аукционе имеется указание на товарный знак словами «или эквивалент», то эквивалентность товара определяется заказчиком на основании сравнения характеристик товара, указанных участником закупки в первой части заявки на участие в аукционе с характеристиками товара, заявленного заказчиком в настоящей документации об аукционе;</w:t>
      </w:r>
    </w:p>
    <w:p w14:paraId="19BB9F06">
      <w:pPr>
        <w:tabs>
          <w:tab w:val="left" w:pos="1134"/>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4.3.4. Предоставляемые участником закупки сведения о конкретных показателях товара, требования к которым установлены в документации об электронном аукционе, не должны сопровождаться словами «эквивалент», «аналог», «не более», «не менее», «не хуже», «более», «менее», «выше», «ниже» (и их символами) и допускать разночтение или двоякое толкование;</w:t>
      </w:r>
    </w:p>
    <w:p w14:paraId="36F50B2C">
      <w:pPr>
        <w:tabs>
          <w:tab w:val="left" w:pos="1134"/>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4.3.5. При подаче участником закупки заявки на участие в аукционе, к сведениям, указанным в ней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настоящей документации об аукционе.</w:t>
      </w:r>
    </w:p>
    <w:p w14:paraId="07F5BB3A">
      <w:pPr>
        <w:numPr>
          <w:ilvl w:val="0"/>
          <w:numId w:val="19"/>
        </w:numPr>
        <w:spacing w:after="0" w:line="240" w:lineRule="auto"/>
        <w:ind w:left="357" w:hanging="357"/>
        <w:jc w:val="both"/>
        <w:outlineLvl w:val="1"/>
        <w:rPr>
          <w:rFonts w:ascii="Times New Roman" w:hAnsi="Times New Roman" w:eastAsia="Times New Roman" w:cs="Times New Roman"/>
          <w:b/>
          <w:bCs/>
          <w:caps/>
          <w:lang w:eastAsia="ru-RU"/>
        </w:rPr>
      </w:pPr>
      <w:bookmarkStart w:id="44" w:name="_Toc432073119"/>
      <w:bookmarkStart w:id="45" w:name="_Toc1576663"/>
      <w:r>
        <w:rPr>
          <w:rFonts w:ascii="Times New Roman" w:hAnsi="Times New Roman" w:eastAsia="Times New Roman" w:cs="Times New Roman"/>
          <w:b/>
          <w:bCs/>
          <w:caps/>
          <w:lang w:eastAsia="ru-RU"/>
        </w:rPr>
        <w:t>Раздел V. Рассмотрение заявок и проведение аукциона.</w:t>
      </w:r>
      <w:bookmarkEnd w:id="44"/>
      <w:bookmarkEnd w:id="45"/>
    </w:p>
    <w:p w14:paraId="258DE89B">
      <w:pPr>
        <w:numPr>
          <w:ilvl w:val="1"/>
          <w:numId w:val="19"/>
        </w:numPr>
        <w:spacing w:after="0" w:line="240" w:lineRule="auto"/>
        <w:ind w:left="0" w:firstLine="0"/>
        <w:jc w:val="both"/>
        <w:outlineLvl w:val="2"/>
        <w:rPr>
          <w:rFonts w:ascii="Times New Roman" w:hAnsi="Times New Roman" w:eastAsia="Times New Roman" w:cs="Times New Roman"/>
          <w:b/>
          <w:bCs/>
          <w:lang w:eastAsia="ru-RU"/>
        </w:rPr>
      </w:pPr>
      <w:r>
        <w:rPr>
          <w:rFonts w:ascii="Times New Roman" w:hAnsi="Times New Roman" w:eastAsia="Times New Roman" w:cs="Times New Roman"/>
          <w:b/>
          <w:bCs/>
          <w:lang w:eastAsia="ru-RU"/>
        </w:rPr>
        <w:t>Рассмотрение первых частей заявок участников размещение заказа.</w:t>
      </w:r>
    </w:p>
    <w:p w14:paraId="08EC2542">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5.1.2. Комиссия по закупкам  проверяет первые части заявок на участие в аукционе на соответствие требованиям, установленным аукционной документацией в отношении товаров, работ, услуг, на поставку, выполнение, оказание которых осуществляется закупка. Срок рассмотрения первых частей заявок на участие в аукционе не может превышать семь дней со дня окончания срока подачи заявок на участие в аукционе.</w:t>
      </w:r>
    </w:p>
    <w:p w14:paraId="6F176052">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5.1.3. По результатам рассмотрения первых частей заявок на участие в аукционе, содержащих информацию, предусмотренную пунктом </w:t>
      </w:r>
      <w:r>
        <w:rPr>
          <w:rFonts w:ascii="Times New Roman" w:hAnsi="Times New Roman" w:eastAsia="Times New Roman" w:cs="Times New Roman"/>
          <w:sz w:val="24"/>
          <w:szCs w:val="24"/>
          <w:lang w:eastAsia="ru-RU"/>
        </w:rPr>
        <w:fldChar w:fldCharType="begin"/>
      </w:r>
      <w:r>
        <w:rPr>
          <w:rFonts w:ascii="Times New Roman" w:hAnsi="Times New Roman" w:eastAsia="Times New Roman" w:cs="Times New Roman"/>
          <w:sz w:val="24"/>
          <w:szCs w:val="24"/>
          <w:lang w:eastAsia="ru-RU"/>
        </w:rPr>
        <w:instrText xml:space="preserve"> REF _Ref378770879 \r \h  \* MERGEFORMAT </w:instrText>
      </w:r>
      <w:r>
        <w:rPr>
          <w:rFonts w:ascii="Times New Roman" w:hAnsi="Times New Roman" w:eastAsia="Times New Roman" w:cs="Times New Roman"/>
          <w:sz w:val="24"/>
          <w:szCs w:val="24"/>
          <w:lang w:eastAsia="ru-RU"/>
        </w:rPr>
        <w:fldChar w:fldCharType="separate"/>
      </w:r>
      <w:r>
        <w:rPr>
          <w:rFonts w:ascii="Times New Roman" w:hAnsi="Times New Roman" w:eastAsia="Times New Roman" w:cs="Times New Roman"/>
          <w:lang w:eastAsia="ru-RU"/>
        </w:rPr>
        <w:t>4.1.5</w:t>
      </w:r>
      <w:r>
        <w:rPr>
          <w:rFonts w:ascii="Times New Roman" w:hAnsi="Times New Roman" w:eastAsia="Times New Roman" w:cs="Times New Roman"/>
          <w:sz w:val="24"/>
          <w:szCs w:val="24"/>
          <w:lang w:eastAsia="ru-RU"/>
        </w:rPr>
        <w:fldChar w:fldCharType="end"/>
      </w:r>
      <w:r>
        <w:rPr>
          <w:rFonts w:ascii="Times New Roman" w:hAnsi="Times New Roman" w:eastAsia="Times New Roman" w:cs="Times New Roman"/>
          <w:lang w:eastAsia="ru-RU"/>
        </w:rPr>
        <w:t xml:space="preserve"> настоящей документации об аукционе, комиссия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подпунктами 2, 3, 4 пункта 12.1 Положения.</w:t>
      </w:r>
    </w:p>
    <w:p w14:paraId="61A61D3E">
      <w:pPr>
        <w:tabs>
          <w:tab w:val="left" w:pos="851"/>
          <w:tab w:val="left" w:pos="90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5.1.4. По результатам рассмотрения первых частей заявок на участие в аукционе комиссия оформляет протокол рассмотрения первых частей заявок на участие в таком аукционе, подписываемый всеми присутствующими на заседании комиссии ее членами не позднее даты окончания срока рассмотрения данных заявок.</w:t>
      </w:r>
    </w:p>
    <w:p w14:paraId="69152A63">
      <w:pPr>
        <w:numPr>
          <w:ilvl w:val="1"/>
          <w:numId w:val="19"/>
        </w:numPr>
        <w:spacing w:after="0" w:line="240" w:lineRule="auto"/>
        <w:ind w:left="426" w:hanging="425"/>
        <w:jc w:val="both"/>
        <w:outlineLvl w:val="2"/>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Проведение аукциона.</w:t>
      </w:r>
    </w:p>
    <w:p w14:paraId="1539B307">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5.2.1. В аукционе могут участвовать только те участники закупки, которые допущены к участию в данной процедуре.</w:t>
      </w:r>
    </w:p>
    <w:p w14:paraId="218BB76C">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5.2.2. Аукцион проводится на электронной площадке в день и время, указанные в извещении о проведении аукциона и аукционной документации</w:t>
      </w:r>
    </w:p>
    <w:p w14:paraId="1B2C5F10">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5.2.3. Днем проведения аукциона является рабочий день, следующий после истечения двух дней со дня окончания срока рассмотрения первых частей заявок на участие в аукционе.</w:t>
      </w:r>
    </w:p>
    <w:p w14:paraId="42D0DFE4">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5.2.4. В случае если в аукционной документации указаны общая начальная (максимальная) цена запасных частей к технике, к оборудованию и начальная (максимальная) цена единицы услуги и (или) работы по техническому обслуживанию и (или) ремонту техники, оборудования (при закупке работ на выполнение технического обслуживания и (или) ремонта техники, оборудования), начальная (максимальная) цена единицы услуги (при закупки услуг связи, юридических услуг), аукцион проводится путем снижения общей начальной (максимальной) цены запасных частей к технике, к оборудованию и начальной (максимальной) цены единицы услуги и (или) работы по техническому обслуживанию и (или) ремонту техники, оборудования, начальной (максимальной) цены единицы услуги, указанных в аукционной документации.</w:t>
      </w:r>
    </w:p>
    <w:p w14:paraId="5B468049">
      <w:pPr>
        <w:spacing w:after="0" w:line="240" w:lineRule="auto"/>
        <w:jc w:val="both"/>
        <w:rPr>
          <w:rFonts w:ascii="Times New Roman" w:hAnsi="Times New Roman" w:eastAsia="Times New Roman" w:cs="Times New Roman"/>
          <w:lang w:eastAsia="ru-RU"/>
        </w:rPr>
      </w:pPr>
      <w:bookmarkStart w:id="46" w:name="_Toc375054757"/>
      <w:r>
        <w:rPr>
          <w:rFonts w:ascii="Times New Roman" w:hAnsi="Times New Roman" w:eastAsia="Times New Roman" w:cs="Times New Roman"/>
          <w:lang w:eastAsia="ru-RU"/>
        </w:rPr>
        <w:t>5.2.5. При проведении аукциона участники аукциона подают предложения о цене договора с учетом следующих требований:</w:t>
      </w:r>
    </w:p>
    <w:p w14:paraId="7A7E5428">
      <w:pPr>
        <w:autoSpaceDE w:val="0"/>
        <w:autoSpaceDN w:val="0"/>
        <w:adjustRightInd w:val="0"/>
        <w:spacing w:after="0" w:line="240" w:lineRule="auto"/>
        <w:ind w:firstLine="11"/>
        <w:jc w:val="both"/>
        <w:outlineLvl w:val="1"/>
        <w:rPr>
          <w:rFonts w:ascii="Times New Roman" w:hAnsi="Times New Roman" w:eastAsia="Times New Roman" w:cs="Times New Roman"/>
          <w:lang w:eastAsia="ru-RU"/>
        </w:rPr>
      </w:pPr>
      <w:bookmarkStart w:id="47" w:name="_Toc375054758"/>
      <w:bookmarkStart w:id="48" w:name="_Toc1576664"/>
      <w:bookmarkStart w:id="49" w:name="_Toc432073120"/>
      <w:bookmarkStart w:id="50" w:name="_Toc483491571"/>
      <w:bookmarkStart w:id="51" w:name="_Toc381286707"/>
      <w:r>
        <w:rPr>
          <w:rFonts w:ascii="Times New Roman" w:hAnsi="Times New Roman" w:eastAsia="Times New Roman" w:cs="Times New Roman"/>
          <w:lang w:eastAsia="ru-RU"/>
        </w:rPr>
        <w:t>1) участник аукциона не вправе подавать предложение о цене договора, равное предложению или большее чем предложение о цене договора, которые поданы таким участником аукциона ранее, а также предложение о цене договора, равное нулю;</w:t>
      </w:r>
      <w:bookmarkEnd w:id="47"/>
      <w:bookmarkEnd w:id="48"/>
      <w:bookmarkEnd w:id="49"/>
      <w:bookmarkEnd w:id="50"/>
      <w:bookmarkEnd w:id="51"/>
    </w:p>
    <w:p w14:paraId="4642746A">
      <w:pPr>
        <w:autoSpaceDE w:val="0"/>
        <w:autoSpaceDN w:val="0"/>
        <w:adjustRightInd w:val="0"/>
        <w:spacing w:after="0" w:line="240" w:lineRule="auto"/>
        <w:ind w:firstLine="11"/>
        <w:jc w:val="both"/>
        <w:outlineLvl w:val="1"/>
        <w:rPr>
          <w:rFonts w:ascii="Times New Roman" w:hAnsi="Times New Roman" w:eastAsia="Times New Roman" w:cs="Times New Roman"/>
          <w:lang w:eastAsia="ru-RU"/>
        </w:rPr>
      </w:pPr>
      <w:bookmarkStart w:id="52" w:name="_Toc375054759"/>
      <w:bookmarkStart w:id="53" w:name="_Toc483491572"/>
      <w:bookmarkStart w:id="54" w:name="_Toc1576665"/>
      <w:bookmarkStart w:id="55" w:name="_Toc432073121"/>
      <w:bookmarkStart w:id="56" w:name="_Toc381286708"/>
      <w:r>
        <w:rPr>
          <w:rFonts w:ascii="Times New Roman" w:hAnsi="Times New Roman" w:eastAsia="Times New Roman" w:cs="Times New Roman"/>
          <w:lang w:eastAsia="ru-RU"/>
        </w:rPr>
        <w:t>2) участник аукциона не вправе подавать предложение о цене договора ниже, чем текущее минимальное предложение о цене договора, сниженное в пределах "шага аукциона";</w:t>
      </w:r>
      <w:bookmarkEnd w:id="52"/>
      <w:bookmarkEnd w:id="53"/>
      <w:bookmarkEnd w:id="54"/>
      <w:bookmarkEnd w:id="55"/>
      <w:bookmarkEnd w:id="56"/>
    </w:p>
    <w:p w14:paraId="44D91F8F">
      <w:pPr>
        <w:tabs>
          <w:tab w:val="left" w:pos="851"/>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3) участник аукциона не вправе подавать предложение о цене договора ниже, чем текущее минимальное предложение о цене договора в случае, если такое предложение о цене договора подано этим же участником аукциона.</w:t>
      </w:r>
    </w:p>
    <w:bookmarkEnd w:id="46"/>
    <w:p w14:paraId="440E8D39">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5.2.6.Шаг аукциона составляет от 0,5% до 5% начальной (максимальной) цены договора.</w:t>
      </w:r>
      <w:bookmarkStart w:id="57" w:name="_Ref530867475"/>
    </w:p>
    <w:p w14:paraId="52715C51">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5.2.7. В случае если в течение десяти минут после начала проведения аукциона ни один из участников аукциона не подал предложение о цене договора, аукцион признается несостоявшимся. Оператор электронной площадки размещает на электронной площадке протокол о признании аукциона несостоявшимся и направляет его Заказчику.</w:t>
      </w:r>
    </w:p>
    <w:bookmarkEnd w:id="57"/>
    <w:p w14:paraId="7E9B3BF1">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5.2.8. Протокол проведения аукциона размещается на электронной площадке ее оператором в соответствии с регламентом электронной площадки.</w:t>
      </w:r>
    </w:p>
    <w:p w14:paraId="65B08EC9">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5.2.9. Победителем аукциона признается участник закупки, предложивший наиболее низкую цену договора или, если в ходе аукциона цена договора снижена до нуля и аукцион проводится на право заключить договор, наиболее высокую цену права на заключение договора.</w:t>
      </w:r>
    </w:p>
    <w:p w14:paraId="791BFC3A">
      <w:pPr>
        <w:numPr>
          <w:ilvl w:val="1"/>
          <w:numId w:val="19"/>
        </w:numPr>
        <w:spacing w:after="0" w:line="240" w:lineRule="auto"/>
        <w:ind w:left="0" w:firstLine="0"/>
        <w:jc w:val="both"/>
        <w:outlineLvl w:val="2"/>
        <w:rPr>
          <w:rFonts w:ascii="Times New Roman" w:hAnsi="Times New Roman" w:eastAsia="Times New Roman" w:cs="Times New Roman"/>
          <w:b/>
          <w:bCs/>
          <w:lang w:eastAsia="ru-RU"/>
        </w:rPr>
      </w:pPr>
      <w:r>
        <w:rPr>
          <w:rFonts w:ascii="Times New Roman" w:hAnsi="Times New Roman" w:eastAsia="Times New Roman" w:cs="Times New Roman"/>
          <w:b/>
          <w:bCs/>
          <w:lang w:eastAsia="ru-RU"/>
        </w:rPr>
        <w:t>Рассмотрение вторых частей заявок на участие в аукционе.</w:t>
      </w:r>
    </w:p>
    <w:p w14:paraId="4F6AAB45">
      <w:pPr>
        <w:widowControl w:val="0"/>
        <w:tabs>
          <w:tab w:val="left" w:pos="1560"/>
        </w:tabs>
        <w:spacing w:after="0" w:line="240" w:lineRule="auto"/>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5.3.1. Комиссия по закупкам рассматривает вторые части заявок на участие в аукционе участников аукциона на соответствие их требованиям, установленным извещением о проведении аукциона и аукционной документацией, в порядке и по основаниям, которые предусмотрены Положением. Срок рассмотрения вторых частей заявок на участие в аукционе не может превышать три рабочих дня с даты направления оператором электронной площадки Заказчику вторых частей заявок на участие в таком аукционе. </w:t>
      </w:r>
    </w:p>
    <w:p w14:paraId="7F9BAF52">
      <w:pPr>
        <w:widowControl w:val="0"/>
        <w:tabs>
          <w:tab w:val="left" w:pos="1560"/>
        </w:tabs>
        <w:spacing w:after="0" w:line="240" w:lineRule="auto"/>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5.3.2. Заявка на участие в аукционе признается не соответствующей требованиям, установленным извещением о проведении аукциона и аукционной документации в порядке и по основаниям, которые предусмотрены пунктом 12.1 Положения.</w:t>
      </w:r>
      <w:bookmarkStart w:id="58" w:name="_Ref244599842"/>
    </w:p>
    <w:p w14:paraId="54E50D06">
      <w:pPr>
        <w:widowControl w:val="0"/>
        <w:tabs>
          <w:tab w:val="left" w:pos="1560"/>
        </w:tabs>
        <w:spacing w:after="0" w:line="240" w:lineRule="auto"/>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5.3.3. В рамках определения победителя аукциона комиссия по закупкам проверяет сведения об участнике аукциона, предложившим наиболее низкую (либо наиболее высокую, если проводится аукцион на право заключить договор в соответствии с пунктом 5.2.9 аукционной документации) цену договора, на соответствие извещению о проведении аукциона и аукционной документации</w:t>
      </w:r>
      <w:bookmarkEnd w:id="58"/>
      <w:r>
        <w:rPr>
          <w:rFonts w:ascii="Times New Roman" w:hAnsi="Times New Roman" w:eastAsia="Times New Roman" w:cs="Times New Roman"/>
          <w:lang w:eastAsia="ru-RU"/>
        </w:rPr>
        <w:t xml:space="preserve">. </w:t>
      </w:r>
    </w:p>
    <w:p w14:paraId="7AC2F6D7">
      <w:pPr>
        <w:widowControl w:val="0"/>
        <w:tabs>
          <w:tab w:val="left" w:pos="1560"/>
        </w:tabs>
        <w:spacing w:after="0" w:line="240" w:lineRule="auto"/>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5.3.4. По итогам рассмотрения вторых частей заявок на участие в аукционе комиссией оформляется протокол подведения итогов аукциона, который подписывается всеми присутствующими на заседании членами комиссии в день подведения итогов, указанный в извещении о проведении аукциона и аукционной документации. </w:t>
      </w:r>
      <w:bookmarkStart w:id="59" w:name="_Toc375054760"/>
      <w:bookmarkStart w:id="60" w:name="_Toc382914432"/>
      <w:bookmarkStart w:id="61" w:name="_Toc382915838"/>
    </w:p>
    <w:p w14:paraId="04DE94B0">
      <w:pPr>
        <w:widowControl w:val="0"/>
        <w:tabs>
          <w:tab w:val="left" w:pos="1560"/>
        </w:tabs>
        <w:spacing w:after="0" w:line="240" w:lineRule="auto"/>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5.3.5. Протокол подведения итогов аукциона должен содержать информацию в соответствии с пунктом 10.5 Положения. Указанный протокол размещается в ЕИС не позднее чем через три дня со дня подписания.</w:t>
      </w:r>
      <w:bookmarkEnd w:id="59"/>
      <w:bookmarkEnd w:id="60"/>
      <w:bookmarkEnd w:id="61"/>
      <w:bookmarkStart w:id="62" w:name="_Toc382914433"/>
      <w:bookmarkStart w:id="63" w:name="_Toc382915839"/>
      <w:bookmarkStart w:id="64" w:name="_Toc375054761"/>
    </w:p>
    <w:p w14:paraId="76437AC0">
      <w:pPr>
        <w:widowControl w:val="0"/>
        <w:tabs>
          <w:tab w:val="left" w:pos="1560"/>
        </w:tabs>
        <w:spacing w:after="0" w:line="240" w:lineRule="auto"/>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5.3.6. Участник аукциона, который предложил наиболее низкую (либо наиболее высокую, если проводится аукцион на право заключить договор в соответствии с пунктом 5.2.9  аукционной документации) цену договора и заявка на участие в аукционе, которого соответствует требованиям извещения о проведении аукциона и аукционной документации, признается победителем аукциона.</w:t>
      </w:r>
      <w:bookmarkEnd w:id="62"/>
      <w:bookmarkEnd w:id="63"/>
      <w:bookmarkEnd w:id="64"/>
    </w:p>
    <w:p w14:paraId="10817BB6">
      <w:pPr>
        <w:numPr>
          <w:ilvl w:val="0"/>
          <w:numId w:val="19"/>
        </w:numPr>
        <w:spacing w:after="0" w:line="240" w:lineRule="auto"/>
        <w:ind w:left="357" w:hanging="357"/>
        <w:jc w:val="both"/>
        <w:outlineLvl w:val="1"/>
        <w:rPr>
          <w:rFonts w:ascii="Times New Roman" w:hAnsi="Times New Roman" w:eastAsia="Times New Roman" w:cs="Times New Roman"/>
          <w:b/>
          <w:bCs/>
          <w:caps/>
          <w:lang w:eastAsia="ru-RU"/>
        </w:rPr>
      </w:pPr>
      <w:bookmarkStart w:id="65" w:name="_Toc1576666"/>
      <w:bookmarkStart w:id="66" w:name="_Toc432073122"/>
      <w:r>
        <w:rPr>
          <w:rFonts w:ascii="Times New Roman" w:hAnsi="Times New Roman" w:eastAsia="Times New Roman" w:cs="Times New Roman"/>
          <w:b/>
          <w:bCs/>
          <w:caps/>
          <w:lang w:eastAsia="ru-RU"/>
        </w:rPr>
        <w:t>Раздел VI. заключение договора.</w:t>
      </w:r>
      <w:bookmarkEnd w:id="65"/>
      <w:bookmarkEnd w:id="66"/>
    </w:p>
    <w:p w14:paraId="01D1BCB2">
      <w:pPr>
        <w:numPr>
          <w:ilvl w:val="1"/>
          <w:numId w:val="19"/>
        </w:numPr>
        <w:spacing w:after="0" w:line="240" w:lineRule="auto"/>
        <w:ind w:left="0" w:firstLine="0"/>
        <w:jc w:val="both"/>
        <w:outlineLvl w:val="2"/>
        <w:rPr>
          <w:rFonts w:ascii="Times New Roman" w:hAnsi="Times New Roman" w:eastAsia="Times New Roman" w:cs="Times New Roman"/>
          <w:b/>
          <w:bCs/>
          <w:lang w:eastAsia="ru-RU"/>
        </w:rPr>
      </w:pPr>
      <w:bookmarkStart w:id="67" w:name="_Ref379300989"/>
      <w:r>
        <w:rPr>
          <w:rFonts w:ascii="Times New Roman" w:hAnsi="Times New Roman" w:eastAsia="Times New Roman" w:cs="Times New Roman"/>
          <w:b/>
          <w:bCs/>
          <w:lang w:eastAsia="ru-RU"/>
        </w:rPr>
        <w:t>Условия и порядок заключения договора по итогам проведения аукциона.</w:t>
      </w:r>
      <w:bookmarkEnd w:id="67"/>
    </w:p>
    <w:p w14:paraId="620394C9">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6.1.1. При заключении договора между Заказчиком и участником аукциона, обязанным заключить договор, могут проводиться преддоговорные переговоры (в том числе путем составления протоколов разногласий), направленные на уточнение мелких и несущественных деталей договора. Преддоговорные переговоры должны входить в сроки заключения договоров. В случае если Заказчиком в документации об  аукционе были предусмотрены начальные единичные расценки по отдельным товарам (работам, услугам), их этапам, группам и т.п., Заказчик включает соответствующие расценки в текст договора (в смету, спецификацию, иное приложение) с сохранением пропорционального соотношения этих расценок путем применения к начальным единичным расценкам понижающего коэффициента. Понижающий коэффициент рассчитывается путем деления цены, предложенной в ходе процедуры закупки участником закупки, обязанным заключить договор, на начальную цену договора. Заказчик и поставщик вправе согласовать единичные расценки и определить их иным способом.</w:t>
      </w:r>
    </w:p>
    <w:p w14:paraId="6A43D126">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6.1.2. По результатам аукциона договор заключается с победителем аукциона, а в случаях, предусмотренных настоящим разделом документации, с иным участником такого аукциона, заявка которого на участие в аукционе признана соответствующей требованиям, установленным настоящей документацией об аукционе.</w:t>
      </w:r>
    </w:p>
    <w:p w14:paraId="2F049D06">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6.1.3. </w:t>
      </w:r>
      <w:r>
        <w:rPr>
          <w:rFonts w:ascii="Times New Roman" w:hAnsi="Times New Roman" w:eastAsia="Times New Roman" w:cs="Times New Roman"/>
          <w:color w:val="000000"/>
          <w:lang w:eastAsia="ru-RU"/>
        </w:rPr>
        <w:t xml:space="preserve">В течение пяти дней с даты размещения </w:t>
      </w:r>
      <w:r>
        <w:rPr>
          <w:rFonts w:ascii="Times New Roman" w:hAnsi="Times New Roman" w:eastAsia="Times New Roman" w:cs="Times New Roman"/>
          <w:lang w:eastAsia="ru-RU"/>
        </w:rPr>
        <w:t>в единой информационной системе</w:t>
      </w:r>
      <w:r>
        <w:rPr>
          <w:rFonts w:ascii="Times New Roman" w:hAnsi="Times New Roman" w:eastAsia="Times New Roman" w:cs="Times New Roman"/>
          <w:color w:val="000000"/>
          <w:lang w:eastAsia="ru-RU"/>
        </w:rPr>
        <w:t xml:space="preserve"> протокола подведения итогов аукциона Заказчик размещает на электронной торговой площадке без своей подписи проект договора, который составляется путем включения цены договора, предложенной участником аукциона, с которым заключается договор, информации о товаре (товарном знаке и (или) конкретных показателях товара), указанной в заявке на участие в таком аукционе его участника, в проект договора, прилагаемый к документации о таком аукционе.</w:t>
      </w:r>
      <w:bookmarkStart w:id="68" w:name="Par1158"/>
      <w:bookmarkEnd w:id="68"/>
    </w:p>
    <w:p w14:paraId="0A3AF30C">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6.1.4. </w:t>
      </w:r>
      <w:r>
        <w:rPr>
          <w:rFonts w:ascii="Times New Roman" w:hAnsi="Times New Roman" w:eastAsia="Times New Roman" w:cs="Times New Roman"/>
          <w:color w:val="000000"/>
          <w:lang w:eastAsia="ru-RU"/>
        </w:rPr>
        <w:t>В случае если договор заключается с единственным участником аукциона, то в проект договора, прилагаемый к извещению о проведении аукциона и аукционной документации, включается цена, согласованная с единственным участником такого аукциона, либо начальная (максимальная) цена.</w:t>
      </w:r>
    </w:p>
    <w:p w14:paraId="05232D86">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6.1.5. </w:t>
      </w:r>
      <w:r>
        <w:rPr>
          <w:rFonts w:ascii="Times New Roman" w:hAnsi="Times New Roman" w:eastAsia="Times New Roman" w:cs="Times New Roman"/>
          <w:color w:val="000000"/>
          <w:lang w:eastAsia="ru-RU"/>
        </w:rPr>
        <w:t xml:space="preserve">В течение пяти дней с даты размещения Заказчиком на электронной торговой площадке проекта договора победитель (единственный участник) аукциона размещает на  электронной торговой площадке проект договора, подписанный лицом, имеющим право действовать от имени победителя такого аукциона, а также документ, подтверждающий предоставление обеспечения исполнения договора (в случае если обеспечение исполнения договора было установлено документацией о закупке) и подписанный усиленной электронной подписью указанного лица. </w:t>
      </w:r>
      <w:bookmarkStart w:id="69" w:name="Par1159"/>
      <w:bookmarkEnd w:id="69"/>
    </w:p>
    <w:p w14:paraId="4A0EB3D2">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lang w:eastAsia="ru-RU"/>
        </w:rPr>
        <w:t xml:space="preserve">6.1.6. </w:t>
      </w:r>
      <w:r>
        <w:rPr>
          <w:rFonts w:ascii="Times New Roman" w:hAnsi="Times New Roman" w:eastAsia="Times New Roman" w:cs="Times New Roman"/>
          <w:color w:val="000000"/>
          <w:lang w:eastAsia="ru-RU"/>
        </w:rPr>
        <w:t>Победитель (единственный участник) аукциона, с которым заключается договор, в случае наличия разногласий по проекту договора, размещенному, размещает на электронной торговой площадке протокол разногласий, подписанный усиленной электронной подписью лица, имеющего право действовать от имени победителя (единственного участника) такого аукциона. При этом победитель (единственный участник) такого аукциона, с которым заключается договор, указывает в протоколе разногласий замечания к положениям проекта договора, не соответствующим извещению о проведении аукциона, документации о нем и своей заявке на участие в таком аукционе, с указанием соответствующих положений данных документов.</w:t>
      </w:r>
      <w:bookmarkStart w:id="70" w:name="Par1160"/>
      <w:bookmarkEnd w:id="70"/>
    </w:p>
    <w:p w14:paraId="526F6247">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6.1.7. Протокол разногласий должен содержать следующие сведения:</w:t>
      </w:r>
    </w:p>
    <w:p w14:paraId="75CB4EC7">
      <w:pPr>
        <w:widowControl w:val="0"/>
        <w:tabs>
          <w:tab w:val="left" w:pos="156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о месте, дате и времени его составления;</w:t>
      </w:r>
    </w:p>
    <w:p w14:paraId="036FE962">
      <w:pPr>
        <w:widowControl w:val="0"/>
        <w:tabs>
          <w:tab w:val="left" w:pos="156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о наименовании предмета закупки и номера закупки;</w:t>
      </w:r>
    </w:p>
    <w:p w14:paraId="73934407">
      <w:pPr>
        <w:widowControl w:val="0"/>
        <w:tabs>
          <w:tab w:val="left" w:pos="156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о положениях договора, в которых, по мнению участника закупки, содержатся неточности, технические ошибки, опечатки, несоответствие договора условиям, предложенным в заявке такого участника. </w:t>
      </w:r>
    </w:p>
    <w:p w14:paraId="4ADD5915">
      <w:pPr>
        <w:autoSpaceDE w:val="0"/>
        <w:autoSpaceDN w:val="0"/>
        <w:adjustRightInd w:val="0"/>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6.1.8. В течение трех дней с даты размещения победителем (единственным участником) аукциона на электронной торговой площадке протокола разногласий заказчик рассматривает протокол разногласий и без своей подписи размещает на электронной торговой площадке доработанный проект договора либо повторно размещает на электронной торговой площадке проект договора с указанием (при необходимости) в отдельном документе причин отказа учесть полностью или частично содержащиеся в протоколе разногласий замечания участника, с котором заключается договор.</w:t>
      </w:r>
    </w:p>
    <w:p w14:paraId="0A8CC55A">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 xml:space="preserve">6.1.9. В течение пяти дней с даты размещения Заказчиком на электронной торговой площадке документов, предусмотренных п. </w:t>
      </w:r>
      <w:r>
        <w:rPr>
          <w:rFonts w:ascii="Times New Roman" w:hAnsi="Times New Roman" w:eastAsia="Times New Roman" w:cs="Times New Roman"/>
          <w:lang w:eastAsia="ru-RU"/>
        </w:rPr>
        <w:t>6.1.8</w:t>
      </w:r>
      <w:r>
        <w:rPr>
          <w:rFonts w:ascii="Times New Roman" w:hAnsi="Times New Roman" w:eastAsia="Times New Roman" w:cs="Times New Roman"/>
          <w:color w:val="000000"/>
          <w:lang w:eastAsia="ru-RU"/>
        </w:rPr>
        <w:t xml:space="preserve"> настоящей документации, победитель (единственный участник) аукциона размещает на электронной торговой площадке проект договора, подписанный усиленной электронной подписью лица, имеющего право действовать от имени победителя (единственного участника) такого аукциона, а также документ, подтверждающий предоставление обеспечения исполнения договора (в случае если обеспечение исполнения договора было установлено документацией об аукционе) и подписанный усиленной электронной подписью указанного лица.</w:t>
      </w:r>
      <w:bookmarkStart w:id="71" w:name="Par1162"/>
      <w:bookmarkEnd w:id="71"/>
    </w:p>
    <w:p w14:paraId="5FB5F015">
      <w:pPr>
        <w:widowControl w:val="0"/>
        <w:tabs>
          <w:tab w:val="left" w:pos="1560"/>
        </w:tabs>
        <w:spacing w:after="0" w:line="240" w:lineRule="auto"/>
        <w:contextualSpacing/>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 xml:space="preserve">6.1.10. </w:t>
      </w:r>
      <w:r>
        <w:rPr>
          <w:rFonts w:ascii="Times New Roman" w:hAnsi="Times New Roman" w:eastAsia="Times New Roman" w:cs="Times New Roman"/>
          <w:lang w:eastAsia="ru-RU"/>
        </w:rPr>
        <w:t>Заказчик по результатам аукциона не ранее чем через 10 дней и не позднее чем через 20 дней со дня размещения в ЕИС протокола подведения итогов аукциона, на основании которого заключается договор, подписывает договор электронной подписью лица, имеющего право действовать от имени Заказчика с использованием программно-аппаратных средств электронной площадки.</w:t>
      </w:r>
    </w:p>
    <w:p w14:paraId="577030B3">
      <w:pPr>
        <w:widowControl w:val="0"/>
        <w:tabs>
          <w:tab w:val="left" w:pos="1560"/>
        </w:tabs>
        <w:spacing w:after="0" w:line="240" w:lineRule="auto"/>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6.1.11. В случае если договор, заключаемый по итогам аукциона, является для Заказчика крупной сделкой и (или) сделкой, в совершении которой имеется заинтересованность, такой договор подлежит соответственно предварительному согласованию и (или) одобрению органом, осуществляющим функции и полномочия учредителя Заказчика, и может быть заключен только после получения соответствующего предварительного согласования и (или) одобрения. В случае неполучения соответствующего предварительного согласования и (или) одобрения Заказчик обязан отказаться от заключения договора.</w:t>
      </w:r>
    </w:p>
    <w:p w14:paraId="33D2CD06">
      <w:pPr>
        <w:widowControl w:val="0"/>
        <w:tabs>
          <w:tab w:val="left" w:pos="1560"/>
        </w:tabs>
        <w:spacing w:after="0" w:line="240" w:lineRule="auto"/>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6.1.12. В случае если предварительное согласие и (или) одобрение сделки не может быть получено в срок, установленный для заключения договора в  Положении, и Заказчик заключил договор, то такой договор подлежит последующему одобрению. В случае если сделка не одобрена, Заказчик вправе в одностороннем порядке отказаться от исполнения договора, уведомив об этом поставщика (подрядчика, исполнителя).</w:t>
      </w:r>
    </w:p>
    <w:p w14:paraId="34D34309">
      <w:pPr>
        <w:numPr>
          <w:ilvl w:val="1"/>
          <w:numId w:val="19"/>
        </w:numPr>
        <w:autoSpaceDE w:val="0"/>
        <w:autoSpaceDN w:val="0"/>
        <w:adjustRightInd w:val="0"/>
        <w:spacing w:after="0" w:line="240" w:lineRule="auto"/>
        <w:ind w:left="0" w:firstLine="0"/>
        <w:jc w:val="both"/>
        <w:rPr>
          <w:rFonts w:ascii="Times New Roman" w:hAnsi="Times New Roman" w:eastAsia="Times New Roman" w:cs="Times New Roman"/>
          <w:b/>
          <w:bCs/>
          <w:lang w:eastAsia="ru-RU"/>
        </w:rPr>
      </w:pPr>
      <w:r>
        <w:rPr>
          <w:rFonts w:ascii="Times New Roman" w:hAnsi="Times New Roman" w:eastAsia="Times New Roman" w:cs="Times New Roman"/>
          <w:b/>
          <w:bCs/>
          <w:lang w:eastAsia="ru-RU"/>
        </w:rPr>
        <w:t>Условия признания победителя аукциона уклонившимся от заключения договора:</w:t>
      </w:r>
    </w:p>
    <w:p w14:paraId="2BD82CEC">
      <w:pPr>
        <w:autoSpaceDE w:val="0"/>
        <w:autoSpaceDN w:val="0"/>
        <w:adjustRightInd w:val="0"/>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6.2.1. </w:t>
      </w:r>
      <w:bookmarkStart w:id="72" w:name="_Ref530873832"/>
      <w:r>
        <w:rPr>
          <w:rFonts w:ascii="Times New Roman" w:hAnsi="Times New Roman" w:eastAsia="Times New Roman" w:cs="Times New Roman"/>
          <w:lang w:eastAsia="ru-RU"/>
        </w:rPr>
        <w:t>Участник запроса цен признается уклонившимся от заключения договора в случае, когда:</w:t>
      </w:r>
      <w:bookmarkEnd w:id="72"/>
    </w:p>
    <w:p w14:paraId="6B5C3533">
      <w:pPr>
        <w:autoSpaceDE w:val="0"/>
        <w:autoSpaceDN w:val="0"/>
        <w:adjustRightInd w:val="0"/>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не представил подписанный договор (отказался от заключения договора) в редакции Заказчика в срок, определенный Положением и настоящей документацией об аукционе;</w:t>
      </w:r>
    </w:p>
    <w:p w14:paraId="2133488A">
      <w:pPr>
        <w:autoSpaceDE w:val="0"/>
        <w:autoSpaceDN w:val="0"/>
        <w:adjustRightInd w:val="0"/>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не предоставил обеспечение исполнения договора в срок, установленный извещением и (или) документацией об аукционе, или предоставил с нарушением условий, указанных в извещении и (или) документации об аукционе, если требование о предоставлении такого обеспечения было предусмотрено извещением и (или) документацией об аукционе, а также проектом договора;</w:t>
      </w:r>
    </w:p>
    <w:p w14:paraId="6D2B2494">
      <w:pPr>
        <w:autoSpaceDE w:val="0"/>
        <w:autoSpaceDN w:val="0"/>
        <w:adjustRightInd w:val="0"/>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не представил сведения о цепочке собственников, включая бенефициаров (в том числе конечных), и документы, подтверждающие данные сведения, если требование о представлении таких сведений и документов установлено извещением и (или) документацией об аукционе , а также проектом договора.</w:t>
      </w:r>
    </w:p>
    <w:p w14:paraId="0F98B1C9">
      <w:pPr>
        <w:autoSpaceDE w:val="0"/>
        <w:autoSpaceDN w:val="0"/>
        <w:adjustRightInd w:val="0"/>
        <w:spacing w:after="0" w:line="240" w:lineRule="auto"/>
        <w:jc w:val="both"/>
        <w:rPr>
          <w:rFonts w:ascii="Times New Roman" w:hAnsi="Times New Roman" w:eastAsia="Times New Roman" w:cs="Times New Roman"/>
          <w:lang w:eastAsia="ru-RU"/>
        </w:rPr>
      </w:pPr>
      <w:bookmarkStart w:id="73" w:name="_Ref379301619"/>
      <w:r>
        <w:rPr>
          <w:rFonts w:ascii="Times New Roman" w:hAnsi="Times New Roman" w:eastAsia="Times New Roman" w:cs="Times New Roman"/>
          <w:lang w:eastAsia="ru-RU"/>
        </w:rPr>
        <w:t>6.2.2. Не позднее одного рабочего дня, следующего за днем, когда установлены факты, предусмотренные в пункте 6.2.1 настоящей документации об аукционе, Заказчик составляет протокол о признании участника уклонившимся от заключения договора. В протоколе должны быть отражены следующие сведения:</w:t>
      </w:r>
    </w:p>
    <w:p w14:paraId="7CA67CA6">
      <w:pPr>
        <w:widowControl w:val="0"/>
        <w:tabs>
          <w:tab w:val="left" w:pos="156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место, дата и время составления протокола;</w:t>
      </w:r>
    </w:p>
    <w:p w14:paraId="4F6EA8D1">
      <w:pPr>
        <w:widowControl w:val="0"/>
        <w:tabs>
          <w:tab w:val="left" w:pos="156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наименование лица, которое уклонилось от заключения договора;</w:t>
      </w:r>
    </w:p>
    <w:p w14:paraId="10353C7E">
      <w:pPr>
        <w:widowControl w:val="0"/>
        <w:tabs>
          <w:tab w:val="left" w:pos="156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факты, на основании которых лицо признано уклонившимся от заключения договора.</w:t>
      </w:r>
    </w:p>
    <w:p w14:paraId="4B1E4984">
      <w:pPr>
        <w:widowControl w:val="0"/>
        <w:autoSpaceDE w:val="0"/>
        <w:autoSpaceDN w:val="0"/>
        <w:adjustRightInd w:val="0"/>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Протокол составляется в двух экземплярах, подписывается Заказчиком в день его составления. Один экземпляр хранится у Заказчика, второй в течение трех рабочих дней со дня подписания направляется лицу, с которым Заказчик отказывается заключить договор. Протокол размещается в ЕИС не позднее чем через три дня со дня подписания.</w:t>
      </w:r>
    </w:p>
    <w:p w14:paraId="4CAC30C6">
      <w:pPr>
        <w:widowControl w:val="0"/>
        <w:tabs>
          <w:tab w:val="left" w:pos="1560"/>
        </w:tabs>
        <w:spacing w:after="0" w:line="240" w:lineRule="auto"/>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6.2.3. В случае, когда участник аукциона признан победителем закупки, но отстранен от участия в ней в соответствии с пунктом 12.2 Положения, признан уклонившимся или отказался от заключения договора, договор с участником аукциона, предложение о цене которого является следующим после предложения победителя, заключается в порядке, установленном в разделе 23 Положения.</w:t>
      </w:r>
    </w:p>
    <w:bookmarkEnd w:id="73"/>
    <w:p w14:paraId="0CBBF5F9">
      <w:pPr>
        <w:numPr>
          <w:ilvl w:val="0"/>
          <w:numId w:val="19"/>
        </w:numPr>
        <w:spacing w:after="0" w:line="240" w:lineRule="auto"/>
        <w:ind w:left="357" w:hanging="357"/>
        <w:jc w:val="both"/>
        <w:outlineLvl w:val="1"/>
        <w:rPr>
          <w:rFonts w:ascii="Times New Roman" w:hAnsi="Times New Roman" w:eastAsia="Times New Roman" w:cs="Times New Roman"/>
          <w:b/>
          <w:bCs/>
          <w:caps/>
          <w:lang w:eastAsia="ru-RU"/>
        </w:rPr>
      </w:pPr>
      <w:bookmarkStart w:id="74" w:name="_Toc1576667"/>
      <w:bookmarkStart w:id="75" w:name="_Toc432073123"/>
      <w:r>
        <w:rPr>
          <w:rFonts w:ascii="Times New Roman" w:hAnsi="Times New Roman" w:eastAsia="Times New Roman" w:cs="Times New Roman"/>
          <w:b/>
          <w:bCs/>
          <w:caps/>
          <w:lang w:eastAsia="ru-RU"/>
        </w:rPr>
        <w:t>Раздел VII. Обеспечение исполнения договора.</w:t>
      </w:r>
      <w:bookmarkEnd w:id="74"/>
      <w:bookmarkEnd w:id="75"/>
    </w:p>
    <w:p w14:paraId="65E51501">
      <w:pPr>
        <w:numPr>
          <w:ilvl w:val="1"/>
          <w:numId w:val="19"/>
        </w:numPr>
        <w:spacing w:after="0" w:line="240" w:lineRule="auto"/>
        <w:ind w:left="0" w:firstLine="0"/>
        <w:jc w:val="both"/>
        <w:outlineLvl w:val="2"/>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Виды обеспечения исполнения договора.</w:t>
      </w:r>
    </w:p>
    <w:p w14:paraId="3D57112F">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7.1.1. Заказчик вправе предусмотреть в проекте договора и документации о закупке условие об обеспечении исполнения договора. Способ обеспечения исполнения договора устанавливается Заказчиком.</w:t>
      </w:r>
    </w:p>
    <w:p w14:paraId="093AA923">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7.1.2. Размер обеспечения исполнения договора, срок и порядок его предоставления определяются в Информационной карте документации об аукционе.</w:t>
      </w:r>
    </w:p>
    <w:p w14:paraId="56B5EDD3">
      <w:pPr>
        <w:autoSpaceDE w:val="0"/>
        <w:autoSpaceDN w:val="0"/>
        <w:adjustRightInd w:val="0"/>
        <w:spacing w:after="0" w:line="240" w:lineRule="auto"/>
        <w:jc w:val="both"/>
        <w:rPr>
          <w:rFonts w:ascii="Times New Roman" w:hAnsi="Times New Roman" w:eastAsia="Times New Roman" w:cs="Times New Roman"/>
        </w:rPr>
      </w:pPr>
      <w:r>
        <w:rPr>
          <w:rFonts w:ascii="Times New Roman" w:hAnsi="Times New Roman" w:eastAsia="Times New Roman" w:cs="Times New Roman"/>
          <w:color w:val="000000"/>
          <w:lang w:eastAsia="ru-RU"/>
        </w:rPr>
        <w:t>7.1.3. Исполнение договора может обеспечиваться следующими способами: предоставлением б</w:t>
      </w:r>
      <w:r>
        <w:rPr>
          <w:rFonts w:ascii="Times New Roman" w:hAnsi="Times New Roman" w:eastAsia="Times New Roman" w:cs="Times New Roman"/>
          <w:lang w:eastAsia="ru-RU"/>
        </w:rPr>
        <w:t>езотзывной</w:t>
      </w:r>
      <w:r>
        <w:rPr>
          <w:rFonts w:ascii="Times New Roman" w:hAnsi="Times New Roman" w:eastAsia="Times New Roman" w:cs="Times New Roman"/>
          <w:color w:val="000000"/>
          <w:lang w:eastAsia="ru-RU"/>
        </w:rPr>
        <w:t xml:space="preserve"> банковской гарантии, выданной банком и соответствующей требованиям действующего законодательства Российской Федерации,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r>
        <w:rPr>
          <w:rFonts w:ascii="Times New Roman" w:hAnsi="Times New Roman" w:eastAsia="Times New Roman" w:cs="Times New Roman"/>
        </w:rPr>
        <w:t xml:space="preserve">При осуществлении конкурентной закупки с участием субъектов малого и среднего предпринимательства обеспечение исполнения договора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или предоставления независимой гарантии. </w:t>
      </w:r>
    </w:p>
    <w:p w14:paraId="5BE5E447">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7.1.4. Заказчиком в соответствии с действующим законодательством Российской Федерации может быть установлен иной способ обеспечения исполнения договора.</w:t>
      </w:r>
    </w:p>
    <w:p w14:paraId="69B5F70C">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7.1.5. Договор заключается после предоставления участником закупки, с которым заключается договор, обеспечения исполнения договора.</w:t>
      </w:r>
    </w:p>
    <w:p w14:paraId="3C6C4FA4">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7.1.5. В случае непредставления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bookmarkStart w:id="76" w:name="Par1626"/>
      <w:bookmarkEnd w:id="76"/>
    </w:p>
    <w:p w14:paraId="7C2E4C21">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7.1.6. Размер обеспечения исполнения договора может составлять от пяти до тридцати процентов начальной (максимальной) цены договора, указанной в извещении об осуществлении закупки. В случае если аванс превышает тридцать процентов начальной (максимальной) цены договора, размер обеспечения исполнения договора устанавливается в размере аванса.</w:t>
      </w:r>
    </w:p>
    <w:p w14:paraId="74354727">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7.1.7. В ходе исполнения договора поставщик (подрядчик, исполнитель) по согласованию с Заказчиком вправе изменить способ обеспечения исполнения договора.</w:t>
      </w:r>
    </w:p>
    <w:p w14:paraId="54C6DA5A">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7.1.8. В случае если участником закупки, с которым заключается договор, является государственное или муниципальное казенное либо бюджетное учреждение, требования  об обеспечении исполнения договора к такому участнику не применяются.</w:t>
      </w:r>
    </w:p>
    <w:p w14:paraId="0FD51FDE">
      <w:pPr>
        <w:numPr>
          <w:ilvl w:val="1"/>
          <w:numId w:val="19"/>
        </w:numPr>
        <w:spacing w:after="0" w:line="240" w:lineRule="auto"/>
        <w:ind w:left="0" w:firstLine="0"/>
        <w:jc w:val="both"/>
        <w:outlineLvl w:val="2"/>
        <w:rPr>
          <w:rFonts w:ascii="Times New Roman" w:hAnsi="Times New Roman" w:eastAsia="Times New Roman" w:cs="Times New Roman"/>
          <w:b/>
          <w:bCs/>
          <w:lang w:eastAsia="ru-RU"/>
        </w:rPr>
      </w:pPr>
      <w:r>
        <w:rPr>
          <w:rFonts w:ascii="Times New Roman" w:hAnsi="Times New Roman" w:eastAsia="Times New Roman" w:cs="Times New Roman"/>
          <w:b/>
          <w:bCs/>
          <w:lang w:eastAsia="ru-RU"/>
        </w:rPr>
        <w:t>Требования, предъявляемые к обеспечению исполнения договора.</w:t>
      </w:r>
    </w:p>
    <w:bookmarkEnd w:id="7"/>
    <w:p w14:paraId="20BEE9C5">
      <w:pPr>
        <w:spacing w:after="0" w:line="240" w:lineRule="auto"/>
        <w:jc w:val="both"/>
        <w:rPr>
          <w:rFonts w:ascii="Times New Roman" w:hAnsi="Times New Roman" w:eastAsia="Times New Roman" w:cs="Times New Roman"/>
          <w:lang w:eastAsia="ru-RU"/>
        </w:rPr>
      </w:pPr>
      <w:bookmarkStart w:id="77" w:name="Par10"/>
      <w:bookmarkEnd w:id="77"/>
      <w:r>
        <w:rPr>
          <w:rFonts w:ascii="Times New Roman" w:hAnsi="Times New Roman" w:eastAsia="Times New Roman" w:cs="Times New Roman"/>
          <w:lang w:eastAsia="ru-RU"/>
        </w:rPr>
        <w:t>7.2.1. Безотзывная банковская 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 и должна содержать:</w:t>
      </w:r>
    </w:p>
    <w:p w14:paraId="6126E2C1">
      <w:pPr>
        <w:numPr>
          <w:ilvl w:val="0"/>
          <w:numId w:val="21"/>
        </w:numPr>
        <w:spacing w:after="0" w:line="240" w:lineRule="auto"/>
        <w:ind w:firstLine="567"/>
        <w:jc w:val="both"/>
        <w:rPr>
          <w:rFonts w:ascii="Times New Roman" w:hAnsi="Times New Roman" w:eastAsia="Times New Roman" w:cs="Times New Roman"/>
          <w:lang w:eastAsia="ru-RU"/>
        </w:rPr>
      </w:pPr>
      <w:r>
        <w:rPr>
          <w:rFonts w:ascii="Times New Roman" w:hAnsi="Times New Roman" w:eastAsia="Times New Roman" w:cs="Times New Roman"/>
          <w:lang w:eastAsia="ru-RU"/>
        </w:rPr>
        <w:t>-указание на договор путем указания сторон договора, названия предмета договора и ссылки на основание заключения договора  (протокол подведения итогов аукциона);</w:t>
      </w:r>
    </w:p>
    <w:p w14:paraId="13025DA3">
      <w:pPr>
        <w:numPr>
          <w:ilvl w:val="0"/>
          <w:numId w:val="21"/>
        </w:numPr>
        <w:autoSpaceDE w:val="0"/>
        <w:autoSpaceDN w:val="0"/>
        <w:adjustRightInd w:val="0"/>
        <w:spacing w:after="0" w:line="240" w:lineRule="auto"/>
        <w:ind w:firstLine="567"/>
        <w:jc w:val="both"/>
        <w:rPr>
          <w:rFonts w:ascii="Times New Roman" w:hAnsi="Times New Roman" w:eastAsia="Times New Roman" w:cs="Times New Roman"/>
          <w:lang w:eastAsia="ru-RU"/>
        </w:rPr>
      </w:pPr>
      <w:r>
        <w:rPr>
          <w:rFonts w:ascii="Times New Roman" w:hAnsi="Times New Roman" w:eastAsia="Times New Roman" w:cs="Times New Roman"/>
          <w:lang w:eastAsia="ru-RU"/>
        </w:rPr>
        <w:t>-сумму банковской гарантии, подлежащую уплате гарантом заказчику в случае ненадлежащего исполнения обязательств принципалом (в размере, указанном в Информационной карте документации об аукционе);</w:t>
      </w:r>
    </w:p>
    <w:p w14:paraId="24AD480C">
      <w:pPr>
        <w:numPr>
          <w:ilvl w:val="0"/>
          <w:numId w:val="21"/>
        </w:numPr>
        <w:autoSpaceDE w:val="0"/>
        <w:autoSpaceDN w:val="0"/>
        <w:adjustRightInd w:val="0"/>
        <w:spacing w:after="0" w:line="240" w:lineRule="auto"/>
        <w:ind w:firstLine="567"/>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-обязательства принципала, надлежащее исполнение которых обеспечивается банковской гарантией </w:t>
      </w:r>
      <w:r>
        <w:rPr>
          <w:rFonts w:ascii="Times New Roman" w:hAnsi="Times New Roman" w:eastAsia="Times New Roman" w:cs="Times New Roman"/>
          <w:color w:val="000000"/>
          <w:spacing w:val="4"/>
          <w:lang w:eastAsia="ru-RU"/>
        </w:rPr>
        <w:t xml:space="preserve">по возврату авансового платежа (при условии предоставления аванса), уплате неустоек (пеней, штрафов), предусмотренных </w:t>
      </w:r>
      <w:r>
        <w:rPr>
          <w:rFonts w:ascii="Times New Roman" w:hAnsi="Times New Roman" w:eastAsia="Times New Roman" w:cs="Times New Roman"/>
          <w:lang w:eastAsia="ru-RU"/>
        </w:rPr>
        <w:t>договором</w:t>
      </w:r>
      <w:r>
        <w:rPr>
          <w:rFonts w:ascii="Times New Roman" w:hAnsi="Times New Roman" w:eastAsia="Times New Roman" w:cs="Times New Roman"/>
          <w:color w:val="000000"/>
          <w:spacing w:val="4"/>
          <w:lang w:eastAsia="ru-RU"/>
        </w:rPr>
        <w:t>, уплате убытков (при их наличии в случае расторжения договора в связи с неисполнением или ненадлежащим исполнением поставщиком (подрядчиком, исполнителем) обязательств по договору</w:t>
      </w:r>
      <w:r>
        <w:rPr>
          <w:rFonts w:ascii="Times New Roman" w:hAnsi="Times New Roman" w:eastAsia="Times New Roman" w:cs="Times New Roman"/>
          <w:lang w:eastAsia="ru-RU"/>
        </w:rPr>
        <w:t>;</w:t>
      </w:r>
    </w:p>
    <w:p w14:paraId="3ABC5F18">
      <w:pPr>
        <w:numPr>
          <w:ilvl w:val="0"/>
          <w:numId w:val="21"/>
        </w:numPr>
        <w:autoSpaceDE w:val="0"/>
        <w:autoSpaceDN w:val="0"/>
        <w:adjustRightInd w:val="0"/>
        <w:spacing w:after="0" w:line="240" w:lineRule="auto"/>
        <w:ind w:firstLine="567"/>
        <w:jc w:val="both"/>
        <w:rPr>
          <w:rFonts w:ascii="Times New Roman" w:hAnsi="Times New Roman" w:eastAsia="Times New Roman" w:cs="Times New Roman"/>
          <w:lang w:eastAsia="ru-RU"/>
        </w:rPr>
      </w:pPr>
      <w:r>
        <w:rPr>
          <w:rFonts w:ascii="Times New Roman" w:hAnsi="Times New Roman" w:eastAsia="Times New Roman" w:cs="Times New Roman"/>
          <w:lang w:eastAsia="ru-RU"/>
        </w:rPr>
        <w:t>-обязанность гаранта уплатить заказчику неустойку в размере 0,1 процента денежной суммы, подлежащей уплате, за каждый календарный день просрочки;</w:t>
      </w:r>
    </w:p>
    <w:p w14:paraId="5CE15746">
      <w:pPr>
        <w:numPr>
          <w:ilvl w:val="0"/>
          <w:numId w:val="21"/>
        </w:numPr>
        <w:autoSpaceDE w:val="0"/>
        <w:autoSpaceDN w:val="0"/>
        <w:adjustRightInd w:val="0"/>
        <w:spacing w:after="0" w:line="240" w:lineRule="auto"/>
        <w:ind w:firstLine="567"/>
        <w:jc w:val="both"/>
        <w:rPr>
          <w:rFonts w:ascii="Times New Roman" w:hAnsi="Times New Roman" w:eastAsia="Times New Roman" w:cs="Times New Roman"/>
          <w:lang w:eastAsia="ru-RU"/>
        </w:rPr>
      </w:pPr>
      <w:r>
        <w:rPr>
          <w:rFonts w:ascii="Times New Roman" w:hAnsi="Times New Roman" w:eastAsia="Times New Roman" w:cs="Times New Roman"/>
          <w:lang w:eastAsia="ru-RU"/>
        </w:rPr>
        <w:t>-условие,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0737645F">
      <w:pPr>
        <w:numPr>
          <w:ilvl w:val="0"/>
          <w:numId w:val="21"/>
        </w:numPr>
        <w:autoSpaceDE w:val="0"/>
        <w:autoSpaceDN w:val="0"/>
        <w:adjustRightInd w:val="0"/>
        <w:spacing w:after="0" w:line="240" w:lineRule="auto"/>
        <w:ind w:firstLine="567"/>
        <w:jc w:val="both"/>
        <w:rPr>
          <w:rFonts w:ascii="Times New Roman" w:hAnsi="Times New Roman" w:eastAsia="Times New Roman" w:cs="Times New Roman"/>
          <w:lang w:eastAsia="ru-RU"/>
        </w:rPr>
      </w:pPr>
      <w:r>
        <w:rPr>
          <w:rFonts w:ascii="Times New Roman" w:hAnsi="Times New Roman" w:eastAsia="Times New Roman" w:cs="Times New Roman"/>
          <w:lang w:eastAsia="ru-RU"/>
        </w:rPr>
        <w:t>-срок действия банковской гарантии (срок действия банковской гарантии должен превышать срок действия договора не менее чем на один месяц);</w:t>
      </w:r>
    </w:p>
    <w:p w14:paraId="4638314B">
      <w:pPr>
        <w:numPr>
          <w:ilvl w:val="0"/>
          <w:numId w:val="21"/>
        </w:numPr>
        <w:autoSpaceDE w:val="0"/>
        <w:autoSpaceDN w:val="0"/>
        <w:adjustRightInd w:val="0"/>
        <w:spacing w:after="0" w:line="240" w:lineRule="auto"/>
        <w:ind w:firstLine="567"/>
        <w:jc w:val="both"/>
        <w:rPr>
          <w:rFonts w:ascii="Times New Roman" w:hAnsi="Times New Roman" w:eastAsia="Times New Roman" w:cs="Times New Roman"/>
          <w:lang w:eastAsia="ru-RU"/>
        </w:rPr>
      </w:pPr>
      <w:r>
        <w:rPr>
          <w:rFonts w:ascii="Times New Roman" w:hAnsi="Times New Roman" w:eastAsia="Times New Roman" w:cs="Times New Roman"/>
          <w:lang w:eastAsia="ru-RU"/>
        </w:rPr>
        <w:t>-отлагательное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32A2E00B">
      <w:pPr>
        <w:numPr>
          <w:ilvl w:val="0"/>
          <w:numId w:val="21"/>
        </w:numPr>
        <w:tabs>
          <w:tab w:val="left" w:pos="-851"/>
          <w:tab w:val="left" w:pos="-567"/>
        </w:tabs>
        <w:autoSpaceDE w:val="0"/>
        <w:autoSpaceDN w:val="0"/>
        <w:adjustRightInd w:val="0"/>
        <w:spacing w:after="0" w:line="240" w:lineRule="auto"/>
        <w:ind w:firstLine="567"/>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-перечень документов, предоставляемых заказчиком банку одновременно с требованием об осуществлении уплаты денежной суммы по банковской гарантии: </w:t>
      </w:r>
    </w:p>
    <w:p w14:paraId="4CE55817">
      <w:pPr>
        <w:numPr>
          <w:ilvl w:val="3"/>
          <w:numId w:val="21"/>
        </w:numPr>
        <w:tabs>
          <w:tab w:val="left" w:pos="-851"/>
          <w:tab w:val="left" w:pos="-567"/>
        </w:tabs>
        <w:autoSpaceDE w:val="0"/>
        <w:autoSpaceDN w:val="0"/>
        <w:adjustRightInd w:val="0"/>
        <w:spacing w:after="0" w:line="240" w:lineRule="auto"/>
        <w:ind w:left="709" w:hanging="283"/>
        <w:jc w:val="both"/>
        <w:rPr>
          <w:rFonts w:ascii="Times New Roman" w:hAnsi="Times New Roman" w:eastAsia="Times New Roman" w:cs="Times New Roman"/>
          <w:lang w:eastAsia="ru-RU"/>
        </w:rPr>
      </w:pPr>
      <w:r>
        <w:rPr>
          <w:rFonts w:ascii="Times New Roman" w:hAnsi="Times New Roman" w:eastAsia="Times New Roman" w:cs="Times New Roman"/>
          <w:lang w:eastAsia="ru-RU"/>
        </w:rPr>
        <w:t>расчет суммы, включаемой в требование по гарантии;</w:t>
      </w:r>
    </w:p>
    <w:p w14:paraId="3B66CABF">
      <w:pPr>
        <w:numPr>
          <w:ilvl w:val="3"/>
          <w:numId w:val="21"/>
        </w:numPr>
        <w:tabs>
          <w:tab w:val="left" w:pos="-851"/>
          <w:tab w:val="left" w:pos="-567"/>
        </w:tabs>
        <w:autoSpaceDE w:val="0"/>
        <w:autoSpaceDN w:val="0"/>
        <w:adjustRightInd w:val="0"/>
        <w:spacing w:after="0" w:line="240" w:lineRule="auto"/>
        <w:ind w:left="709" w:hanging="283"/>
        <w:jc w:val="both"/>
        <w:rPr>
          <w:rFonts w:ascii="Times New Roman" w:hAnsi="Times New Roman" w:eastAsia="Times New Roman" w:cs="Times New Roman"/>
          <w:lang w:eastAsia="ru-RU"/>
        </w:rPr>
      </w:pPr>
      <w:r>
        <w:rPr>
          <w:rFonts w:ascii="Times New Roman" w:hAnsi="Times New Roman" w:eastAsia="Times New Roman" w:cs="Times New Roman"/>
          <w:lang w:eastAsia="ru-RU"/>
        </w:rPr>
        <w:t>платежное поручение, подтверждающее перечисление бенефициаром аванса принципалу, с отметкой банка бенефициара либо органа Федерального казначейства об исполнении (если выплата аванса предусмотрена договором, а требование по гарантии предъявлено в случае ненадлежащего исполнения принципалом обязательств по возврату аванса);</w:t>
      </w:r>
    </w:p>
    <w:p w14:paraId="0D817D16">
      <w:pPr>
        <w:numPr>
          <w:ilvl w:val="3"/>
          <w:numId w:val="21"/>
        </w:numPr>
        <w:tabs>
          <w:tab w:val="left" w:pos="-851"/>
          <w:tab w:val="left" w:pos="-567"/>
        </w:tabs>
        <w:autoSpaceDE w:val="0"/>
        <w:autoSpaceDN w:val="0"/>
        <w:adjustRightInd w:val="0"/>
        <w:spacing w:after="0" w:line="240" w:lineRule="auto"/>
        <w:ind w:left="709" w:hanging="283"/>
        <w:jc w:val="both"/>
        <w:rPr>
          <w:rFonts w:ascii="Times New Roman" w:hAnsi="Times New Roman" w:eastAsia="Times New Roman" w:cs="Times New Roman"/>
          <w:lang w:eastAsia="ru-RU"/>
        </w:rPr>
      </w:pPr>
      <w:r>
        <w:rPr>
          <w:rFonts w:ascii="Times New Roman" w:hAnsi="Times New Roman" w:eastAsia="Times New Roman" w:cs="Times New Roman"/>
          <w:lang w:eastAsia="ru-RU"/>
        </w:rPr>
        <w:t>документ, подтверждающий факт наступления гарантийного случая в соответствии с условиями договора (если требование по гарантии предъявлено в случае ненадлежащего исполнения принципалом обязательств в период действия гарантийного срока);</w:t>
      </w:r>
    </w:p>
    <w:p w14:paraId="0B98C61F">
      <w:pPr>
        <w:numPr>
          <w:ilvl w:val="3"/>
          <w:numId w:val="21"/>
        </w:numPr>
        <w:tabs>
          <w:tab w:val="left" w:pos="-851"/>
          <w:tab w:val="left" w:pos="-567"/>
        </w:tabs>
        <w:autoSpaceDE w:val="0"/>
        <w:autoSpaceDN w:val="0"/>
        <w:adjustRightInd w:val="0"/>
        <w:spacing w:after="0" w:line="240" w:lineRule="auto"/>
        <w:ind w:left="709" w:hanging="283"/>
        <w:jc w:val="both"/>
        <w:rPr>
          <w:rFonts w:ascii="Times New Roman" w:hAnsi="Times New Roman" w:eastAsia="Times New Roman" w:cs="Times New Roman"/>
          <w:lang w:eastAsia="ru-RU"/>
        </w:rPr>
      </w:pPr>
      <w:r>
        <w:rPr>
          <w:rFonts w:ascii="Times New Roman" w:hAnsi="Times New Roman" w:eastAsia="Times New Roman" w:cs="Times New Roman"/>
          <w:lang w:eastAsia="ru-RU"/>
        </w:rPr>
        <w:t>документ, подтверждающий полномочия лица, подписавшего требование по гарантии (доверенность) (в случае, если требование по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58CF3680">
      <w:pPr>
        <w:numPr>
          <w:ilvl w:val="0"/>
          <w:numId w:val="21"/>
        </w:numPr>
        <w:autoSpaceDE w:val="0"/>
        <w:autoSpaceDN w:val="0"/>
        <w:adjustRightInd w:val="0"/>
        <w:spacing w:after="0" w:line="240" w:lineRule="auto"/>
        <w:ind w:firstLine="709"/>
        <w:jc w:val="both"/>
        <w:rPr>
          <w:rFonts w:ascii="Times New Roman" w:hAnsi="Times New Roman" w:eastAsia="Times New Roman" w:cs="Times New Roman"/>
          <w:lang w:eastAsia="ru-RU"/>
        </w:rPr>
      </w:pPr>
      <w:r>
        <w:rPr>
          <w:rFonts w:ascii="Times New Roman" w:hAnsi="Times New Roman" w:eastAsia="Times New Roman" w:cs="Times New Roman"/>
          <w:lang w:eastAsia="ru-RU"/>
        </w:rPr>
        <w:t>- права заказчика в случае ненадлежащего выполнения или невыполнения поставщиком (подрядчиком, исполнителем)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в размере цены договора, уменьшенном на сумму, пропорциональную объему фактически исполненных поставщиком (подрядчиком, исполнителем) обязательств, предусмотренных договором и оплаченных заказчиком, но не превышающем размер обеспечения исполнения договора;</w:t>
      </w:r>
    </w:p>
    <w:p w14:paraId="2657F4F4">
      <w:pPr>
        <w:numPr>
          <w:ilvl w:val="0"/>
          <w:numId w:val="21"/>
        </w:numPr>
        <w:autoSpaceDE w:val="0"/>
        <w:autoSpaceDN w:val="0"/>
        <w:adjustRightInd w:val="0"/>
        <w:spacing w:after="0" w:line="240" w:lineRule="auto"/>
        <w:ind w:firstLine="709"/>
        <w:jc w:val="both"/>
        <w:rPr>
          <w:rFonts w:ascii="Times New Roman" w:hAnsi="Times New Roman" w:eastAsia="Times New Roman" w:cs="Times New Roman"/>
          <w:lang w:eastAsia="ru-RU"/>
        </w:rPr>
      </w:pPr>
      <w:r>
        <w:rPr>
          <w:rFonts w:ascii="Times New Roman" w:hAnsi="Times New Roman" w:eastAsia="Times New Roman" w:cs="Times New Roman"/>
          <w:lang w:eastAsia="ru-RU"/>
        </w:rPr>
        <w:t>- права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7F4962CE">
      <w:pPr>
        <w:numPr>
          <w:ilvl w:val="0"/>
          <w:numId w:val="21"/>
        </w:numPr>
        <w:autoSpaceDE w:val="0"/>
        <w:autoSpaceDN w:val="0"/>
        <w:adjustRightInd w:val="0"/>
        <w:spacing w:after="0" w:line="240" w:lineRule="auto"/>
        <w:ind w:firstLine="709"/>
        <w:jc w:val="both"/>
        <w:rPr>
          <w:rFonts w:ascii="Times New Roman" w:hAnsi="Times New Roman" w:eastAsia="Times New Roman" w:cs="Times New Roman"/>
          <w:lang w:eastAsia="ru-RU"/>
        </w:rPr>
      </w:pPr>
      <w:r>
        <w:rPr>
          <w:rFonts w:ascii="Times New Roman" w:hAnsi="Times New Roman" w:eastAsia="Times New Roman" w:cs="Times New Roman"/>
          <w:lang w:eastAsia="ru-RU"/>
        </w:rPr>
        <w:t>- условия о том, что расходы, возникающие в связи с перечислением денежных средств гарантом по банковской гарантии, несет гарант;</w:t>
      </w:r>
    </w:p>
    <w:p w14:paraId="3DA90CE4">
      <w:pPr>
        <w:numPr>
          <w:ilvl w:val="0"/>
          <w:numId w:val="21"/>
        </w:numPr>
        <w:autoSpaceDE w:val="0"/>
        <w:autoSpaceDN w:val="0"/>
        <w:adjustRightInd w:val="0"/>
        <w:spacing w:after="0" w:line="240" w:lineRule="auto"/>
        <w:ind w:firstLine="709"/>
        <w:jc w:val="both"/>
        <w:rPr>
          <w:rFonts w:ascii="Times New Roman" w:hAnsi="Times New Roman" w:eastAsia="Times New Roman" w:cs="Times New Roman"/>
          <w:lang w:eastAsia="ru-RU"/>
        </w:rPr>
      </w:pPr>
      <w:r>
        <w:rPr>
          <w:rFonts w:ascii="Times New Roman" w:hAnsi="Times New Roman" w:eastAsia="Times New Roman" w:cs="Times New Roman"/>
          <w:lang w:eastAsia="ru-RU"/>
        </w:rPr>
        <w:t>- 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645F4472">
      <w:pPr>
        <w:numPr>
          <w:ilvl w:val="2"/>
          <w:numId w:val="22"/>
        </w:numPr>
        <w:autoSpaceDE w:val="0"/>
        <w:autoSpaceDN w:val="0"/>
        <w:adjustRightInd w:val="0"/>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Запрещается включение в условия банковской гарантии:</w:t>
      </w:r>
    </w:p>
    <w:p w14:paraId="566A7337">
      <w:pPr>
        <w:numPr>
          <w:ilvl w:val="0"/>
          <w:numId w:val="23"/>
        </w:numPr>
        <w:autoSpaceDE w:val="0"/>
        <w:autoSpaceDN w:val="0"/>
        <w:adjustRightInd w:val="0"/>
        <w:spacing w:after="0" w:line="240" w:lineRule="auto"/>
        <w:ind w:left="0" w:firstLine="709"/>
        <w:jc w:val="both"/>
        <w:rPr>
          <w:rFonts w:ascii="Times New Roman" w:hAnsi="Times New Roman" w:eastAsia="Times New Roman" w:cs="Times New Roman"/>
          <w:lang w:eastAsia="ru-RU"/>
        </w:rPr>
      </w:pPr>
      <w:r>
        <w:rPr>
          <w:rFonts w:ascii="Times New Roman" w:hAnsi="Times New Roman" w:eastAsia="Times New Roman" w:cs="Times New Roman"/>
          <w:lang w:eastAsia="ru-RU"/>
        </w:rPr>
        <w:t>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14:paraId="404AD9D4">
      <w:pPr>
        <w:numPr>
          <w:ilvl w:val="0"/>
          <w:numId w:val="23"/>
        </w:numPr>
        <w:autoSpaceDE w:val="0"/>
        <w:autoSpaceDN w:val="0"/>
        <w:adjustRightInd w:val="0"/>
        <w:spacing w:after="0" w:line="240" w:lineRule="auto"/>
        <w:ind w:left="0" w:firstLine="709"/>
        <w:jc w:val="both"/>
        <w:rPr>
          <w:rFonts w:ascii="Times New Roman" w:hAnsi="Times New Roman" w:eastAsia="Times New Roman" w:cs="Times New Roman"/>
          <w:lang w:eastAsia="ru-RU"/>
        </w:rPr>
      </w:pPr>
      <w:r>
        <w:rPr>
          <w:rFonts w:ascii="Times New Roman" w:hAnsi="Times New Roman" w:eastAsia="Times New Roman" w:cs="Times New Roman"/>
          <w:lang w:eastAsia="ru-RU"/>
        </w:rPr>
        <w:t>положений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(подрядчиком, исполнителем)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14:paraId="041ADBED">
      <w:pPr>
        <w:numPr>
          <w:ilvl w:val="0"/>
          <w:numId w:val="23"/>
        </w:numPr>
        <w:autoSpaceDE w:val="0"/>
        <w:autoSpaceDN w:val="0"/>
        <w:adjustRightInd w:val="0"/>
        <w:spacing w:after="0" w:line="240" w:lineRule="auto"/>
        <w:ind w:left="0" w:firstLine="709"/>
        <w:jc w:val="both"/>
        <w:rPr>
          <w:rFonts w:ascii="Times New Roman" w:hAnsi="Times New Roman" w:eastAsia="Times New Roman" w:cs="Times New Roman"/>
          <w:lang w:eastAsia="ru-RU"/>
        </w:rPr>
      </w:pPr>
      <w:r>
        <w:rPr>
          <w:rFonts w:ascii="Times New Roman" w:hAnsi="Times New Roman" w:eastAsia="Times New Roman" w:cs="Times New Roman"/>
          <w:lang w:eastAsia="ru-RU"/>
        </w:rPr>
        <w:t>требований о предоставлении заказчиком гаранту отчета об исполнении договора.</w:t>
      </w:r>
    </w:p>
    <w:p w14:paraId="0BFC54ED">
      <w:pPr>
        <w:autoSpaceDE w:val="0"/>
        <w:autoSpaceDN w:val="0"/>
        <w:adjustRightInd w:val="0"/>
        <w:spacing w:after="0" w:line="240" w:lineRule="auto"/>
        <w:ind w:firstLine="11"/>
        <w:jc w:val="both"/>
        <w:rPr>
          <w:rFonts w:ascii="Times New Roman" w:hAnsi="Times New Roman" w:eastAsia="Times New Roman" w:cs="Times New Roman"/>
        </w:rPr>
      </w:pPr>
      <w:r>
        <w:rPr>
          <w:rFonts w:ascii="Times New Roman" w:hAnsi="Times New Roman" w:eastAsia="Times New Roman" w:cs="Times New Roman"/>
          <w:lang w:eastAsia="ru-RU"/>
        </w:rPr>
        <w:t xml:space="preserve">7.2.3. </w:t>
      </w:r>
      <w:r>
        <w:rPr>
          <w:rFonts w:ascii="Times New Roman" w:hAnsi="Times New Roman" w:eastAsia="Times New Roman" w:cs="Times New Roman"/>
        </w:rPr>
        <w:t>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следующие положения:</w:t>
      </w:r>
    </w:p>
    <w:p w14:paraId="21869487">
      <w:pPr>
        <w:autoSpaceDE w:val="0"/>
        <w:autoSpaceDN w:val="0"/>
        <w:adjustRightInd w:val="0"/>
        <w:spacing w:after="0" w:line="240" w:lineRule="auto"/>
        <w:ind w:firstLine="360"/>
        <w:jc w:val="both"/>
        <w:rPr>
          <w:rFonts w:ascii="Times New Roman" w:hAnsi="Times New Roman" w:eastAsia="Times New Roman" w:cs="Times New Roman"/>
        </w:rPr>
      </w:pPr>
      <w:r>
        <w:rPr>
          <w:rFonts w:ascii="Times New Roman" w:hAnsi="Times New Roman" w:eastAsia="Times New Roman" w:cs="Times New Roman"/>
        </w:rPr>
        <w:t xml:space="preserve">1) независимая гарантия должна быть выдана гарантом, предусмотренным </w:t>
      </w:r>
      <w:r>
        <w:fldChar w:fldCharType="begin"/>
      </w:r>
      <w:r>
        <w:instrText xml:space="preserve"> HYPERLINK "consultantplus://offline/ref=33802A5EEFB9FC671CD1357FAF787163B710FF9A24FF79BACD6EC91055EA0DC66A12E0A46FD2B6156E5E811DEDC99C8D39A8748CD3D2b2o9J" </w:instrText>
      </w:r>
      <w:r>
        <w:fldChar w:fldCharType="separate"/>
      </w:r>
      <w:r>
        <w:rPr>
          <w:rFonts w:ascii="Times New Roman" w:hAnsi="Times New Roman" w:eastAsia="Times New Roman" w:cs="Times New Roman"/>
          <w:color w:val="0000FF"/>
        </w:rPr>
        <w:t>частью 1 статьи 45</w:t>
      </w:r>
      <w:r>
        <w:rPr>
          <w:rFonts w:ascii="Times New Roman" w:hAnsi="Times New Roman" w:eastAsia="Times New Roman" w:cs="Times New Roman"/>
          <w:color w:val="0000FF"/>
        </w:rPr>
        <w:fldChar w:fldCharType="end"/>
      </w:r>
      <w:r>
        <w:rPr>
          <w:rFonts w:ascii="Times New Roman" w:hAnsi="Times New Roman" w:eastAsia="Times New Roman" w:cs="Times New Roman"/>
        </w:rPr>
        <w:t xml:space="preserve"> </w:t>
      </w:r>
      <w:r>
        <w:rPr>
          <w:rFonts w:ascii="Times New Roman" w:hAnsi="Times New Roman" w:eastAsia="Times New Roman" w:cs="Times New Roman"/>
          <w:color w:val="000000"/>
          <w:lang w:eastAsia="ru-RU"/>
        </w:rPr>
        <w:t>Закона № 44-ФЗ;</w:t>
      </w:r>
    </w:p>
    <w:p w14:paraId="5DD0FBDC">
      <w:pPr>
        <w:autoSpaceDE w:val="0"/>
        <w:autoSpaceDN w:val="0"/>
        <w:adjustRightInd w:val="0"/>
        <w:spacing w:after="0" w:line="240" w:lineRule="auto"/>
        <w:ind w:firstLine="360"/>
        <w:jc w:val="both"/>
        <w:rPr>
          <w:rFonts w:ascii="Times New Roman" w:hAnsi="Times New Roman" w:eastAsia="Times New Roman" w:cs="Times New Roman"/>
        </w:rPr>
      </w:pPr>
      <w:r>
        <w:rPr>
          <w:rFonts w:ascii="Times New Roman" w:hAnsi="Times New Roman" w:eastAsia="Times New Roman" w:cs="Times New Roman"/>
        </w:rPr>
        <w:t xml:space="preserve">2) информация о независимой гарантии должна быть включена в реестр независимых гарантий, предусмотренный </w:t>
      </w:r>
      <w:r>
        <w:fldChar w:fldCharType="begin"/>
      </w:r>
      <w:r>
        <w:instrText xml:space="preserve"> HYPERLINK "consultantplus://offline/ref=33802A5EEFB9FC671CD1357FAF787163B710FF9A24FF79BACD6EC91055EA0DC66A12E0A46FD0B2156E5E811DEDC99C8D39A8748CD3D2b2o9J" </w:instrText>
      </w:r>
      <w:r>
        <w:fldChar w:fldCharType="separate"/>
      </w:r>
      <w:r>
        <w:rPr>
          <w:rFonts w:ascii="Times New Roman" w:hAnsi="Times New Roman" w:eastAsia="Times New Roman" w:cs="Times New Roman"/>
          <w:color w:val="0000FF"/>
        </w:rPr>
        <w:t>частью 8 статьи 45</w:t>
      </w:r>
      <w:r>
        <w:rPr>
          <w:rFonts w:ascii="Times New Roman" w:hAnsi="Times New Roman" w:eastAsia="Times New Roman" w:cs="Times New Roman"/>
          <w:color w:val="0000FF"/>
        </w:rPr>
        <w:fldChar w:fldCharType="end"/>
      </w:r>
      <w:r>
        <w:rPr>
          <w:rFonts w:ascii="Times New Roman" w:hAnsi="Times New Roman" w:eastAsia="Times New Roman" w:cs="Times New Roman"/>
        </w:rPr>
        <w:t xml:space="preserve"> </w:t>
      </w:r>
      <w:r>
        <w:rPr>
          <w:rFonts w:ascii="Times New Roman" w:hAnsi="Times New Roman" w:eastAsia="Times New Roman" w:cs="Times New Roman"/>
          <w:color w:val="000000"/>
          <w:lang w:eastAsia="ru-RU"/>
        </w:rPr>
        <w:t>Закона № 44-ФЗ;</w:t>
      </w:r>
    </w:p>
    <w:p w14:paraId="211F3136">
      <w:pPr>
        <w:autoSpaceDE w:val="0"/>
        <w:autoSpaceDN w:val="0"/>
        <w:adjustRightInd w:val="0"/>
        <w:spacing w:after="0" w:line="240" w:lineRule="auto"/>
        <w:ind w:firstLine="360"/>
        <w:jc w:val="both"/>
        <w:rPr>
          <w:rFonts w:ascii="Times New Roman" w:hAnsi="Times New Roman" w:eastAsia="Times New Roman" w:cs="Times New Roman"/>
        </w:rPr>
      </w:pPr>
      <w:r>
        <w:rPr>
          <w:rFonts w:ascii="Times New Roman" w:hAnsi="Times New Roman" w:eastAsia="Times New Roman" w:cs="Times New Roman"/>
        </w:rPr>
        <w:t>3) независимая гарантия не может быть отозвана выдавшим ее гарантом;</w:t>
      </w:r>
    </w:p>
    <w:p w14:paraId="72280EE7">
      <w:pPr>
        <w:autoSpaceDE w:val="0"/>
        <w:autoSpaceDN w:val="0"/>
        <w:adjustRightInd w:val="0"/>
        <w:spacing w:after="0" w:line="240" w:lineRule="auto"/>
        <w:ind w:firstLine="360"/>
        <w:jc w:val="both"/>
        <w:rPr>
          <w:rFonts w:ascii="Times New Roman" w:hAnsi="Times New Roman" w:eastAsia="Times New Roman" w:cs="Times New Roman"/>
        </w:rPr>
      </w:pPr>
      <w:r>
        <w:rPr>
          <w:rFonts w:ascii="Times New Roman" w:hAnsi="Times New Roman" w:eastAsia="Times New Roman" w:cs="Times New Roman"/>
        </w:rPr>
        <w:t>4) независимая гарантия должна содержать:</w:t>
      </w:r>
    </w:p>
    <w:p w14:paraId="57902494">
      <w:pPr>
        <w:autoSpaceDE w:val="0"/>
        <w:autoSpaceDN w:val="0"/>
        <w:adjustRightInd w:val="0"/>
        <w:spacing w:after="0" w:line="240" w:lineRule="auto"/>
        <w:ind w:firstLine="360"/>
        <w:jc w:val="both"/>
        <w:rPr>
          <w:rFonts w:ascii="Times New Roman" w:hAnsi="Times New Roman" w:eastAsia="Times New Roman" w:cs="Times New Roman"/>
        </w:rPr>
      </w:pPr>
      <w:r>
        <w:rPr>
          <w:rFonts w:ascii="Times New Roman" w:hAnsi="Times New Roman" w:eastAsia="Times New Roman" w:cs="Times New Roman"/>
        </w:rPr>
        <w:t xml:space="preserve">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r>
        <w:fldChar w:fldCharType="begin"/>
      </w:r>
      <w:r>
        <w:instrText xml:space="preserve"> HYPERLINK "consultantplus://offline/ref=9516E5BBD9BBECF8ED85BC7B04A57BE6B326C944924B840A14E41D143ADCE864B55480174BBB50CDD4A0B9A76C40CA545C7E2ADF57E1F0C7qAJ" </w:instrText>
      </w:r>
      <w:r>
        <w:fldChar w:fldCharType="separate"/>
      </w:r>
      <w:r>
        <w:rPr>
          <w:rFonts w:ascii="Times New Roman" w:hAnsi="Times New Roman" w:eastAsia="Times New Roman" w:cs="Times New Roman"/>
          <w:color w:val="0000FF"/>
        </w:rPr>
        <w:t>кодексом</w:t>
      </w:r>
      <w:r>
        <w:rPr>
          <w:rFonts w:ascii="Times New Roman" w:hAnsi="Times New Roman" w:eastAsia="Times New Roman" w:cs="Times New Roman"/>
          <w:color w:val="0000FF"/>
        </w:rPr>
        <w:fldChar w:fldCharType="end"/>
      </w:r>
      <w:r>
        <w:rPr>
          <w:rFonts w:ascii="Times New Roman" w:hAnsi="Times New Roman" w:eastAsia="Times New Roman" w:cs="Times New Roman"/>
        </w:rPr>
        <w:t xml:space="preserve"> Российской Федерации оснований для отказа в удовлетворении этого требования;</w:t>
      </w:r>
    </w:p>
    <w:p w14:paraId="3E998337">
      <w:pPr>
        <w:autoSpaceDE w:val="0"/>
        <w:autoSpaceDN w:val="0"/>
        <w:adjustRightInd w:val="0"/>
        <w:spacing w:after="0" w:line="240" w:lineRule="auto"/>
        <w:ind w:firstLine="360"/>
        <w:jc w:val="both"/>
        <w:rPr>
          <w:rFonts w:ascii="Times New Roman" w:hAnsi="Times New Roman" w:eastAsia="Times New Roman" w:cs="Times New Roman"/>
        </w:rPr>
      </w:pPr>
      <w:r>
        <w:rPr>
          <w:rFonts w:ascii="Times New Roman" w:hAnsi="Times New Roman" w:eastAsia="Times New Roman" w:cs="Times New Roman"/>
        </w:rPr>
        <w:t xml:space="preserve">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w:t>
      </w:r>
      <w:r>
        <w:fldChar w:fldCharType="begin"/>
      </w:r>
      <w:r>
        <w:instrText xml:space="preserve"> HYPERLINK "consultantplus://offline/ref=9516E5BBD9BBECF8ED85BC7B04A57BE6B326CC42974C840A14E41D143ADCE864B55480134EB45F9F8EB0BDEE394BD453426128C157CEq3J" </w:instrText>
      </w:r>
      <w:r>
        <w:fldChar w:fldCharType="separate"/>
      </w:r>
      <w:r>
        <w:rPr>
          <w:rFonts w:ascii="Times New Roman" w:hAnsi="Times New Roman" w:eastAsia="Times New Roman" w:cs="Times New Roman"/>
          <w:color w:val="0000FF"/>
        </w:rPr>
        <w:t>пунктом 4 части 32</w:t>
      </w:r>
      <w:r>
        <w:rPr>
          <w:rFonts w:ascii="Times New Roman" w:hAnsi="Times New Roman" w:eastAsia="Times New Roman" w:cs="Times New Roman"/>
          <w:color w:val="0000FF"/>
        </w:rPr>
        <w:fldChar w:fldCharType="end"/>
      </w:r>
      <w:r>
        <w:rPr>
          <w:rFonts w:ascii="Times New Roman" w:hAnsi="Times New Roman" w:eastAsia="Times New Roman" w:cs="Times New Roman"/>
        </w:rPr>
        <w:t xml:space="preserve"> </w:t>
      </w:r>
      <w:r>
        <w:rPr>
          <w:rFonts w:ascii="Times New Roman" w:hAnsi="Times New Roman" w:eastAsia="Times New Roman" w:cs="Times New Roman"/>
          <w:color w:val="000000"/>
          <w:lang w:eastAsia="ru-RU"/>
        </w:rPr>
        <w:t>Закона № 223-ФЗ</w:t>
      </w:r>
      <w:r>
        <w:rPr>
          <w:rFonts w:ascii="Times New Roman" w:hAnsi="Times New Roman" w:eastAsia="Times New Roman" w:cs="Times New Roman"/>
        </w:rPr>
        <w:t>;</w:t>
      </w:r>
    </w:p>
    <w:p w14:paraId="5D80807B">
      <w:pPr>
        <w:autoSpaceDE w:val="0"/>
        <w:autoSpaceDN w:val="0"/>
        <w:adjustRightInd w:val="0"/>
        <w:spacing w:after="0" w:line="240" w:lineRule="auto"/>
        <w:ind w:firstLine="360"/>
        <w:jc w:val="both"/>
        <w:rPr>
          <w:rFonts w:ascii="Times New Roman" w:hAnsi="Times New Roman" w:eastAsia="Times New Roman" w:cs="Times New Roman"/>
        </w:rPr>
      </w:pPr>
      <w:r>
        <w:rPr>
          <w:rFonts w:ascii="Times New Roman" w:hAnsi="Times New Roman" w:eastAsia="Times New Roman" w:cs="Times New Roman"/>
        </w:rPr>
        <w:t>5)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настоящей статьей, является основанием для отказа в принятии ее заказчиком;</w:t>
      </w:r>
    </w:p>
    <w:p w14:paraId="4CB6FFF2">
      <w:pPr>
        <w:autoSpaceDE w:val="0"/>
        <w:autoSpaceDN w:val="0"/>
        <w:adjustRightInd w:val="0"/>
        <w:spacing w:after="0" w:line="240" w:lineRule="auto"/>
        <w:ind w:firstLine="360"/>
        <w:jc w:val="both"/>
        <w:rPr>
          <w:rFonts w:ascii="Times New Roman" w:hAnsi="Times New Roman" w:eastAsia="Times New Roman" w:cs="Times New Roman"/>
        </w:rPr>
      </w:pPr>
      <w:r>
        <w:rPr>
          <w:rFonts w:ascii="Times New Roman" w:hAnsi="Times New Roman" w:eastAsia="Times New Roman" w:cs="Times New Roman"/>
        </w:rPr>
        <w:t>6)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04816F32">
      <w:pPr>
        <w:autoSpaceDE w:val="0"/>
        <w:autoSpaceDN w:val="0"/>
        <w:adjustRightInd w:val="0"/>
        <w:spacing w:after="0" w:line="240" w:lineRule="auto"/>
        <w:ind w:firstLine="11"/>
        <w:jc w:val="both"/>
        <w:rPr>
          <w:rFonts w:ascii="Times New Roman" w:hAnsi="Times New Roman" w:eastAsia="Times New Roman" w:cs="Times New Roman"/>
        </w:rPr>
      </w:pPr>
      <w:r>
        <w:rPr>
          <w:rFonts w:ascii="Times New Roman" w:hAnsi="Times New Roman" w:eastAsia="Times New Roman" w:cs="Times New Roman"/>
        </w:rPr>
        <w:t>7.2.4. При этом такая независимая гарантия:</w:t>
      </w:r>
    </w:p>
    <w:p w14:paraId="27C29E4F">
      <w:pPr>
        <w:autoSpaceDE w:val="0"/>
        <w:autoSpaceDN w:val="0"/>
        <w:adjustRightInd w:val="0"/>
        <w:spacing w:after="0" w:line="240" w:lineRule="auto"/>
        <w:ind w:firstLine="708"/>
        <w:jc w:val="both"/>
        <w:rPr>
          <w:rFonts w:ascii="Times New Roman" w:hAnsi="Times New Roman" w:eastAsia="Times New Roman" w:cs="Times New Roman"/>
        </w:rPr>
      </w:pPr>
      <w:r>
        <w:rPr>
          <w:rFonts w:ascii="Times New Roman" w:hAnsi="Times New Roman" w:eastAsia="Times New Roman" w:cs="Times New Roman"/>
        </w:rP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2751590B">
      <w:pPr>
        <w:autoSpaceDE w:val="0"/>
        <w:autoSpaceDN w:val="0"/>
        <w:adjustRightInd w:val="0"/>
        <w:spacing w:after="0" w:line="240" w:lineRule="auto"/>
        <w:ind w:firstLine="708"/>
        <w:jc w:val="both"/>
        <w:rPr>
          <w:rFonts w:ascii="Times New Roman" w:hAnsi="Times New Roman" w:eastAsia="Times New Roman" w:cs="Times New Roman"/>
        </w:rPr>
      </w:pPr>
      <w:r>
        <w:rPr>
          <w:rFonts w:ascii="Times New Roman" w:hAnsi="Times New Roman" w:eastAsia="Times New Roman" w:cs="Times New Roman"/>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2D640538">
      <w:pPr>
        <w:autoSpaceDE w:val="0"/>
        <w:autoSpaceDN w:val="0"/>
        <w:adjustRightInd w:val="0"/>
        <w:spacing w:after="0" w:line="240" w:lineRule="auto"/>
        <w:ind w:firstLine="11"/>
        <w:jc w:val="both"/>
        <w:rPr>
          <w:rFonts w:ascii="Times New Roman" w:hAnsi="Times New Roman" w:eastAsia="Times New Roman" w:cs="Times New Roman"/>
        </w:rPr>
      </w:pPr>
      <w:r>
        <w:rPr>
          <w:rFonts w:ascii="Times New Roman" w:hAnsi="Times New Roman" w:eastAsia="Times New Roman" w:cs="Times New Roman"/>
        </w:rPr>
        <w:t xml:space="preserve">7.2.5. Типовая  </w:t>
      </w:r>
      <w:r>
        <w:fldChar w:fldCharType="begin"/>
      </w:r>
      <w:r>
        <w:instrText xml:space="preserve"> HYPERLINK "consultantplus://offline/ref=11033CFA9DF99BE37BE3039FF942A94679F0DB19477CE55BC41E36DDFBB9E5AA8F41B0B4269B505ECC67126E88B8A9571CB127CCE0A0FD34kF20J" </w:instrText>
      </w:r>
      <w:r>
        <w:fldChar w:fldCharType="separate"/>
      </w:r>
      <w:r>
        <w:rPr>
          <w:rFonts w:ascii="Times New Roman" w:hAnsi="Times New Roman" w:eastAsia="Times New Roman" w:cs="Times New Roman"/>
        </w:rPr>
        <w:t>форма</w:t>
      </w:r>
      <w:r>
        <w:rPr>
          <w:rFonts w:ascii="Times New Roman" w:hAnsi="Times New Roman" w:eastAsia="Times New Roman" w:cs="Times New Roman"/>
        </w:rPr>
        <w:fldChar w:fldCharType="end"/>
      </w:r>
      <w:r>
        <w:rPr>
          <w:rFonts w:ascii="Times New Roman" w:hAnsi="Times New Roman" w:eastAsia="Times New Roman" w:cs="Times New Roman"/>
        </w:rPr>
        <w:t xml:space="preserve"> независимой гарантии, предоставляемой в качестве обеспечения исполнения договора, заключаемого по результатам такой закупки, </w:t>
      </w:r>
      <w:r>
        <w:fldChar w:fldCharType="begin"/>
      </w:r>
      <w:r>
        <w:instrText xml:space="preserve"> HYPERLINK "consultantplus://offline/ref=7C299F60E722663225B05484E678FA768E2B0C34AA41466C89A7276099D991097A0A273C989E09F8C64AFFD939D7DA6D8B57E5A735D7046E263CJ" </w:instrText>
      </w:r>
      <w:r>
        <w:fldChar w:fldCharType="separate"/>
      </w:r>
      <w:r>
        <w:rPr>
          <w:rFonts w:ascii="Times New Roman" w:hAnsi="Times New Roman" w:eastAsia="Times New Roman" w:cs="Times New Roman"/>
          <w:color w:val="0000FF"/>
        </w:rPr>
        <w:t>дополнительные требования</w:t>
      </w:r>
      <w:r>
        <w:rPr>
          <w:rFonts w:ascii="Times New Roman" w:hAnsi="Times New Roman" w:eastAsia="Times New Roman" w:cs="Times New Roman"/>
          <w:color w:val="0000FF"/>
        </w:rPr>
        <w:fldChar w:fldCharType="end"/>
      </w:r>
      <w:r>
        <w:rPr>
          <w:rFonts w:ascii="Times New Roman" w:hAnsi="Times New Roman" w:eastAsia="Times New Roman" w:cs="Times New Roman"/>
        </w:rPr>
        <w:t>,</w:t>
      </w:r>
    </w:p>
    <w:p w14:paraId="3C82CA7F">
      <w:pPr>
        <w:autoSpaceDE w:val="0"/>
        <w:autoSpaceDN w:val="0"/>
        <w:adjustRightInd w:val="0"/>
        <w:spacing w:after="0" w:line="240" w:lineRule="auto"/>
        <w:ind w:firstLine="11"/>
        <w:jc w:val="both"/>
        <w:rPr>
          <w:rFonts w:ascii="Times New Roman" w:hAnsi="Times New Roman" w:eastAsia="Times New Roman" w:cs="Times New Roman"/>
        </w:rPr>
      </w:pPr>
      <w:r>
        <w:fldChar w:fldCharType="begin"/>
      </w:r>
      <w:r>
        <w:instrText xml:space="preserve"> HYPERLINK "consultantplus://offline/ref=7C299F60E722663225B05484E678FA768E2B0C34AA41466C89A7276099D991097A0A273C989E09FDCE4AFFD939D7DA6D8B57E5A735D7046E263CJ" </w:instrText>
      </w:r>
      <w:r>
        <w:fldChar w:fldCharType="separate"/>
      </w:r>
      <w:r>
        <w:rPr>
          <w:rFonts w:ascii="Times New Roman" w:hAnsi="Times New Roman" w:eastAsia="Times New Roman" w:cs="Times New Roman"/>
          <w:color w:val="0000FF"/>
        </w:rPr>
        <w:t>перечень</w:t>
      </w:r>
      <w:r>
        <w:rPr>
          <w:rFonts w:ascii="Times New Roman" w:hAnsi="Times New Roman" w:eastAsia="Times New Roman" w:cs="Times New Roman"/>
          <w:color w:val="0000FF"/>
        </w:rPr>
        <w:fldChar w:fldCharType="end"/>
      </w:r>
      <w:r>
        <w:rPr>
          <w:rFonts w:ascii="Times New Roman" w:hAnsi="Times New Roman" w:eastAsia="Times New Roman" w:cs="Times New Roman"/>
        </w:rPr>
        <w:t xml:space="preserve"> документов, представляемых заказчиком гаранту одновременно с требованием об уплате денежной суммы по независимой гарантии, </w:t>
      </w:r>
      <w:r>
        <w:fldChar w:fldCharType="begin"/>
      </w:r>
      <w:r>
        <w:instrText xml:space="preserve"> HYPERLINK "consultantplus://offline/ref=F9120FA1A84FE79018746EEB2C6CF3434A32CCE6270F6D57CAE4695DD01D641311DD6C055278C005D6B3C03900E72465895EC32BE60B1A99cF45J" </w:instrText>
      </w:r>
      <w:r>
        <w:fldChar w:fldCharType="separate"/>
      </w:r>
      <w:r>
        <w:rPr>
          <w:rFonts w:ascii="Times New Roman" w:hAnsi="Times New Roman" w:eastAsia="Times New Roman" w:cs="Times New Roman"/>
          <w:color w:val="0000FF"/>
        </w:rPr>
        <w:t>особенности</w:t>
      </w:r>
      <w:r>
        <w:rPr>
          <w:rFonts w:ascii="Times New Roman" w:hAnsi="Times New Roman" w:eastAsia="Times New Roman" w:cs="Times New Roman"/>
          <w:color w:val="0000FF"/>
        </w:rPr>
        <w:fldChar w:fldCharType="end"/>
      </w:r>
      <w:r>
        <w:rPr>
          <w:rFonts w:ascii="Times New Roman" w:hAnsi="Times New Roman" w:eastAsia="Times New Roman" w:cs="Times New Roman"/>
        </w:rPr>
        <w:t xml:space="preserve"> порядка ведения реестра независимых гарантий</w:t>
      </w:r>
    </w:p>
    <w:p w14:paraId="3ABF0DD6">
      <w:pPr>
        <w:autoSpaceDE w:val="0"/>
        <w:autoSpaceDN w:val="0"/>
        <w:adjustRightInd w:val="0"/>
        <w:spacing w:after="0" w:line="240" w:lineRule="auto"/>
        <w:ind w:firstLine="11"/>
        <w:jc w:val="both"/>
        <w:rPr>
          <w:rFonts w:ascii="Times New Roman" w:hAnsi="Times New Roman" w:eastAsia="Times New Roman" w:cs="Times New Roman"/>
        </w:rPr>
      </w:pPr>
      <w:r>
        <w:rPr>
          <w:rFonts w:ascii="Times New Roman" w:hAnsi="Times New Roman" w:eastAsia="Times New Roman" w:cs="Times New Roman"/>
        </w:rPr>
        <w:t>установлены Постановлением Правительства РФ от 09.08.2022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14:paraId="0247562D">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7.2.6. Денежные средства,  вносимые в обеспечение исполнения договора, должны быть перечислены в размере, указанном в Информационной карте документации об аукционе. </w:t>
      </w:r>
    </w:p>
    <w:p w14:paraId="76A25C51">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7.2.7. В случае если документы, предоставленные в качестве обеспечения исполнения договора, не отвечают вышеизложенным требованиям, такие документы не будут приниматься в качестве обеспечения исполнения договора.</w:t>
      </w:r>
    </w:p>
    <w:p w14:paraId="04FDB881">
      <w:pPr>
        <w:numPr>
          <w:ilvl w:val="0"/>
          <w:numId w:val="22"/>
        </w:numPr>
        <w:spacing w:after="0" w:line="240" w:lineRule="auto"/>
        <w:jc w:val="both"/>
        <w:outlineLvl w:val="1"/>
        <w:rPr>
          <w:rFonts w:ascii="Times New Roman" w:hAnsi="Times New Roman" w:eastAsia="Times New Roman" w:cs="Times New Roman"/>
          <w:b/>
          <w:bCs/>
          <w:caps/>
          <w:lang w:eastAsia="ru-RU"/>
        </w:rPr>
      </w:pPr>
      <w:bookmarkStart w:id="78" w:name="_Toc432073124"/>
      <w:bookmarkStart w:id="79" w:name="_Toc1576668"/>
      <w:r>
        <w:rPr>
          <w:rFonts w:ascii="Times New Roman" w:hAnsi="Times New Roman" w:eastAsia="Times New Roman" w:cs="Times New Roman"/>
          <w:b/>
          <w:bCs/>
          <w:caps/>
          <w:lang w:eastAsia="ru-RU"/>
        </w:rPr>
        <w:t>Раздел VI</w:t>
      </w:r>
      <w:r>
        <w:rPr>
          <w:rFonts w:ascii="Times New Roman" w:hAnsi="Times New Roman" w:eastAsia="Times New Roman" w:cs="Times New Roman"/>
          <w:b/>
          <w:bCs/>
          <w:caps/>
          <w:lang w:val="en-US" w:eastAsia="ru-RU"/>
        </w:rPr>
        <w:t>i</w:t>
      </w:r>
      <w:r>
        <w:rPr>
          <w:rFonts w:ascii="Times New Roman" w:hAnsi="Times New Roman" w:eastAsia="Times New Roman" w:cs="Times New Roman"/>
          <w:b/>
          <w:bCs/>
          <w:caps/>
          <w:lang w:eastAsia="ru-RU"/>
        </w:rPr>
        <w:t>I. Изменение, расторжение договора.</w:t>
      </w:r>
      <w:bookmarkEnd w:id="78"/>
      <w:bookmarkEnd w:id="79"/>
    </w:p>
    <w:p w14:paraId="08D1705F">
      <w:pPr>
        <w:numPr>
          <w:ilvl w:val="1"/>
          <w:numId w:val="24"/>
        </w:numPr>
        <w:spacing w:after="0" w:line="240" w:lineRule="auto"/>
        <w:jc w:val="both"/>
        <w:outlineLvl w:val="2"/>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Изменение договора.</w:t>
      </w:r>
    </w:p>
    <w:p w14:paraId="4E5F6085">
      <w:pPr>
        <w:autoSpaceDE w:val="0"/>
        <w:autoSpaceDN w:val="0"/>
        <w:adjustRightInd w:val="0"/>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8.1.1. Изменение договоров, заключенных по результатам процедур закупок, осуществляется в порядке и по основаниям, предусмотренным положениями заключаемых договоров, а также законодательством РФ с учетом особенностей, установленных Положением и документацией об аукционе.</w:t>
      </w:r>
    </w:p>
    <w:p w14:paraId="792D2E8B">
      <w:pPr>
        <w:autoSpaceDE w:val="0"/>
        <w:autoSpaceDN w:val="0"/>
        <w:adjustRightInd w:val="0"/>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8.1.2. При исполнении договора, заключенного с участником закупки, которому предоставлен приоритет в соответствии с 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27C2A072">
      <w:pPr>
        <w:widowControl w:val="0"/>
        <w:autoSpaceDE w:val="0"/>
        <w:autoSpaceDN w:val="0"/>
        <w:adjustRightInd w:val="0"/>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 xml:space="preserve">8.1.3. </w:t>
      </w:r>
      <w:r>
        <w:rPr>
          <w:rFonts w:ascii="Times New Roman" w:hAnsi="Times New Roman" w:eastAsia="Times New Roman" w:cs="Times New Roman"/>
          <w:lang w:eastAsia="ru-RU"/>
        </w:rPr>
        <w:t>При заключении и исполнении договора Заказчик по согласованию с участником, с которым заключается договор, вправе увеличить количество поставляемого товара, если это предусмотрено извещением и (или) документацией об аукционе. Цена единицы товара в таком случае не должна превышать цену, определяемую как частное от деления цены договора, указанной в заявке участника закупки с которым заключается договор, на количество товара, установленное в извещении и (или) документации об аукционе.</w:t>
      </w:r>
    </w:p>
    <w:p w14:paraId="2EB2BC19">
      <w:pPr>
        <w:widowControl w:val="0"/>
        <w:autoSpaceDE w:val="0"/>
        <w:autoSpaceDN w:val="0"/>
        <w:adjustRightInd w:val="0"/>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8.1.4. 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6E09414B">
      <w:pPr>
        <w:numPr>
          <w:ilvl w:val="1"/>
          <w:numId w:val="24"/>
        </w:numPr>
        <w:spacing w:after="0" w:line="240" w:lineRule="auto"/>
        <w:ind w:left="0" w:firstLine="0"/>
        <w:jc w:val="both"/>
        <w:outlineLvl w:val="2"/>
        <w:rPr>
          <w:rFonts w:ascii="Times New Roman" w:hAnsi="Times New Roman" w:eastAsia="Times New Roman" w:cs="Times New Roman"/>
          <w:b/>
          <w:bCs/>
          <w:lang w:eastAsia="ru-RU"/>
        </w:rPr>
      </w:pPr>
      <w:r>
        <w:rPr>
          <w:rFonts w:ascii="Times New Roman" w:hAnsi="Times New Roman" w:eastAsia="Times New Roman" w:cs="Times New Roman"/>
          <w:b/>
          <w:bCs/>
          <w:lang w:eastAsia="ru-RU"/>
        </w:rPr>
        <w:t>Расторжение договора.</w:t>
      </w:r>
    </w:p>
    <w:p w14:paraId="3B488394">
      <w:pPr>
        <w:numPr>
          <w:ilvl w:val="2"/>
          <w:numId w:val="25"/>
        </w:numPr>
        <w:autoSpaceDE w:val="0"/>
        <w:autoSpaceDN w:val="0"/>
        <w:adjustRightInd w:val="0"/>
        <w:spacing w:after="0" w:line="240" w:lineRule="auto"/>
        <w:ind w:left="0" w:firstLine="0"/>
        <w:jc w:val="both"/>
        <w:rPr>
          <w:rFonts w:ascii="Times New Roman" w:hAnsi="Times New Roman" w:eastAsia="Times New Roman" w:cs="Times New Roman"/>
          <w:lang w:eastAsia="ru-RU"/>
        </w:rPr>
      </w:pPr>
      <w:r>
        <w:rPr>
          <w:rFonts w:ascii="Times New Roman" w:hAnsi="Times New Roman" w:eastAsia="Times New Roman" w:cs="Times New Roman"/>
          <w:lang w:eastAsia="ru-RU"/>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1647BC4">
      <w:pPr>
        <w:numPr>
          <w:ilvl w:val="2"/>
          <w:numId w:val="25"/>
        </w:numPr>
        <w:autoSpaceDE w:val="0"/>
        <w:autoSpaceDN w:val="0"/>
        <w:adjustRightInd w:val="0"/>
        <w:spacing w:after="0" w:line="240" w:lineRule="auto"/>
        <w:ind w:left="0" w:firstLine="0"/>
        <w:jc w:val="both"/>
        <w:rPr>
          <w:rFonts w:ascii="Times New Roman" w:hAnsi="Times New Roman" w:eastAsia="Times New Roman" w:cs="Times New Roman"/>
          <w:lang w:eastAsia="ru-RU"/>
        </w:rPr>
      </w:pPr>
      <w:r>
        <w:rPr>
          <w:rFonts w:ascii="Times New Roman" w:hAnsi="Times New Roman" w:eastAsia="Times New Roman" w:cs="Times New Roman"/>
          <w:lang w:eastAsia="ru-RU"/>
        </w:rPr>
        <w:t>Заказчик вправе принять решение об одностороннем отказе от исполнения договора в соответствии с гражданским законодательством Российской Федерации.</w:t>
      </w:r>
    </w:p>
    <w:p w14:paraId="79D6120D">
      <w:pPr>
        <w:numPr>
          <w:ilvl w:val="2"/>
          <w:numId w:val="25"/>
        </w:numPr>
        <w:autoSpaceDE w:val="0"/>
        <w:autoSpaceDN w:val="0"/>
        <w:adjustRightInd w:val="0"/>
        <w:spacing w:after="0" w:line="240" w:lineRule="auto"/>
        <w:ind w:left="0" w:firstLine="0"/>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договора. Требование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w:t>
      </w:r>
    </w:p>
    <w:p w14:paraId="71DE3A88">
      <w:pPr>
        <w:numPr>
          <w:ilvl w:val="2"/>
          <w:numId w:val="25"/>
        </w:numPr>
        <w:autoSpaceDE w:val="0"/>
        <w:autoSpaceDN w:val="0"/>
        <w:adjustRightInd w:val="0"/>
        <w:spacing w:after="0" w:line="240" w:lineRule="auto"/>
        <w:ind w:left="0" w:firstLine="0"/>
        <w:jc w:val="both"/>
        <w:rPr>
          <w:rFonts w:ascii="Times New Roman" w:hAnsi="Times New Roman" w:eastAsia="Times New Roman" w:cs="Times New Roman"/>
          <w:lang w:eastAsia="ru-RU"/>
        </w:rPr>
      </w:pPr>
      <w:r>
        <w:rPr>
          <w:rFonts w:ascii="Times New Roman" w:hAnsi="Times New Roman" w:eastAsia="Times New Roman" w:cs="Times New Roman"/>
          <w:lang w:eastAsia="ru-RU"/>
        </w:rPr>
        <w:t>Если договор расторгается, Заказчик вправе заключить новый договор в соответствии с порядком, установленным настоящим Положением, при уклонении победителя закупки от заключения договора. Договор заключается с согласия такого участника закупки на условиях, предусмотренных настоящим Положением.</w:t>
      </w:r>
    </w:p>
    <w:p w14:paraId="22F005E7">
      <w:pPr>
        <w:numPr>
          <w:ilvl w:val="2"/>
          <w:numId w:val="25"/>
        </w:numPr>
        <w:autoSpaceDE w:val="0"/>
        <w:autoSpaceDN w:val="0"/>
        <w:adjustRightInd w:val="0"/>
        <w:spacing w:after="0" w:line="240" w:lineRule="auto"/>
        <w:ind w:left="0" w:firstLine="0"/>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Если до расторжения договора поставщик (исполнитель, подрядчик) частично исполнил обязательства по нему, при заключении нового договора количество поставляемого товара, объем выполняемых работ, оказываемых услуг и цена договора должны быть уменьшены с учетом количества поставленного товара, объема выполненных работ, оказанных услуг по договору, ранее заключенному с победителем (единственным участником) закупок. При этом цена договора должна быть уменьшена пропорционально количеству поставленного товара, объему выполненных работ, оказанных услуг.</w:t>
      </w:r>
    </w:p>
    <w:p w14:paraId="24805E87">
      <w:pPr>
        <w:autoSpaceDE w:val="0"/>
        <w:autoSpaceDN w:val="0"/>
        <w:adjustRightInd w:val="0"/>
        <w:spacing w:after="0" w:line="240" w:lineRule="auto"/>
        <w:jc w:val="both"/>
        <w:rPr>
          <w:rFonts w:ascii="Times New Roman" w:hAnsi="Times New Roman" w:eastAsia="Times New Roman" w:cs="Times New Roman"/>
          <w:color w:val="000000"/>
          <w:lang w:eastAsia="ru-RU"/>
        </w:rPr>
      </w:pPr>
    </w:p>
    <w:p w14:paraId="00026A70">
      <w:pPr>
        <w:spacing w:before="120" w:after="0" w:line="240" w:lineRule="auto"/>
        <w:jc w:val="both"/>
        <w:outlineLvl w:val="0"/>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br w:type="page"/>
      </w:r>
    </w:p>
    <w:p w14:paraId="19F874B2">
      <w:pPr>
        <w:tabs>
          <w:tab w:val="right" w:leader="dot" w:pos="9911"/>
        </w:tabs>
        <w:spacing w:before="360" w:after="360" w:line="240" w:lineRule="auto"/>
        <w:ind w:firstLine="11"/>
        <w:jc w:val="both"/>
        <w:rPr>
          <w:rFonts w:ascii="Times New Roman" w:hAnsi="Times New Roman" w:eastAsia="Times New Roman" w:cs="Times New Roman"/>
          <w:bCs/>
          <w:u w:val="single"/>
          <w:lang w:eastAsia="ru-RU"/>
        </w:rPr>
      </w:pPr>
      <w:r>
        <w:rPr>
          <w:rFonts w:ascii="Times New Roman" w:hAnsi="Times New Roman" w:eastAsia="Times New Roman" w:cs="Times New Roman"/>
          <w:b/>
          <w:bCs/>
          <w:caps/>
          <w:u w:val="single"/>
          <w:lang w:eastAsia="ru-RU"/>
        </w:rPr>
        <w:t>Раздел I</w:t>
      </w:r>
      <w:r>
        <w:rPr>
          <w:rFonts w:ascii="Times New Roman" w:hAnsi="Times New Roman" w:eastAsia="Times New Roman" w:cs="Times New Roman"/>
          <w:b/>
          <w:bCs/>
          <w:caps/>
          <w:u w:val="single"/>
          <w:lang w:val="en-US" w:eastAsia="ru-RU"/>
        </w:rPr>
        <w:t>X</w:t>
      </w:r>
      <w:r>
        <w:rPr>
          <w:rFonts w:ascii="Times New Roman" w:hAnsi="Times New Roman" w:eastAsia="Times New Roman" w:cs="Times New Roman"/>
          <w:b/>
          <w:bCs/>
          <w:caps/>
          <w:u w:val="single"/>
          <w:lang w:eastAsia="ru-RU"/>
        </w:rPr>
        <w:t>. Информационная карта аукциона</w:t>
      </w:r>
      <w:bookmarkEnd w:id="0"/>
      <w:r>
        <w:rPr>
          <w:rFonts w:ascii="Times New Roman" w:hAnsi="Times New Roman" w:eastAsia="Times New Roman" w:cs="Times New Roman"/>
          <w:b/>
          <w:bCs/>
          <w:caps/>
          <w:u w:val="single"/>
          <w:lang w:eastAsia="ru-RU"/>
        </w:rPr>
        <w:t>.</w:t>
      </w:r>
      <w:bookmarkEnd w:id="1"/>
    </w:p>
    <w:tbl>
      <w:tblPr>
        <w:tblStyle w:val="14"/>
        <w:tblW w:w="10205" w:type="dxa"/>
        <w:tblInd w:w="-102" w:type="dxa"/>
        <w:tblLayout w:type="fixed"/>
        <w:tblCellMar>
          <w:top w:w="0" w:type="dxa"/>
          <w:left w:w="40" w:type="dxa"/>
          <w:bottom w:w="0" w:type="dxa"/>
          <w:right w:w="40" w:type="dxa"/>
        </w:tblCellMar>
      </w:tblPr>
      <w:tblGrid>
        <w:gridCol w:w="851"/>
        <w:gridCol w:w="2410"/>
        <w:gridCol w:w="6944"/>
      </w:tblGrid>
      <w:tr w14:paraId="251C1356">
        <w:tblPrEx>
          <w:tblCellMar>
            <w:top w:w="0" w:type="dxa"/>
            <w:left w:w="40" w:type="dxa"/>
            <w:bottom w:w="0" w:type="dxa"/>
            <w:right w:w="40" w:type="dxa"/>
          </w:tblCellMar>
        </w:tblPrEx>
        <w:trPr>
          <w:trHeight w:val="845" w:hRule="atLeast"/>
        </w:trPr>
        <w:tc>
          <w:tcPr>
            <w:tcW w:w="851" w:type="dxa"/>
            <w:tcBorders>
              <w:top w:val="single" w:color="auto" w:sz="6" w:space="0"/>
              <w:left w:val="single" w:color="auto" w:sz="6" w:space="0"/>
              <w:bottom w:val="single" w:color="auto" w:sz="6" w:space="0"/>
              <w:right w:val="single" w:color="auto" w:sz="6" w:space="0"/>
            </w:tcBorders>
            <w:shd w:val="clear" w:color="auto" w:fill="FFFFFF"/>
            <w:vAlign w:val="center"/>
          </w:tcPr>
          <w:p w14:paraId="7CB5BE09">
            <w:pPr>
              <w:shd w:val="clear" w:color="auto" w:fill="FFFFFF"/>
              <w:autoSpaceDE w:val="0"/>
              <w:autoSpaceDN w:val="0"/>
              <w:adjustRightInd w:val="0"/>
              <w:spacing w:after="0" w:line="240" w:lineRule="auto"/>
              <w:ind w:firstLine="11"/>
              <w:contextualSpacing/>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lang w:eastAsia="ru-RU"/>
              </w:rPr>
              <w:t xml:space="preserve">№ </w:t>
            </w:r>
            <w:r>
              <w:rPr>
                <w:rFonts w:ascii="Times New Roman" w:hAnsi="Times New Roman" w:eastAsia="Times New Roman" w:cs="Times New Roman"/>
                <w:b/>
                <w:bCs/>
                <w:color w:val="000000"/>
                <w:lang w:eastAsia="ru-RU"/>
              </w:rPr>
              <w:t>п/п</w:t>
            </w:r>
          </w:p>
        </w:tc>
        <w:tc>
          <w:tcPr>
            <w:tcW w:w="2410" w:type="dxa"/>
            <w:tcBorders>
              <w:top w:val="single" w:color="auto" w:sz="6" w:space="0"/>
              <w:left w:val="single" w:color="auto" w:sz="6" w:space="0"/>
              <w:bottom w:val="single" w:color="auto" w:sz="6" w:space="0"/>
              <w:right w:val="single" w:color="auto" w:sz="6" w:space="0"/>
            </w:tcBorders>
            <w:shd w:val="clear" w:color="auto" w:fill="FFFFFF"/>
            <w:vAlign w:val="center"/>
          </w:tcPr>
          <w:p w14:paraId="7833AD0C">
            <w:pPr>
              <w:shd w:val="clear" w:color="auto" w:fill="FFFFFF"/>
              <w:autoSpaceDE w:val="0"/>
              <w:autoSpaceDN w:val="0"/>
              <w:adjustRightInd w:val="0"/>
              <w:spacing w:after="0" w:line="240" w:lineRule="auto"/>
              <w:ind w:firstLine="11"/>
              <w:contextualSpacing/>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lang w:eastAsia="ru-RU"/>
              </w:rPr>
              <w:t>Название пункта</w:t>
            </w:r>
          </w:p>
        </w:tc>
        <w:tc>
          <w:tcPr>
            <w:tcW w:w="6944" w:type="dxa"/>
            <w:tcBorders>
              <w:top w:val="single" w:color="auto" w:sz="6" w:space="0"/>
              <w:left w:val="single" w:color="auto" w:sz="6" w:space="0"/>
              <w:bottom w:val="single" w:color="auto" w:sz="6" w:space="0"/>
              <w:right w:val="single" w:color="auto" w:sz="6" w:space="0"/>
            </w:tcBorders>
            <w:shd w:val="clear" w:color="auto" w:fill="FFFFFF"/>
            <w:vAlign w:val="center"/>
          </w:tcPr>
          <w:p w14:paraId="06ADA706">
            <w:pPr>
              <w:shd w:val="clear" w:color="auto" w:fill="FFFFFF"/>
              <w:autoSpaceDE w:val="0"/>
              <w:autoSpaceDN w:val="0"/>
              <w:adjustRightInd w:val="0"/>
              <w:spacing w:after="0" w:line="240" w:lineRule="auto"/>
              <w:ind w:firstLine="11"/>
              <w:contextualSpacing/>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lang w:eastAsia="ru-RU"/>
              </w:rPr>
              <w:t>Текст пояснений</w:t>
            </w:r>
          </w:p>
        </w:tc>
      </w:tr>
      <w:tr w14:paraId="112BCF00">
        <w:tblPrEx>
          <w:tblCellMar>
            <w:top w:w="0" w:type="dxa"/>
            <w:left w:w="40" w:type="dxa"/>
            <w:bottom w:w="0" w:type="dxa"/>
            <w:right w:w="40" w:type="dxa"/>
          </w:tblCellMar>
        </w:tblPrEx>
        <w:trPr>
          <w:trHeight w:val="127" w:hRule="atLeast"/>
        </w:trPr>
        <w:tc>
          <w:tcPr>
            <w:tcW w:w="851" w:type="dxa"/>
            <w:tcBorders>
              <w:top w:val="single" w:color="auto" w:sz="6" w:space="0"/>
              <w:left w:val="single" w:color="auto" w:sz="6" w:space="0"/>
              <w:bottom w:val="single" w:color="auto" w:sz="6" w:space="0"/>
              <w:right w:val="single" w:color="auto" w:sz="6" w:space="0"/>
            </w:tcBorders>
            <w:shd w:val="clear" w:color="auto" w:fill="FFFFFF"/>
            <w:vAlign w:val="center"/>
          </w:tcPr>
          <w:p w14:paraId="54AC84A6">
            <w:pPr>
              <w:shd w:val="clear" w:color="auto" w:fill="FFFFFF"/>
              <w:autoSpaceDE w:val="0"/>
              <w:autoSpaceDN w:val="0"/>
              <w:adjustRightInd w:val="0"/>
              <w:spacing w:after="0" w:line="240" w:lineRule="auto"/>
              <w:ind w:firstLine="11"/>
              <w:contextualSpacing/>
              <w:jc w:val="center"/>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1</w:t>
            </w:r>
          </w:p>
        </w:tc>
        <w:tc>
          <w:tcPr>
            <w:tcW w:w="2410" w:type="dxa"/>
            <w:tcBorders>
              <w:top w:val="single" w:color="auto" w:sz="6" w:space="0"/>
              <w:left w:val="single" w:color="auto" w:sz="6" w:space="0"/>
              <w:bottom w:val="single" w:color="auto" w:sz="6" w:space="0"/>
              <w:right w:val="single" w:color="auto" w:sz="6" w:space="0"/>
            </w:tcBorders>
            <w:shd w:val="clear" w:color="auto" w:fill="FFFFFF"/>
            <w:vAlign w:val="center"/>
          </w:tcPr>
          <w:p w14:paraId="69457751">
            <w:pPr>
              <w:shd w:val="clear" w:color="auto" w:fill="FFFFFF"/>
              <w:autoSpaceDE w:val="0"/>
              <w:autoSpaceDN w:val="0"/>
              <w:adjustRightInd w:val="0"/>
              <w:spacing w:after="0" w:line="240" w:lineRule="auto"/>
              <w:ind w:firstLine="11"/>
              <w:contextualSpacing/>
              <w:jc w:val="center"/>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2</w:t>
            </w:r>
          </w:p>
        </w:tc>
        <w:tc>
          <w:tcPr>
            <w:tcW w:w="6944" w:type="dxa"/>
            <w:tcBorders>
              <w:top w:val="single" w:color="auto" w:sz="6" w:space="0"/>
              <w:left w:val="single" w:color="auto" w:sz="6" w:space="0"/>
              <w:bottom w:val="single" w:color="auto" w:sz="6" w:space="0"/>
              <w:right w:val="single" w:color="auto" w:sz="6" w:space="0"/>
            </w:tcBorders>
            <w:shd w:val="clear" w:color="auto" w:fill="FFFFFF"/>
            <w:vAlign w:val="center"/>
          </w:tcPr>
          <w:p w14:paraId="7DF6904A">
            <w:pPr>
              <w:shd w:val="clear" w:color="auto" w:fill="FFFFFF"/>
              <w:autoSpaceDE w:val="0"/>
              <w:autoSpaceDN w:val="0"/>
              <w:adjustRightInd w:val="0"/>
              <w:spacing w:after="0" w:line="240" w:lineRule="auto"/>
              <w:ind w:firstLine="11"/>
              <w:contextualSpacing/>
              <w:jc w:val="center"/>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3</w:t>
            </w:r>
          </w:p>
        </w:tc>
      </w:tr>
      <w:tr w14:paraId="0D83CE19">
        <w:tblPrEx>
          <w:tblCellMar>
            <w:top w:w="0" w:type="dxa"/>
            <w:left w:w="40" w:type="dxa"/>
            <w:bottom w:w="0" w:type="dxa"/>
            <w:right w:w="40" w:type="dxa"/>
          </w:tblCellMar>
        </w:tblPrEx>
        <w:trPr>
          <w:trHeight w:val="127" w:hRule="atLeast"/>
        </w:trPr>
        <w:tc>
          <w:tcPr>
            <w:tcW w:w="10205" w:type="dxa"/>
            <w:gridSpan w:val="3"/>
            <w:tcBorders>
              <w:top w:val="single" w:color="auto" w:sz="6" w:space="0"/>
              <w:left w:val="single" w:color="auto" w:sz="6" w:space="0"/>
              <w:bottom w:val="single" w:color="auto" w:sz="6" w:space="0"/>
              <w:right w:val="single" w:color="auto" w:sz="6" w:space="0"/>
            </w:tcBorders>
            <w:shd w:val="clear" w:color="auto" w:fill="FFFFFF"/>
            <w:vAlign w:val="center"/>
          </w:tcPr>
          <w:p w14:paraId="44779D32">
            <w:pPr>
              <w:numPr>
                <w:ilvl w:val="0"/>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lang w:eastAsia="ru-RU"/>
              </w:rPr>
              <w:t>Общие сведения об аукционе, заказчике</w:t>
            </w:r>
          </w:p>
        </w:tc>
      </w:tr>
      <w:tr w14:paraId="5C0479D6">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3AE55090">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11BE83C9">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Сведения о Заказчике</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17DD9ACB">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Федеральное государственное бюджетное образовательное учреждение высшего образования «Петербургский государственный университет путей сообщения Императора Александра I»</w:t>
            </w:r>
          </w:p>
          <w:p w14:paraId="60B3FF65">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Юридический адрес: 190031, Санкт-Петербург, Московский пр., д.9</w:t>
            </w:r>
          </w:p>
          <w:p w14:paraId="2EE8FD66">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ОГРН 1027810241502</w:t>
            </w:r>
          </w:p>
          <w:p w14:paraId="2831D8C5">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ИНН / КПП 7812009592 / 783801001</w:t>
            </w:r>
          </w:p>
          <w:p w14:paraId="1D0F8E24">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УФК по Нижегородской области</w:t>
            </w:r>
          </w:p>
          <w:p w14:paraId="1F11524F">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(ФГБОУ ВО ПГУПС л/сч.20726X57890)</w:t>
            </w:r>
          </w:p>
          <w:p w14:paraId="7A1374FD">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ОКЦ №1 ВВГУ Банка России//УФК по Нижегородской области, </w:t>
            </w:r>
          </w:p>
          <w:p w14:paraId="11BB3B57">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г Нижний Новгород</w:t>
            </w:r>
          </w:p>
          <w:p w14:paraId="05BBEB61">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БИК 012202102   </w:t>
            </w:r>
          </w:p>
          <w:p w14:paraId="60406FDA">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Казначейский счет: 03214643000000013225</w:t>
            </w:r>
          </w:p>
          <w:p w14:paraId="2D87A586">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Счет в составе ЕКС: 40102810745370000024</w:t>
            </w:r>
          </w:p>
          <w:p w14:paraId="1E326163">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КБК 00000000000000000130</w:t>
            </w:r>
          </w:p>
          <w:p w14:paraId="078F40A5">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ОКТМО 40302000</w:t>
            </w:r>
          </w:p>
          <w:p w14:paraId="2D2B4640">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ОКОНХ 92110</w:t>
            </w:r>
          </w:p>
          <w:p w14:paraId="3D812DE7">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ОКПО 01115840</w:t>
            </w:r>
          </w:p>
          <w:p w14:paraId="22B85F83">
            <w:pPr>
              <w:tabs>
                <w:tab w:val="left" w:pos="1080"/>
              </w:tabs>
              <w:spacing w:after="0"/>
              <w:rPr>
                <w:rFonts w:ascii="Times New Roman" w:hAnsi="Times New Roman" w:cs="Times New Roman"/>
              </w:rPr>
            </w:pPr>
            <w:r>
              <w:rPr>
                <w:rFonts w:ascii="Times New Roman" w:hAnsi="Times New Roman" w:cs="Times New Roman"/>
              </w:rPr>
              <w:t>Тел./факс: (812) 436-9797 / 436-93-55;</w:t>
            </w:r>
          </w:p>
          <w:p w14:paraId="793FB719">
            <w:pPr>
              <w:tabs>
                <w:tab w:val="left" w:pos="1080"/>
              </w:tabs>
              <w:spacing w:after="0" w:line="240" w:lineRule="auto"/>
              <w:contextualSpacing/>
              <w:jc w:val="both"/>
              <w:rPr>
                <w:rFonts w:ascii="Times New Roman" w:hAnsi="Times New Roman" w:eastAsia="Times New Roman" w:cs="Times New Roman"/>
                <w:sz w:val="24"/>
                <w:szCs w:val="24"/>
                <w:lang w:val="en-US" w:eastAsia="ru-RU"/>
              </w:rPr>
            </w:pPr>
            <w:r>
              <w:rPr>
                <w:rFonts w:ascii="Times New Roman" w:hAnsi="Times New Roman" w:cs="Times New Roman"/>
                <w:lang w:val="en-US"/>
              </w:rPr>
              <w:t>E-mail: tradegz@bk.ru.</w:t>
            </w:r>
          </w:p>
        </w:tc>
      </w:tr>
      <w:tr w14:paraId="08F9CFC9">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1E0EF53B">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val="en-US"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67411F71">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Адрес электронной площадки в сети «Интернет»</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761CF390">
            <w:pPr>
              <w:tabs>
                <w:tab w:val="left" w:pos="1080"/>
              </w:tabs>
              <w:spacing w:after="0" w:line="240" w:lineRule="auto"/>
              <w:contextualSpacing/>
              <w:jc w:val="both"/>
              <w:rPr>
                <w:rFonts w:ascii="Times New Roman" w:hAnsi="Times New Roman" w:eastAsia="Times New Roman" w:cs="Times New Roman"/>
                <w:sz w:val="24"/>
                <w:szCs w:val="24"/>
                <w:lang w:eastAsia="ru-RU"/>
              </w:rPr>
            </w:pPr>
            <w:r>
              <w:fldChar w:fldCharType="begin"/>
            </w:r>
            <w:r>
              <w:instrText xml:space="preserve"> HYPERLINK "https://torgi82.ru/" </w:instrText>
            </w:r>
            <w:r>
              <w:fldChar w:fldCharType="separate"/>
            </w:r>
            <w:r>
              <w:rPr>
                <w:rStyle w:val="33"/>
                <w:rFonts w:ascii="Times New Roman" w:hAnsi="Times New Roman"/>
                <w:sz w:val="24"/>
                <w:szCs w:val="24"/>
              </w:rPr>
              <w:t>https://torgi82.ru/</w:t>
            </w:r>
            <w:r>
              <w:rPr>
                <w:rStyle w:val="33"/>
                <w:rFonts w:ascii="Times New Roman" w:hAnsi="Times New Roman"/>
                <w:sz w:val="24"/>
                <w:szCs w:val="24"/>
              </w:rPr>
              <w:fldChar w:fldCharType="end"/>
            </w:r>
            <w:r>
              <w:rPr>
                <w:rFonts w:ascii="Times New Roman" w:hAnsi="Times New Roman" w:cs="Times New Roman"/>
                <w:sz w:val="24"/>
                <w:szCs w:val="24"/>
              </w:rPr>
              <w:t xml:space="preserve"> </w:t>
            </w:r>
          </w:p>
        </w:tc>
      </w:tr>
      <w:tr w14:paraId="52A2CB82">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407F48E7">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6BBAB935">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Ответственное за заключение договора должностное лицо заказчика: </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1E26CD87">
            <w:pPr>
              <w:tabs>
                <w:tab w:val="left" w:pos="1080"/>
              </w:tabs>
              <w:spacing w:after="0" w:line="240" w:lineRule="auto"/>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Кошмак А.Н.</w:t>
            </w:r>
          </w:p>
          <w:p w14:paraId="5AA1249D">
            <w:pPr>
              <w:tabs>
                <w:tab w:val="left" w:pos="1080"/>
              </w:tabs>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тел.: +7(812)570-77-05.</w:t>
            </w:r>
          </w:p>
        </w:tc>
      </w:tr>
      <w:tr w14:paraId="13D2814C">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5A2F7132">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5402E027">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Наименование объекта закупки  </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25B70D03">
            <w:pPr>
              <w:autoSpaceDE w:val="0"/>
              <w:autoSpaceDN w:val="0"/>
              <w:adjustRightInd w:val="0"/>
              <w:spacing w:after="0" w:line="240" w:lineRule="auto"/>
              <w:jc w:val="both"/>
              <w:outlineLvl w:val="0"/>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1A1A1A"/>
                <w:shd w:val="clear" w:color="auto" w:fill="FFFFFF"/>
                <w:lang w:eastAsia="ru-RU"/>
              </w:rPr>
              <w:t>Выполнение работ по модернизации фрагмента локальной вычислительной сети (СКС в корпусах: 1,2,3,4,5,6,7,8,9,10 и 14) по адресу: г. Санкт-Петербург, Московский пр., д.9, лит А, набережная реки Фонтанки, д. 113, лит А</w:t>
            </w:r>
          </w:p>
        </w:tc>
      </w:tr>
      <w:tr w14:paraId="39F3FFA4">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5A4D2761">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72A063AC">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Описание объекта закупки, количество товаров, работ, услуг и условия договора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4D18FF6C">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В соответствии с Частью II. «Техническое задание (технические требования)» и Частью III. «Проект договора».</w:t>
            </w:r>
          </w:p>
        </w:tc>
      </w:tr>
      <w:tr w14:paraId="0700AE2E">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2027204A">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3C1CD3A6">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Начальная (максимальная) цена договора, порядок формирования цены договора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4F63B808">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Начальная (максимальная) цена договора: </w:t>
            </w:r>
            <w:r>
              <w:rPr>
                <w:rFonts w:ascii="Times New Roman" w:hAnsi="Times New Roman" w:eastAsia="Times New Roman" w:cs="Times New Roman"/>
                <w:color w:val="1A1A1A"/>
                <w:shd w:val="clear" w:color="auto" w:fill="FFFFFF"/>
                <w:lang w:eastAsia="ru-RU"/>
              </w:rPr>
              <w:t xml:space="preserve">48 402 773 </w:t>
            </w:r>
            <w:r>
              <w:rPr>
                <w:rFonts w:ascii="Times New Roman" w:hAnsi="Times New Roman" w:eastAsia="Times New Roman" w:cs="Times New Roman"/>
                <w:lang w:eastAsia="ru-RU"/>
              </w:rPr>
              <w:t xml:space="preserve">(Сорок восемь миллионов четыреста две тысячи семьсот семьдесят три) руб. 16 коп., </w:t>
            </w:r>
            <w:r>
              <w:rPr>
                <w:rFonts w:ascii="Times New Roman" w:hAnsi="Times New Roman" w:eastAsia="Times New Roman" w:cs="Times New Roman"/>
                <w:color w:val="000000" w:themeColor="text1"/>
                <w:lang w:eastAsia="ru-RU"/>
                <w14:textFill>
                  <w14:solidFill>
                    <w14:schemeClr w14:val="tx1"/>
                  </w14:solidFill>
                </w14:textFill>
              </w:rPr>
              <w:t>в том числе НДС.</w:t>
            </w:r>
          </w:p>
          <w:p w14:paraId="15838422">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С целью обоснования начальной (максимальной) цены договора Заказчиком выполнен расчет начальной (максимальной) цены договора. </w:t>
            </w:r>
          </w:p>
          <w:p w14:paraId="00A98904">
            <w:pPr>
              <w:shd w:val="clear" w:color="auto" w:fill="FFFFFF"/>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Расчеты приложены в виде файлов в разделе «Документы заказа» извещения о проведении аукциона.</w:t>
            </w:r>
          </w:p>
        </w:tc>
      </w:tr>
      <w:tr w14:paraId="769AF898">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5D6BB872">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3A3608D3">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Метод обоснования начальной (максимальной) цены договора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742E97D0">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Проектно-сметный метод</w:t>
            </w:r>
          </w:p>
        </w:tc>
      </w:tr>
      <w:tr w14:paraId="324256E0">
        <w:tblPrEx>
          <w:tblCellMar>
            <w:top w:w="0" w:type="dxa"/>
            <w:left w:w="40" w:type="dxa"/>
            <w:bottom w:w="0" w:type="dxa"/>
            <w:right w:w="40" w:type="dxa"/>
          </w:tblCellMar>
        </w:tblPrEx>
        <w:trPr>
          <w:trHeight w:val="87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491E3FBF">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64E57E9A">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Порядок формирования цены договора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111A46AB">
            <w:pPr>
              <w:widowControl w:val="0"/>
              <w:tabs>
                <w:tab w:val="left" w:pos="2213"/>
                <w:tab w:val="left" w:pos="4160"/>
                <w:tab w:val="left" w:pos="5320"/>
                <w:tab w:val="left" w:pos="6093"/>
                <w:tab w:val="left" w:pos="6733"/>
                <w:tab w:val="left" w:pos="7720"/>
                <w:tab w:val="left" w:pos="8106"/>
                <w:tab w:val="left" w:pos="9520"/>
                <w:tab w:val="left" w:pos="10346"/>
              </w:tabs>
              <w:autoSpaceDE w:val="0"/>
              <w:autoSpaceDN w:val="0"/>
              <w:adjustRightInd w:val="0"/>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Начальная (максимальная) цена договора включает в себя: </w:t>
            </w:r>
            <w:r>
              <w:rPr>
                <w:rFonts w:ascii="Times New Roman" w:hAnsi="Times New Roman" w:eastAsia="Times New Roman" w:cs="Times New Roman"/>
                <w:color w:val="000000" w:themeColor="text1"/>
                <w:lang w:eastAsia="ru-RU"/>
                <w14:textFill>
                  <w14:solidFill>
                    <w14:schemeClr w14:val="tx1"/>
                  </w14:solidFill>
                </w14:textFill>
              </w:rPr>
              <w:t>оплата выполняемых работ по Договору, компенсацию Подрядчику издержек (покупка запасных частей (расходных материалов, оборудования, и т.д.), аренда оборудования, транспортные расходы и т.п.). Налоги, сборы, пошлины и другие обязательные платежи, взимаемые с Подрядчика в связи с исполнением работ.</w:t>
            </w:r>
          </w:p>
        </w:tc>
      </w:tr>
      <w:tr w14:paraId="5438CDD1">
        <w:tblPrEx>
          <w:tblCellMar>
            <w:top w:w="0" w:type="dxa"/>
            <w:left w:w="40" w:type="dxa"/>
            <w:bottom w:w="0" w:type="dxa"/>
            <w:right w:w="40" w:type="dxa"/>
          </w:tblCellMar>
        </w:tblPrEx>
        <w:trPr>
          <w:trHeight w:val="720"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14712CBE">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47AE3173">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Источник финансирования договора</w:t>
            </w:r>
          </w:p>
        </w:tc>
        <w:tc>
          <w:tcPr>
            <w:tcW w:w="6944" w:type="dxa"/>
            <w:tcBorders>
              <w:top w:val="single" w:color="auto" w:sz="6" w:space="0"/>
              <w:left w:val="single" w:color="auto" w:sz="6" w:space="0"/>
              <w:bottom w:val="single" w:color="auto" w:sz="6" w:space="0"/>
              <w:right w:val="single" w:color="auto" w:sz="6" w:space="0"/>
            </w:tcBorders>
          </w:tcPr>
          <w:p w14:paraId="434C2C6B">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Средства, полученные от приносящей доход деятельности.</w:t>
            </w:r>
          </w:p>
        </w:tc>
      </w:tr>
      <w:tr w14:paraId="70150EDE">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660C2C9C">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2127348F">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Сведения о валюте, используемой для формирования цены договора и расчетов с поставщиком (подрядчиками, исполнителями) </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3DB85050">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Рубль Российской Федерации</w:t>
            </w:r>
          </w:p>
          <w:p w14:paraId="76A4735C">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p>
        </w:tc>
      </w:tr>
      <w:tr w14:paraId="1105D7AF">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0F5C601A">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1A3565A3">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6C5009A2">
            <w:pPr>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Для формирования цены договора и расчетов с поставщиком (подрядчиком, исполнителем) по договору используется рубль Российской Федерации.</w:t>
            </w:r>
          </w:p>
          <w:p w14:paraId="78003EFD">
            <w:pPr>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Иностранная валюта при оплате по заключенному договору не используется.</w:t>
            </w:r>
          </w:p>
        </w:tc>
      </w:tr>
      <w:tr w14:paraId="5C61445E">
        <w:tblPrEx>
          <w:tblCellMar>
            <w:top w:w="0" w:type="dxa"/>
            <w:left w:w="40" w:type="dxa"/>
            <w:bottom w:w="0" w:type="dxa"/>
            <w:right w:w="40" w:type="dxa"/>
          </w:tblCellMar>
        </w:tblPrEx>
        <w:trPr>
          <w:trHeight w:val="297" w:hRule="atLeast"/>
        </w:trPr>
        <w:tc>
          <w:tcPr>
            <w:tcW w:w="851" w:type="dxa"/>
            <w:vMerge w:val="restart"/>
            <w:tcBorders>
              <w:top w:val="single" w:color="auto" w:sz="6" w:space="0"/>
              <w:left w:val="single" w:color="auto" w:sz="6" w:space="0"/>
              <w:right w:val="single" w:color="auto" w:sz="6" w:space="0"/>
            </w:tcBorders>
            <w:shd w:val="clear" w:color="auto" w:fill="FFFFFF"/>
          </w:tcPr>
          <w:p w14:paraId="25C1810F">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vMerge w:val="restart"/>
            <w:tcBorders>
              <w:top w:val="single" w:color="auto" w:sz="6" w:space="0"/>
              <w:left w:val="single" w:color="auto" w:sz="6" w:space="0"/>
              <w:right w:val="single" w:color="auto" w:sz="6" w:space="0"/>
            </w:tcBorders>
            <w:shd w:val="clear" w:color="auto" w:fill="FFFFFF"/>
          </w:tcPr>
          <w:p w14:paraId="28BB5131">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Место и срок поставки товаров, выполнения работ, оказания услуг</w:t>
            </w:r>
          </w:p>
        </w:tc>
        <w:tc>
          <w:tcPr>
            <w:tcW w:w="6944" w:type="dxa"/>
            <w:tcBorders>
              <w:top w:val="single" w:color="auto" w:sz="6" w:space="0"/>
              <w:left w:val="single" w:color="auto" w:sz="6" w:space="0"/>
              <w:bottom w:val="single" w:color="auto" w:sz="4" w:space="0"/>
              <w:right w:val="single" w:color="auto" w:sz="6" w:space="0"/>
            </w:tcBorders>
            <w:shd w:val="clear" w:color="auto" w:fill="FFFFFF"/>
          </w:tcPr>
          <w:p w14:paraId="23A26292">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szCs w:val="24"/>
                <w:lang w:eastAsia="ru-RU"/>
              </w:rPr>
              <w:t>Санкт-Петербург, Московский пр., д.9, лит А, набережная реки Фонтанки, д. 113, лит А</w:t>
            </w:r>
          </w:p>
        </w:tc>
      </w:tr>
      <w:tr w14:paraId="5CE4E039">
        <w:tblPrEx>
          <w:tblCellMar>
            <w:top w:w="0" w:type="dxa"/>
            <w:left w:w="40" w:type="dxa"/>
            <w:bottom w:w="0" w:type="dxa"/>
            <w:right w:w="40" w:type="dxa"/>
          </w:tblCellMar>
        </w:tblPrEx>
        <w:trPr>
          <w:trHeight w:val="441" w:hRule="atLeast"/>
        </w:trPr>
        <w:tc>
          <w:tcPr>
            <w:tcW w:w="851" w:type="dxa"/>
            <w:vMerge w:val="continue"/>
            <w:tcBorders>
              <w:left w:val="single" w:color="auto" w:sz="6" w:space="0"/>
              <w:bottom w:val="single" w:color="auto" w:sz="6" w:space="0"/>
              <w:right w:val="single" w:color="auto" w:sz="6" w:space="0"/>
            </w:tcBorders>
            <w:shd w:val="clear" w:color="auto" w:fill="FFFFFF"/>
          </w:tcPr>
          <w:p w14:paraId="5EC09776">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vMerge w:val="continue"/>
            <w:tcBorders>
              <w:left w:val="single" w:color="auto" w:sz="6" w:space="0"/>
              <w:bottom w:val="single" w:color="auto" w:sz="6" w:space="0"/>
              <w:right w:val="single" w:color="auto" w:sz="6" w:space="0"/>
            </w:tcBorders>
            <w:shd w:val="clear" w:color="auto" w:fill="FFFFFF"/>
          </w:tcPr>
          <w:p w14:paraId="20ADDA18">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p>
        </w:tc>
        <w:tc>
          <w:tcPr>
            <w:tcW w:w="6944" w:type="dxa"/>
            <w:tcBorders>
              <w:top w:val="single" w:color="auto" w:sz="4" w:space="0"/>
              <w:left w:val="single" w:color="auto" w:sz="6" w:space="0"/>
              <w:bottom w:val="single" w:color="auto" w:sz="6" w:space="0"/>
              <w:right w:val="single" w:color="auto" w:sz="6" w:space="0"/>
            </w:tcBorders>
            <w:shd w:val="clear" w:color="auto" w:fill="FFFFFF"/>
          </w:tcPr>
          <w:p w14:paraId="7706A7F0">
            <w:pPr>
              <w:spacing w:after="0" w:line="240" w:lineRule="auto"/>
              <w:contextualSpacing/>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Начало выполнения работ – со дня заключения Договора;</w:t>
            </w:r>
          </w:p>
          <w:p w14:paraId="503D3CE3">
            <w:pPr>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themeColor="text1"/>
                <w:lang w:eastAsia="ru-RU"/>
                <w14:textFill>
                  <w14:solidFill>
                    <w14:schemeClr w14:val="tx1"/>
                  </w14:solidFill>
                </w14:textFill>
              </w:rPr>
              <w:t>Окончание выполнения работ – через 100 (Сто) рабочих дней со дня заключения Договора.</w:t>
            </w:r>
          </w:p>
        </w:tc>
      </w:tr>
      <w:tr w14:paraId="704EA80A">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0D9FBD63">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5BA91E36">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Форма, сроки и порядок оплаты товара, работ, услуг</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65D74D75">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Форма оплаты: безналичный расчет без предоплаты и аванса.</w:t>
            </w:r>
          </w:p>
          <w:p w14:paraId="285BF95D">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Оплата выполненных работ осуществляется в течение 7 (семи) рабочих дней после передачи Заказчику Акта выполненных работ (далее – Акт) без замечаний на основании счета, (счет-фактуры), при условии предсотавления Заказчику исполнительной документации  и протокола приемо-сдаточных испытаний, предусмотренных Приложением № 1 к Договору путем перечисления Заказчиком безналичных денежных средств на расчетный счет Подрядчика.</w:t>
            </w:r>
          </w:p>
          <w:p w14:paraId="564AF8B2">
            <w:pPr>
              <w:spacing w:after="0" w:line="240" w:lineRule="auto"/>
              <w:ind w:firstLine="11"/>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themeColor="text1"/>
                <w:lang w:eastAsia="ru-RU"/>
                <w14:textFill>
                  <w14:solidFill>
                    <w14:schemeClr w14:val="tx1"/>
                  </w14:solidFill>
                </w14:textFill>
              </w:rPr>
              <w:t>Работы, выполненные Исполнителем с отклонениями от условий   договора, не подлежат приемке и оплате Заказчиком до устранения отклонений.</w:t>
            </w:r>
          </w:p>
        </w:tc>
      </w:tr>
      <w:tr w14:paraId="5406D4CA">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4E93E393">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2D18EA57">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Требование к сроку предоставления гарантий качества товаров (работ, услуг)</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097AD390">
            <w:pPr>
              <w:spacing w:after="0" w:line="240" w:lineRule="auto"/>
              <w:ind w:firstLine="11"/>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themeColor="text1"/>
                <w:lang w:eastAsia="ru-RU"/>
                <w14:textFill>
                  <w14:solidFill>
                    <w14:schemeClr w14:val="tx1"/>
                  </w14:solidFill>
                </w14:textFill>
              </w:rPr>
              <w:t>Гарантия качества выполненных работ - в соответствии с условиями договора</w:t>
            </w:r>
          </w:p>
        </w:tc>
      </w:tr>
      <w:tr w14:paraId="2D507B2E">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6BFFDFD1">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5C5A213C">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Требование к объему предоставления гарантий качества  </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181DD112">
            <w:pPr>
              <w:spacing w:after="0" w:line="240" w:lineRule="auto"/>
              <w:ind w:firstLine="11"/>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Гарантия распространяется на весь объем (количество) товаров (работ, услуг). Выявленные в течение гарантийного срока дефекты, допущенные по вине поставщика (подрядчика, исполнителя), устраняются им за свой счет в сроки, определенные в соответствии с условиями договора. </w:t>
            </w:r>
          </w:p>
        </w:tc>
      </w:tr>
      <w:tr w14:paraId="26FFCEE1">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6D585D32">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45B9D7B2">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Возможность изменения условий договора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7561FD82">
            <w:pPr>
              <w:autoSpaceDE w:val="0"/>
              <w:autoSpaceDN w:val="0"/>
              <w:adjustRightInd w:val="0"/>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lang w:eastAsia="ru-RU"/>
              </w:rPr>
              <w:t>Заказчик по согласованию с участником аукциона при заключении и исполнении договора вправе изменить:</w:t>
            </w:r>
          </w:p>
          <w:p w14:paraId="29B6C989">
            <w:pPr>
              <w:widowControl w:val="0"/>
              <w:autoSpaceDE w:val="0"/>
              <w:autoSpaceDN w:val="0"/>
              <w:adjustRightInd w:val="0"/>
              <w:spacing w:after="0" w:line="240" w:lineRule="auto"/>
              <w:ind w:firstLine="11"/>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lang w:eastAsia="ru-RU"/>
              </w:rPr>
              <w:t>1) цену договора в случаях:</w:t>
            </w:r>
          </w:p>
          <w:p w14:paraId="5B3E09C9">
            <w:pPr>
              <w:widowControl w:val="0"/>
              <w:autoSpaceDE w:val="0"/>
              <w:autoSpaceDN w:val="0"/>
              <w:adjustRightInd w:val="0"/>
              <w:spacing w:after="0" w:line="240" w:lineRule="auto"/>
              <w:ind w:firstLine="11"/>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lang w:eastAsia="ru-RU"/>
              </w:rPr>
              <w:t>- если цена снижается по соглашению сторон без изменения, предусмотренного договором количества товаров, объема работ, услуг и иных условий исполнения договора;</w:t>
            </w:r>
          </w:p>
          <w:p w14:paraId="64ACF2FD">
            <w:pPr>
              <w:autoSpaceDE w:val="0"/>
              <w:autoSpaceDN w:val="0"/>
              <w:adjustRightInd w:val="0"/>
              <w:spacing w:after="0" w:line="240" w:lineRule="auto"/>
              <w:ind w:firstLine="11"/>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lang w:eastAsia="ru-RU"/>
              </w:rPr>
              <w:t>- если заказчик по согласованию с поставщиком (подрядчиком, исполнителем) в ходе исполнения договора на поставку товара, (выполнение работ, оказание услуг), изменяет количество товара (объем работ, услуг) при изменении потребности в товарах (работах, услугах), на поставку (выполнение, оказание) которых заключен договор, или при выявлении потребности в дополнительном количестве товара (объеме работ, услуг), не предусмотренных договором, но связанных с товарами (работами, услугами), предусмотренными договором. При выполнении дополнительного объема таких товаров, (работ, услуг) заказчик по согласованию с поставщиком (подрядчиком, исполнителем) вправе изменить первоначальную цену договора пропорционально количеству (объему) таких товаров (работ, услуг), но не более чем на двадцать процентов этой цены договора, а при внесении соответствующих изменений в договор в связи с сокращением потребности в поставки (выполнении) таких товаров (работ, услуг) заказчик обязан снизить цену договора указанным образом;</w:t>
            </w:r>
          </w:p>
          <w:p w14:paraId="3E01AFF8">
            <w:pPr>
              <w:widowControl w:val="0"/>
              <w:autoSpaceDE w:val="0"/>
              <w:autoSpaceDN w:val="0"/>
              <w:adjustRightInd w:val="0"/>
              <w:spacing w:after="0" w:line="240" w:lineRule="auto"/>
              <w:ind w:firstLine="11"/>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lang w:eastAsia="ru-RU"/>
              </w:rPr>
              <w:t>- инфляционного роста цен на основании показателей прогнозного индекса дефлятора, публикуемого Министерством экономического развития Российской Федерации либо другими источниками информации, заслуживающими доверия;</w:t>
            </w:r>
          </w:p>
          <w:p w14:paraId="7306AC7D">
            <w:pPr>
              <w:widowControl w:val="0"/>
              <w:autoSpaceDE w:val="0"/>
              <w:autoSpaceDN w:val="0"/>
              <w:adjustRightInd w:val="0"/>
              <w:spacing w:after="0" w:line="240" w:lineRule="auto"/>
              <w:ind w:firstLine="11"/>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lang w:eastAsia="ru-RU"/>
              </w:rPr>
              <w:t>- изменения в соответствии с законодательством Российской Федерации регулируемых государством цен (тарифов);</w:t>
            </w:r>
          </w:p>
          <w:p w14:paraId="6C1144DE">
            <w:pPr>
              <w:widowControl w:val="0"/>
              <w:autoSpaceDE w:val="0"/>
              <w:autoSpaceDN w:val="0"/>
              <w:adjustRightInd w:val="0"/>
              <w:spacing w:after="0" w:line="240" w:lineRule="auto"/>
              <w:ind w:firstLine="11"/>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lang w:eastAsia="ru-RU"/>
              </w:rPr>
              <w:t>- заключения договора с единственным поставщиком (подрядчиком, исполнителем);</w:t>
            </w:r>
          </w:p>
          <w:p w14:paraId="2332F09D">
            <w:pPr>
              <w:widowControl w:val="0"/>
              <w:autoSpaceDE w:val="0"/>
              <w:autoSpaceDN w:val="0"/>
              <w:adjustRightInd w:val="0"/>
              <w:spacing w:after="0" w:line="240" w:lineRule="auto"/>
              <w:ind w:firstLine="1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lang w:eastAsia="ru-RU"/>
              </w:rPr>
              <w:t xml:space="preserve">2) сроки исполнения обязательств по договору, в случае если необходимость изменения сроков вызвана обстоятельствами непреодолимой силы или </w:t>
            </w:r>
            <w:r>
              <w:rPr>
                <w:rFonts w:ascii="Times New Roman" w:hAnsi="Times New Roman" w:eastAsia="Times New Roman" w:cs="Times New Roman"/>
                <w:color w:val="000000" w:themeColor="text1"/>
                <w:lang w:eastAsia="ru-RU"/>
                <w14:textFill>
                  <w14:solidFill>
                    <w14:schemeClr w14:val="tx1"/>
                  </w14:solidFill>
                </w14:textFill>
              </w:rPr>
              <w:t>просрочкой</w:t>
            </w:r>
            <w:r>
              <w:rPr>
                <w:rFonts w:ascii="Times New Roman" w:hAnsi="Times New Roman" w:eastAsia="Times New Roman" w:cs="Times New Roman"/>
                <w:color w:val="FF0000"/>
                <w:lang w:eastAsia="ru-RU"/>
              </w:rPr>
              <w:t xml:space="preserve"> </w:t>
            </w:r>
            <w:r>
              <w:rPr>
                <w:rFonts w:ascii="Times New Roman" w:hAnsi="Times New Roman" w:eastAsia="Times New Roman" w:cs="Times New Roman"/>
                <w:color w:val="000000"/>
                <w:lang w:eastAsia="ru-RU"/>
              </w:rPr>
              <w:t>выполнения Заказчиком своих обязательств по договору.</w:t>
            </w:r>
          </w:p>
          <w:p w14:paraId="0726543B">
            <w:pPr>
              <w:widowControl w:val="0"/>
              <w:autoSpaceDE w:val="0"/>
              <w:autoSpaceDN w:val="0"/>
              <w:adjustRightInd w:val="0"/>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При заключении и исполнении договора Заказчик по согласованию с участником, с которым заключается договор, вправе увеличить количество поставляемого товара. Цена единицы товара в таком случае не должна превышать цену, определяемую как частное от деления цены договора, указанной в заявке участника закупки с которым заключается договор, на количество товара, установленное в извещении и (или) документации об аукционе.</w:t>
            </w:r>
          </w:p>
          <w:p w14:paraId="0CBC24A8">
            <w:pPr>
              <w:widowControl w:val="0"/>
              <w:autoSpaceDE w:val="0"/>
              <w:autoSpaceDN w:val="0"/>
              <w:adjustRightInd w:val="0"/>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lang w:eastAsia="ru-RU"/>
              </w:rPr>
              <w:t>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tc>
      </w:tr>
      <w:tr w14:paraId="0D0EE7AB">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17D662A2">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21525D7D">
            <w:pPr>
              <w:shd w:val="clear" w:color="auto" w:fill="FFFFFF"/>
              <w:autoSpaceDE w:val="0"/>
              <w:autoSpaceDN w:val="0"/>
              <w:adjustRightInd w:val="0"/>
              <w:spacing w:after="0" w:line="240" w:lineRule="auto"/>
              <w:contextualSpacing/>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Срок заключения договора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532ECCDE">
            <w:pPr>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Победитель аукциона или иной участник, с которым заключается договор при уклонении победителя от подписания договора, обязан подписать проект договора в течение пяти дней с момента его размещения заказчиком в порядке, установленном Разделом </w:t>
            </w:r>
            <w:r>
              <w:rPr>
                <w:rFonts w:ascii="Times New Roman" w:hAnsi="Times New Roman" w:eastAsia="Times New Roman" w:cs="Times New Roman"/>
                <w:lang w:val="en-US" w:eastAsia="ru-RU"/>
              </w:rPr>
              <w:t>VI</w:t>
            </w:r>
            <w:r>
              <w:rPr>
                <w:rFonts w:ascii="Times New Roman" w:hAnsi="Times New Roman" w:eastAsia="Times New Roman" w:cs="Times New Roman"/>
                <w:lang w:eastAsia="ru-RU"/>
              </w:rPr>
              <w:t xml:space="preserve"> настоящей документации об аукционе.</w:t>
            </w:r>
          </w:p>
        </w:tc>
      </w:tr>
      <w:tr w14:paraId="53457FD8">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2D1088A9">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4EC039A5">
            <w:pPr>
              <w:shd w:val="clear" w:color="auto" w:fill="FFFFFF"/>
              <w:autoSpaceDE w:val="0"/>
              <w:autoSpaceDN w:val="0"/>
              <w:adjustRightInd w:val="0"/>
              <w:spacing w:after="0" w:line="240" w:lineRule="auto"/>
              <w:contextualSpacing/>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Условия признания уклонения от заключения договора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03CF4E22">
            <w:pPr>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Победитель аукциона признается уклонившимся от заключения договора в случаях: </w:t>
            </w:r>
          </w:p>
          <w:p w14:paraId="2B665209">
            <w:pPr>
              <w:autoSpaceDE w:val="0"/>
              <w:autoSpaceDN w:val="0"/>
              <w:adjustRightInd w:val="0"/>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не представил подписанный договор (отказался от заключения договора) в редакции Заказчика в срок, определенный Положением и настоящей документацией об аукционе;</w:t>
            </w:r>
          </w:p>
          <w:p w14:paraId="248215D6">
            <w:pPr>
              <w:autoSpaceDE w:val="0"/>
              <w:autoSpaceDN w:val="0"/>
              <w:adjustRightInd w:val="0"/>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не предоставил обеспечение исполнения договора в срок, установленный извещением и (или) документацией об аукционе, или предоставил с нарушением условий, указанных в извещении и (или) документации об аукционе, если требование о предоставлении такого обеспечения было предусмотрено извещением и (или) документацией об аукционе, а также проектом договора;</w:t>
            </w:r>
          </w:p>
          <w:p w14:paraId="2D84AC6F">
            <w:pPr>
              <w:autoSpaceDE w:val="0"/>
              <w:autoSpaceDN w:val="0"/>
              <w:adjustRightInd w:val="0"/>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не представил сведения о цепочке собственников, включая бенефициаров (в том числе конечных), и документы, подтверждающие данные сведения, если требование о представлении таких сведений и документов установлено извещением и (или) документацией об аукционе, а также проектом договора.</w:t>
            </w:r>
          </w:p>
        </w:tc>
      </w:tr>
      <w:tr w14:paraId="272FECCB">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53524B0D">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7B1A52A7">
            <w:pPr>
              <w:widowControl w:val="0"/>
              <w:autoSpaceDE w:val="0"/>
              <w:autoSpaceDN w:val="0"/>
              <w:adjustRightInd w:val="0"/>
              <w:spacing w:after="0" w:line="240" w:lineRule="auto"/>
              <w:ind w:firstLine="11"/>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Порядок предоставления</w:t>
            </w:r>
          </w:p>
          <w:p w14:paraId="0D8C19BD">
            <w:pPr>
              <w:widowControl w:val="0"/>
              <w:autoSpaceDE w:val="0"/>
              <w:autoSpaceDN w:val="0"/>
              <w:adjustRightInd w:val="0"/>
              <w:spacing w:after="0" w:line="240" w:lineRule="auto"/>
              <w:ind w:firstLine="11"/>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разъяснений           </w:t>
            </w:r>
          </w:p>
          <w:p w14:paraId="453587A2">
            <w:pPr>
              <w:widowControl w:val="0"/>
              <w:autoSpaceDE w:val="0"/>
              <w:autoSpaceDN w:val="0"/>
              <w:adjustRightInd w:val="0"/>
              <w:spacing w:after="0" w:line="240" w:lineRule="auto"/>
              <w:ind w:firstLine="11"/>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документации об       </w:t>
            </w:r>
          </w:p>
          <w:p w14:paraId="29CCDC5A">
            <w:pPr>
              <w:shd w:val="clear" w:color="auto" w:fill="FFFFFF"/>
              <w:autoSpaceDE w:val="0"/>
              <w:autoSpaceDN w:val="0"/>
              <w:adjustRightInd w:val="0"/>
              <w:spacing w:after="0" w:line="240" w:lineRule="auto"/>
              <w:contextualSpacing/>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аукционе:</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65BE1131">
            <w:pPr>
              <w:spacing w:after="0" w:line="240" w:lineRule="auto"/>
              <w:jc w:val="both"/>
              <w:rPr>
                <w:rFonts w:ascii="Times New Roman" w:hAnsi="Times New Roman" w:eastAsia="Times New Roman" w:cs="Times New Roman"/>
                <w:b/>
                <w:sz w:val="24"/>
                <w:szCs w:val="24"/>
                <w:lang w:eastAsia="ru-RU"/>
              </w:rPr>
            </w:pPr>
            <w:r>
              <w:rPr>
                <w:rFonts w:ascii="Times New Roman" w:hAnsi="Times New Roman" w:eastAsia="Times New Roman" w:cs="Times New Roman"/>
                <w:bCs/>
                <w:lang w:eastAsia="ru-RU"/>
              </w:rPr>
              <w:t>У</w:t>
            </w:r>
            <w:r>
              <w:rPr>
                <w:rFonts w:ascii="Times New Roman" w:hAnsi="Times New Roman" w:eastAsia="Times New Roman" w:cs="Times New Roman"/>
                <w:lang w:eastAsia="ru-RU"/>
              </w:rPr>
              <w:t>частник</w:t>
            </w:r>
            <w:r>
              <w:rPr>
                <w:rFonts w:ascii="Times New Roman" w:hAnsi="Times New Roman" w:eastAsia="Times New Roman" w:cs="Times New Roman"/>
                <w:color w:val="000000"/>
                <w:lang w:eastAsia="ru-RU"/>
              </w:rPr>
              <w:t xml:space="preserve"> аукциона вправе направить</w:t>
            </w:r>
            <w:r>
              <w:rPr>
                <w:rFonts w:ascii="Times New Roman" w:hAnsi="Times New Roman" w:eastAsia="Times New Roman" w:cs="Times New Roman"/>
                <w:color w:val="FF0000"/>
                <w:lang w:eastAsia="ru-RU"/>
              </w:rPr>
              <w:t xml:space="preserve"> </w:t>
            </w:r>
            <w:r>
              <w:rPr>
                <w:rFonts w:ascii="Times New Roman" w:hAnsi="Times New Roman" w:eastAsia="Times New Roman" w:cs="Times New Roman"/>
                <w:color w:val="000000"/>
                <w:lang w:eastAsia="ru-RU"/>
              </w:rPr>
              <w:t xml:space="preserve">в форме электронного документа запрос о разъяснении положений документации о проведении аукциона в электронной форме со дня размещения такой документации </w:t>
            </w:r>
            <w:r>
              <w:rPr>
                <w:rFonts w:ascii="Times New Roman" w:hAnsi="Times New Roman" w:eastAsia="Times New Roman" w:cs="Times New Roman"/>
                <w:lang w:eastAsia="ru-RU"/>
              </w:rPr>
              <w:t xml:space="preserve">в единой информационной системе и </w:t>
            </w:r>
            <w:r>
              <w:rPr>
                <w:rFonts w:ascii="Times New Roman" w:hAnsi="Times New Roman" w:eastAsia="Times New Roman" w:cs="Times New Roman"/>
                <w:color w:val="000000"/>
                <w:lang w:eastAsia="ru-RU"/>
              </w:rPr>
              <w:t xml:space="preserve">не позднее </w:t>
            </w:r>
            <w:r>
              <w:rPr>
                <w:rFonts w:ascii="Times New Roman" w:hAnsi="Times New Roman" w:eastAsia="Times New Roman" w:cs="Times New Roman"/>
                <w:b/>
                <w:lang w:eastAsia="ru-RU"/>
              </w:rPr>
              <w:t>28.09.2026.</w:t>
            </w:r>
          </w:p>
          <w:p w14:paraId="7F6A5529">
            <w:pPr>
              <w:spacing w:after="0" w:line="240" w:lineRule="auto"/>
              <w:ind w:firstLine="426"/>
              <w:jc w:val="both"/>
              <w:rPr>
                <w:rFonts w:ascii="Times New Roman" w:hAnsi="Times New Roman" w:eastAsia="Times New Roman" w:cs="Times New Roman"/>
                <w:b/>
                <w:sz w:val="24"/>
                <w:szCs w:val="24"/>
                <w:lang w:eastAsia="ru-RU"/>
              </w:rPr>
            </w:pPr>
            <w:r>
              <w:rPr>
                <w:rFonts w:ascii="Times New Roman" w:hAnsi="Times New Roman" w:eastAsia="Times New Roman" w:cs="Times New Roman"/>
                <w:lang w:eastAsia="ru-RU"/>
              </w:rPr>
              <w:t xml:space="preserve">Дата начала срока предоставления участникам аукциона в электронной форме разъяснений положений документации: </w:t>
            </w:r>
            <w:r>
              <w:rPr>
                <w:rFonts w:ascii="Times New Roman" w:hAnsi="Times New Roman" w:eastAsia="Times New Roman" w:cs="Times New Roman"/>
                <w:b/>
                <w:lang w:eastAsia="ru-RU"/>
              </w:rPr>
              <w:t>17.09.2026.</w:t>
            </w:r>
          </w:p>
          <w:p w14:paraId="42A471CD">
            <w:pPr>
              <w:spacing w:after="0" w:line="240" w:lineRule="auto"/>
              <w:ind w:firstLine="426"/>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lang w:eastAsia="ru-RU"/>
              </w:rPr>
              <w:t xml:space="preserve">Дата окончания срока предоставления участникам аукциона в электронной форме разъяснений положений документации: </w:t>
            </w:r>
            <w:r>
              <w:rPr>
                <w:rFonts w:ascii="Times New Roman" w:hAnsi="Times New Roman" w:eastAsia="Times New Roman" w:cs="Times New Roman"/>
                <w:b/>
                <w:lang w:eastAsia="ru-RU"/>
              </w:rPr>
              <w:t>30.09.2026.</w:t>
            </w:r>
          </w:p>
          <w:p w14:paraId="58FD7EAF">
            <w:pPr>
              <w:widowControl w:val="0"/>
              <w:autoSpaceDE w:val="0"/>
              <w:autoSpaceDN w:val="0"/>
              <w:adjustRightInd w:val="0"/>
              <w:spacing w:after="0" w:line="240" w:lineRule="auto"/>
              <w:ind w:firstLine="11"/>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В течение трех дней с момента поступления запроса заказчику разъяснения документации об аукционе будут размещены в единой информационной системе (на официальном сайте).</w:t>
            </w:r>
          </w:p>
        </w:tc>
      </w:tr>
      <w:tr w14:paraId="36005A39">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61E2F8A9">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0EA3D313">
            <w:pPr>
              <w:widowControl w:val="0"/>
              <w:autoSpaceDE w:val="0"/>
              <w:autoSpaceDN w:val="0"/>
              <w:adjustRightInd w:val="0"/>
              <w:spacing w:after="0" w:line="240" w:lineRule="auto"/>
              <w:ind w:firstLine="11"/>
              <w:jc w:val="both"/>
              <w:rPr>
                <w:rFonts w:ascii="Times New Roman" w:hAnsi="Times New Roman" w:eastAsia="Times New Roman" w:cs="Times New Roman"/>
                <w:sz w:val="24"/>
                <w:szCs w:val="24"/>
                <w:lang w:eastAsia="ru-RU"/>
              </w:rPr>
            </w:pPr>
            <w:r>
              <w:rPr>
                <w:rFonts w:ascii="Times New Roman" w:hAnsi="Times New Roman" w:eastAsia="Times New Roman" w:cs="Times New Roman"/>
                <w:bCs/>
                <w:lang w:eastAsia="ru-RU"/>
              </w:rPr>
              <w:t>Срок, место и порядок предоставления документации об аукционе</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312EE6AF">
            <w:pPr>
              <w:widowControl w:val="0"/>
              <w:autoSpaceDE w:val="0"/>
              <w:autoSpaceDN w:val="0"/>
              <w:adjustRightInd w:val="0"/>
              <w:spacing w:after="0" w:line="240" w:lineRule="auto"/>
              <w:ind w:firstLine="1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Cs/>
                <w:lang w:eastAsia="ru-RU"/>
              </w:rPr>
              <w:t xml:space="preserve">настоящая документация размещается </w:t>
            </w:r>
            <w:r>
              <w:rPr>
                <w:rFonts w:ascii="Times New Roman" w:hAnsi="Times New Roman" w:eastAsia="Times New Roman" w:cs="Times New Roman"/>
                <w:color w:val="000000"/>
                <w:lang w:eastAsia="ru-RU"/>
              </w:rPr>
              <w:t xml:space="preserve">на официальном сайте единой информационной системы </w:t>
            </w:r>
            <w:r>
              <w:fldChar w:fldCharType="begin"/>
            </w:r>
            <w:r>
              <w:instrText xml:space="preserve"> HYPERLINK "http://www.zakupki.gov.ru" </w:instrText>
            </w:r>
            <w:r>
              <w:fldChar w:fldCharType="separate"/>
            </w:r>
            <w:r>
              <w:rPr>
                <w:rFonts w:ascii="Times New Roman" w:hAnsi="Times New Roman" w:eastAsia="Times New Roman" w:cs="Times New Roman"/>
                <w:color w:val="0000FF"/>
                <w:u w:val="single"/>
                <w:lang w:val="en-US" w:eastAsia="ru-RU"/>
              </w:rPr>
              <w:t>www</w:t>
            </w:r>
            <w:r>
              <w:rPr>
                <w:rFonts w:ascii="Times New Roman" w:hAnsi="Times New Roman" w:eastAsia="Times New Roman" w:cs="Times New Roman"/>
                <w:color w:val="0000FF"/>
                <w:u w:val="single"/>
                <w:lang w:eastAsia="ru-RU"/>
              </w:rPr>
              <w:t>.zakupki.gov.ru</w:t>
            </w:r>
            <w:r>
              <w:rPr>
                <w:rFonts w:ascii="Times New Roman" w:hAnsi="Times New Roman" w:eastAsia="Times New Roman" w:cs="Times New Roman"/>
                <w:color w:val="0000FF"/>
                <w:u w:val="single"/>
                <w:lang w:eastAsia="ru-RU"/>
              </w:rPr>
              <w:fldChar w:fldCharType="end"/>
            </w:r>
            <w:r>
              <w:rPr>
                <w:rFonts w:ascii="Times New Roman" w:hAnsi="Times New Roman" w:eastAsia="Times New Roman" w:cs="Times New Roman"/>
                <w:lang w:eastAsia="ru-RU"/>
              </w:rPr>
              <w:t xml:space="preserve">, а также на сайте электронной площадки </w:t>
            </w:r>
            <w:r>
              <w:fldChar w:fldCharType="begin"/>
            </w:r>
            <w:r>
              <w:instrText xml:space="preserve"> HYPERLINK "https://torgi82.ru/" </w:instrText>
            </w:r>
            <w:r>
              <w:fldChar w:fldCharType="separate"/>
            </w:r>
            <w:r>
              <w:rPr>
                <w:rStyle w:val="33"/>
                <w:rFonts w:ascii="Times New Roman" w:hAnsi="Times New Roman"/>
              </w:rPr>
              <w:t>https://torgi82.ru/</w:t>
            </w:r>
            <w:r>
              <w:rPr>
                <w:rStyle w:val="33"/>
                <w:rFonts w:ascii="Times New Roman" w:hAnsi="Times New Roman"/>
              </w:rPr>
              <w:fldChar w:fldCharType="end"/>
            </w:r>
            <w:r>
              <w:rPr>
                <w:rFonts w:ascii="Times New Roman" w:hAnsi="Times New Roman" w:eastAsia="Times New Roman" w:cs="Times New Roman"/>
                <w:lang w:eastAsia="ru-RU"/>
              </w:rPr>
              <w:t xml:space="preserve"> </w:t>
            </w:r>
            <w:r>
              <w:rPr>
                <w:rFonts w:ascii="Times New Roman" w:hAnsi="Times New Roman" w:eastAsia="Times New Roman" w:cs="Times New Roman"/>
                <w:color w:val="000000"/>
                <w:lang w:eastAsia="ru-RU"/>
              </w:rPr>
              <w:t>и доступна для ознакомления без взимания платы с момента ее опубликования и до момента подведения итогов аукциона. В бумажном виде копия документация не предоставляется.</w:t>
            </w:r>
          </w:p>
        </w:tc>
      </w:tr>
      <w:tr w14:paraId="18108926">
        <w:tblPrEx>
          <w:tblCellMar>
            <w:top w:w="0" w:type="dxa"/>
            <w:left w:w="40" w:type="dxa"/>
            <w:bottom w:w="0" w:type="dxa"/>
            <w:right w:w="40" w:type="dxa"/>
          </w:tblCellMar>
        </w:tblPrEx>
        <w:trPr>
          <w:trHeight w:val="229" w:hRule="atLeast"/>
        </w:trPr>
        <w:tc>
          <w:tcPr>
            <w:tcW w:w="10205" w:type="dxa"/>
            <w:gridSpan w:val="3"/>
            <w:tcBorders>
              <w:top w:val="single" w:color="auto" w:sz="6" w:space="0"/>
              <w:left w:val="single" w:color="auto" w:sz="6" w:space="0"/>
              <w:bottom w:val="single" w:color="auto" w:sz="6" w:space="0"/>
              <w:right w:val="single" w:color="auto" w:sz="6" w:space="0"/>
            </w:tcBorders>
            <w:shd w:val="clear" w:color="auto" w:fill="FFFFFF"/>
          </w:tcPr>
          <w:p w14:paraId="7A89FA92">
            <w:pPr>
              <w:numPr>
                <w:ilvl w:val="0"/>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lang w:eastAsia="ru-RU"/>
              </w:rPr>
              <w:t xml:space="preserve"> Требования к участникам размещения заказа</w:t>
            </w:r>
          </w:p>
        </w:tc>
      </w:tr>
      <w:tr w14:paraId="18767BDA">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300187EE">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71A64FDB">
            <w:pPr>
              <w:shd w:val="clear" w:color="auto" w:fill="FFFFFF"/>
              <w:autoSpaceDE w:val="0"/>
              <w:autoSpaceDN w:val="0"/>
              <w:adjustRightInd w:val="0"/>
              <w:spacing w:after="0" w:line="240" w:lineRule="auto"/>
              <w:contextualSpacing/>
              <w:rPr>
                <w:rFonts w:ascii="Times New Roman" w:hAnsi="Times New Roman" w:eastAsia="Times New Roman" w:cs="Times New Roman"/>
                <w:sz w:val="24"/>
                <w:szCs w:val="24"/>
                <w:lang w:eastAsia="ru-RU"/>
              </w:rPr>
            </w:pPr>
            <w:r>
              <w:rPr>
                <w:rFonts w:ascii="Times New Roman" w:hAnsi="Times New Roman" w:eastAsia="Times New Roman" w:cs="Times New Roman"/>
                <w:bCs/>
                <w:color w:val="000000"/>
                <w:lang w:eastAsia="ru-RU"/>
              </w:rPr>
              <w:t>Документы, подтверждающие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41AAF259">
            <w:pPr>
              <w:spacing w:after="0" w:line="240" w:lineRule="auto"/>
              <w:ind w:firstLine="142"/>
              <w:jc w:val="both"/>
              <w:rPr>
                <w:rFonts w:ascii="Times New Roman" w:hAnsi="Times New Roman" w:eastAsia="Times New Roman" w:cs="Times New Roman"/>
                <w:i/>
                <w:sz w:val="24"/>
                <w:szCs w:val="24"/>
                <w:lang w:eastAsia="ru-RU"/>
              </w:rPr>
            </w:pPr>
            <w:r>
              <w:rPr>
                <w:rFonts w:ascii="Times New Roman" w:hAnsi="Times New Roman" w:eastAsia="Times New Roman" w:cs="Times New Roman"/>
                <w:lang w:eastAsia="ru-RU"/>
              </w:rPr>
              <w:t>Не установлены</w:t>
            </w:r>
          </w:p>
        </w:tc>
      </w:tr>
      <w:tr w14:paraId="22FEAF11">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6D6BE0C4">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30E56E2D">
            <w:pPr>
              <w:shd w:val="clear" w:color="auto" w:fill="FFFFFF"/>
              <w:autoSpaceDE w:val="0"/>
              <w:autoSpaceDN w:val="0"/>
              <w:adjustRightInd w:val="0"/>
              <w:spacing w:after="0" w:line="240" w:lineRule="auto"/>
              <w:contextualSpacing/>
              <w:rPr>
                <w:rFonts w:ascii="Times New Roman" w:hAnsi="Times New Roman" w:eastAsia="Times New Roman" w:cs="Times New Roman"/>
                <w:sz w:val="24"/>
                <w:szCs w:val="24"/>
                <w:lang w:eastAsia="ru-RU"/>
              </w:rPr>
            </w:pPr>
            <w:r>
              <w:rPr>
                <w:rFonts w:ascii="Times New Roman" w:hAnsi="Times New Roman" w:eastAsia="Times New Roman" w:cs="Times New Roman"/>
                <w:bCs/>
                <w:color w:val="000000"/>
                <w:lang w:eastAsia="ru-RU"/>
              </w:rPr>
              <w:t>Единые требования</w:t>
            </w:r>
            <w:r>
              <w:rPr>
                <w:rFonts w:ascii="Times New Roman" w:hAnsi="Times New Roman" w:eastAsia="Times New Roman" w:cs="Times New Roman"/>
                <w:color w:val="000000"/>
                <w:lang w:eastAsia="ru-RU"/>
              </w:rPr>
              <w:t>, предъявляемые к участнику аукциона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5A5A27DB">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В соответствии с требованиями, установленными частью 2.3 Раздела </w:t>
            </w:r>
            <w:r>
              <w:rPr>
                <w:rFonts w:ascii="Times New Roman" w:hAnsi="Times New Roman" w:eastAsia="Times New Roman" w:cs="Times New Roman"/>
                <w:lang w:val="en-US" w:eastAsia="ru-RU"/>
              </w:rPr>
              <w:t>II</w:t>
            </w:r>
            <w:r>
              <w:rPr>
                <w:rFonts w:ascii="Times New Roman" w:hAnsi="Times New Roman" w:eastAsia="Times New Roman" w:cs="Times New Roman"/>
                <w:lang w:eastAsia="ru-RU"/>
              </w:rPr>
              <w:t xml:space="preserve"> настоящей документации об аукционе.</w:t>
            </w:r>
          </w:p>
        </w:tc>
      </w:tr>
      <w:tr w14:paraId="60B1BAA8">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126FE2F1">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21B5C80B">
            <w:pPr>
              <w:shd w:val="clear" w:color="auto" w:fill="FFFFFF"/>
              <w:autoSpaceDE w:val="0"/>
              <w:autoSpaceDN w:val="0"/>
              <w:adjustRightInd w:val="0"/>
              <w:spacing w:after="0" w:line="240" w:lineRule="auto"/>
              <w:contextualSpacing/>
              <w:rPr>
                <w:rFonts w:ascii="Times New Roman" w:hAnsi="Times New Roman" w:eastAsia="Times New Roman" w:cs="Times New Roman"/>
                <w:sz w:val="24"/>
                <w:szCs w:val="24"/>
                <w:lang w:eastAsia="ru-RU"/>
              </w:rPr>
            </w:pPr>
            <w:r>
              <w:rPr>
                <w:rFonts w:ascii="Times New Roman" w:hAnsi="Times New Roman" w:eastAsia="Times New Roman" w:cs="Times New Roman"/>
                <w:color w:val="000000"/>
                <w:lang w:eastAsia="ru-RU"/>
              </w:rPr>
              <w:t>Дополнительные требования, предъявляемые к участнику аукциона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18D4DE93">
            <w:pPr>
              <w:widowControl w:val="0"/>
              <w:tabs>
                <w:tab w:val="left" w:pos="567"/>
              </w:tabs>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Не установлено</w:t>
            </w:r>
          </w:p>
        </w:tc>
      </w:tr>
      <w:tr w14:paraId="48735C4F">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3211E20A">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0B04C90E">
            <w:pPr>
              <w:shd w:val="clear" w:color="auto" w:fill="FFFFFF"/>
              <w:autoSpaceDE w:val="0"/>
              <w:autoSpaceDN w:val="0"/>
              <w:adjustRightInd w:val="0"/>
              <w:spacing w:after="0" w:line="240" w:lineRule="auto"/>
              <w:contextualSpacing/>
              <w:rPr>
                <w:rFonts w:ascii="Times New Roman" w:hAnsi="Times New Roman" w:eastAsia="Times New Roman" w:cs="Times New Roman"/>
                <w:color w:val="000000"/>
                <w:sz w:val="24"/>
                <w:szCs w:val="24"/>
                <w:lang w:eastAsia="ru-RU"/>
              </w:rPr>
            </w:pPr>
            <w:r>
              <w:rPr>
                <w:rFonts w:ascii="Times New Roman" w:hAnsi="Times New Roman" w:eastAsia="Times New Roman" w:cs="Times New Roman"/>
                <w:lang w:eastAsia="ru-RU"/>
              </w:rPr>
              <w:t>Иные требования к участникам аукциона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79914B3F">
            <w:pPr>
              <w:autoSpaceDE w:val="0"/>
              <w:autoSpaceDN w:val="0"/>
              <w:jc w:val="both"/>
              <w:rPr>
                <w:rFonts w:ascii="Times New Roman" w:hAnsi="Times New Roman" w:cs="Times New Roman"/>
              </w:rPr>
            </w:pPr>
            <w:r>
              <w:rPr>
                <w:rFonts w:ascii="Times New Roman" w:hAnsi="Times New Roman" w:cs="Times New Roman"/>
              </w:rPr>
              <w:t>Не установлено</w:t>
            </w:r>
          </w:p>
        </w:tc>
      </w:tr>
      <w:tr w14:paraId="58494F70">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07F9AAF3">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04C43377">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Предоставление преимуществ учреждениям и предприятиям уголовно-исполнительной системы, организациям инвалидов</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58702A7C">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Не установлены</w:t>
            </w:r>
          </w:p>
        </w:tc>
      </w:tr>
      <w:tr w14:paraId="569A72BF">
        <w:tblPrEx>
          <w:tblCellMar>
            <w:top w:w="0" w:type="dxa"/>
            <w:left w:w="40" w:type="dxa"/>
            <w:bottom w:w="0" w:type="dxa"/>
            <w:right w:w="40" w:type="dxa"/>
          </w:tblCellMar>
        </w:tblPrEx>
        <w:trPr>
          <w:trHeight w:val="205" w:hRule="atLeast"/>
        </w:trPr>
        <w:tc>
          <w:tcPr>
            <w:tcW w:w="10205" w:type="dxa"/>
            <w:gridSpan w:val="3"/>
            <w:tcBorders>
              <w:top w:val="single" w:color="auto" w:sz="6" w:space="0"/>
              <w:left w:val="single" w:color="auto" w:sz="6" w:space="0"/>
              <w:bottom w:val="single" w:color="auto" w:sz="6" w:space="0"/>
              <w:right w:val="single" w:color="auto" w:sz="6" w:space="0"/>
            </w:tcBorders>
            <w:shd w:val="clear" w:color="auto" w:fill="FFFFFF"/>
          </w:tcPr>
          <w:p w14:paraId="18ED763B">
            <w:pPr>
              <w:numPr>
                <w:ilvl w:val="0"/>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lang w:eastAsia="ru-RU"/>
              </w:rPr>
              <w:t>Инструкция по заполнению заявки на участие в аукционе</w:t>
            </w:r>
          </w:p>
        </w:tc>
      </w:tr>
      <w:tr w14:paraId="2DEF19AD">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498C3BA4">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09D6F537">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Общие требования к подготовке, составу и подаче заявок на участие в аукционе</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492F67C2">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В соответствии с Разделом </w:t>
            </w:r>
            <w:r>
              <w:rPr>
                <w:rFonts w:ascii="Times New Roman" w:hAnsi="Times New Roman" w:eastAsia="Times New Roman" w:cs="Times New Roman"/>
                <w:lang w:val="en-US" w:eastAsia="ru-RU"/>
              </w:rPr>
              <w:t>IV</w:t>
            </w:r>
            <w:r>
              <w:rPr>
                <w:rFonts w:ascii="Times New Roman" w:hAnsi="Times New Roman" w:eastAsia="Times New Roman" w:cs="Times New Roman"/>
                <w:lang w:eastAsia="ru-RU"/>
              </w:rPr>
              <w:t xml:space="preserve"> настоящей документации об аукционе.</w:t>
            </w:r>
          </w:p>
        </w:tc>
      </w:tr>
      <w:tr w14:paraId="508DFAC5">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3E1878BF">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291E8C8E">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Состав и содержание первой части заявки на участие в аукционе</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0EB3646C">
            <w:pPr>
              <w:autoSpaceDE w:val="0"/>
              <w:autoSpaceDN w:val="0"/>
              <w:adjustRightInd w:val="0"/>
              <w:spacing w:after="0" w:line="240" w:lineRule="auto"/>
              <w:contextualSpacing/>
              <w:rPr>
                <w:rFonts w:ascii="Times New Roman" w:hAnsi="Times New Roman" w:eastAsia="Times New Roman" w:cs="Times New Roman"/>
                <w:color w:val="000000"/>
              </w:rPr>
            </w:pPr>
            <w:r>
              <w:rPr>
                <w:rFonts w:ascii="Times New Roman" w:hAnsi="Times New Roman" w:eastAsia="Times New Roman" w:cs="Times New Roman"/>
                <w:color w:val="000000"/>
              </w:rPr>
              <w:t xml:space="preserve">Первая часть заявки на участие в аукционе должна содержать следующие сведения: </w:t>
            </w:r>
          </w:p>
          <w:p w14:paraId="3F1715CA">
            <w:pPr>
              <w:autoSpaceDE w:val="0"/>
              <w:autoSpaceDN w:val="0"/>
              <w:jc w:val="both"/>
              <w:rPr>
                <w:rFonts w:ascii="Times New Roman" w:hAnsi="Times New Roman" w:cs="Times New Roman"/>
                <w:iCs/>
                <w:color w:val="000000"/>
              </w:rPr>
            </w:pPr>
            <w:r>
              <w:rPr>
                <w:rFonts w:ascii="Times New Roman" w:hAnsi="Times New Roman" w:cs="Times New Roman"/>
                <w:iCs/>
                <w:color w:val="000000"/>
              </w:rPr>
              <w:t>1) согласие участника аукциона на выполнение работ на условиях, предусмотренных аукционной документацией и не подлежащих изменению по результатам проведения аукциона (такое согласие дается с применением программно-аппаратных средств электронной площадки);</w:t>
            </w:r>
          </w:p>
          <w:p w14:paraId="4A9ABC1B">
            <w:pPr>
              <w:autoSpaceDE w:val="0"/>
              <w:autoSpaceDN w:val="0"/>
              <w:jc w:val="both"/>
              <w:rPr>
                <w:rFonts w:ascii="Times New Roman" w:hAnsi="Times New Roman" w:cs="Times New Roman"/>
                <w:iCs/>
              </w:rPr>
            </w:pPr>
            <w:r>
              <w:rPr>
                <w:rFonts w:ascii="Times New Roman" w:hAnsi="Times New Roman" w:cs="Times New Roman"/>
                <w:iCs/>
              </w:rPr>
              <w:t>2) конкретные показатели товара, в том числе поставляемого при выполнении работ, соответствующие значениям, установленным в аукционной документации, и указание на товарный знак (при наличии);</w:t>
            </w:r>
          </w:p>
          <w:p w14:paraId="35E6E127">
            <w:pPr>
              <w:autoSpaceDE w:val="0"/>
              <w:autoSpaceDN w:val="0"/>
              <w:jc w:val="both"/>
              <w:rPr>
                <w:rFonts w:ascii="Times New Roman" w:hAnsi="Times New Roman" w:cs="Times New Roman"/>
                <w:iCs/>
              </w:rPr>
            </w:pPr>
            <w:r>
              <w:rPr>
                <w:rFonts w:ascii="Times New Roman" w:hAnsi="Times New Roman" w:cs="Times New Roman"/>
                <w:iCs/>
              </w:rPr>
              <w:t>3) наименование страны происхождения поставляемого товара.</w:t>
            </w:r>
          </w:p>
          <w:p w14:paraId="2691F813">
            <w:pPr>
              <w:autoSpaceDE w:val="0"/>
              <w:autoSpaceDN w:val="0"/>
              <w:adjustRightInd w:val="0"/>
              <w:spacing w:after="0" w:line="240" w:lineRule="auto"/>
              <w:contextualSpacing/>
              <w:jc w:val="both"/>
              <w:rPr>
                <w:rFonts w:ascii="Times New Roman" w:hAnsi="Times New Roman" w:eastAsia="Times New Roman" w:cs="Times New Roman"/>
                <w:lang w:eastAsia="ru-RU"/>
              </w:rPr>
            </w:pPr>
            <w:r>
              <w:rPr>
                <w:rFonts w:ascii="Times New Roman" w:hAnsi="Times New Roman" w:eastAsia="Times New Roman" w:cs="Times New Roman"/>
                <w:color w:val="000000" w:themeColor="text1"/>
                <w14:textFill>
                  <w14:solidFill>
                    <w14:schemeClr w14:val="tx1"/>
                  </w14:solidFill>
                </w14:textFill>
              </w:rPr>
              <w:t>В соответствии  с Постановление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 1875) предъявляется требование об указании (декларировании) участником конкурса в первой части заявки на участие в конкурсе наименования страны происхождения поставляемых товаров.</w:t>
            </w:r>
          </w:p>
        </w:tc>
      </w:tr>
      <w:tr w14:paraId="4EAA96B3">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3CF6F38C">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4073FB2C">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Состав и содержание второй части заявки</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5CB9F5CC">
            <w:pPr>
              <w:tabs>
                <w:tab w:val="left" w:pos="708"/>
              </w:tabs>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Вторая часть заявки на участие в аукционе должна содержать следующие документы и информацию:</w:t>
            </w:r>
          </w:p>
          <w:p w14:paraId="52186041">
            <w:pPr>
              <w:widowControl w:val="0"/>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1) сведения об участнике аукциона, подавшем заявку: </w:t>
            </w:r>
          </w:p>
          <w:p w14:paraId="247D8696">
            <w:pPr>
              <w:widowControl w:val="0"/>
              <w:spacing w:after="0" w:line="240" w:lineRule="auto"/>
              <w:ind w:firstLine="385"/>
              <w:contextualSpacing/>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ИНН, фирменное наименование (полное наименование), организационно-правовую форму, место нахождения, почтовый адрес (для юридического лица);</w:t>
            </w:r>
          </w:p>
          <w:p w14:paraId="0E0D3216">
            <w:pPr>
              <w:widowControl w:val="0"/>
              <w:spacing w:after="0" w:line="240" w:lineRule="auto"/>
              <w:ind w:firstLine="385"/>
              <w:contextualSpacing/>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фамилию, имя, отчество, паспортные данные, ИНН (при наличии), сведения о месте жительства (для физического лица), номер контактного телефона;</w:t>
            </w:r>
          </w:p>
          <w:p w14:paraId="6BFE92A8">
            <w:pPr>
              <w:widowControl w:val="0"/>
              <w:spacing w:after="0" w:line="240" w:lineRule="auto"/>
              <w:ind w:left="102"/>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2) копии учредительных документов участника аукциона (для юридических лиц);</w:t>
            </w:r>
          </w:p>
          <w:p w14:paraId="73B72544">
            <w:pPr>
              <w:widowControl w:val="0"/>
              <w:tabs>
                <w:tab w:val="left" w:pos="993"/>
              </w:tabs>
              <w:spacing w:after="0" w:line="240" w:lineRule="auto"/>
              <w:ind w:left="102"/>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3) копии документов, удостоверяющих личность (для физических лиц);</w:t>
            </w:r>
          </w:p>
          <w:p w14:paraId="70F0F1F8">
            <w:pPr>
              <w:widowControl w:val="0"/>
              <w:tabs>
                <w:tab w:val="left" w:pos="709"/>
              </w:tabs>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  4) копию выписки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w:t>
            </w:r>
          </w:p>
          <w:p w14:paraId="4E7EFFC3">
            <w:pPr>
              <w:widowControl w:val="0"/>
              <w:tabs>
                <w:tab w:val="left" w:pos="709"/>
              </w:tabs>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  5) копию надлежащим образом заверенного перевода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w:t>
            </w:r>
          </w:p>
          <w:p w14:paraId="2EB7ADDA">
            <w:pPr>
              <w:widowControl w:val="0"/>
              <w:tabs>
                <w:tab w:val="left" w:pos="851"/>
              </w:tabs>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 6) копию документа, подтверждающего полномочия лица осуществлять действия от имени участника закупок - юридического лица (копию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копию доверенности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w:t>
            </w:r>
          </w:p>
          <w:p w14:paraId="584A4442">
            <w:pPr>
              <w:widowControl w:val="0"/>
              <w:tabs>
                <w:tab w:val="left" w:pos="851"/>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 xml:space="preserve"> 6)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и (или) учредительными документами юридического лица и если для участника закупки поставки товаров, выполнение работ, оказание услуг, являющихся предметом договора, или внесение денежных средств в качестве обеспечения заявки на участие в аукционе, обеспечения исполнения договора являются крупной сделкой. Предоставление указанного решения не требуется в случае, если начальная (максимальная) цена договора не превышает максимальную сумму сделки, предусмотренную решением об одобрении или о совершении сделок, предоставляемым для аккредитации участника закупки на электронной площадке. </w:t>
            </w:r>
          </w:p>
        </w:tc>
      </w:tr>
      <w:tr w14:paraId="46663636">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70FF7628">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26BDFB0E">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bCs/>
                <w:lang w:eastAsia="ru-RU"/>
              </w:rPr>
              <w:t>Предоставление национального режима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0410E808">
            <w:pPr>
              <w:widowControl w:val="0"/>
              <w:snapToGrid w:val="0"/>
              <w:spacing w:after="0" w:line="240" w:lineRule="auto"/>
              <w:jc w:val="both"/>
              <w:rPr>
                <w:rFonts w:ascii="Times New Roman" w:hAnsi="Times New Roman" w:eastAsia="Times New Roman" w:cs="Arial"/>
                <w:sz w:val="24"/>
                <w:lang w:eastAsia="ru-RU"/>
              </w:rPr>
            </w:pPr>
            <w:bookmarkStart w:id="80" w:name="_Hlk189221754"/>
            <w:r>
              <w:rPr>
                <w:rFonts w:ascii="Times New Roman" w:hAnsi="Times New Roman" w:eastAsia="Times New Roman" w:cs="Arial"/>
                <w:lang w:eastAsia="ru-RU"/>
              </w:rPr>
              <w:t>В соответствии с Постановлением правительства № 1875 от 23.12.2024 г.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запрет/ограничение/преимущество закупок товаров, происходящих из иностранных государств.</w:t>
            </w:r>
          </w:p>
          <w:p w14:paraId="33574530">
            <w:pPr>
              <w:widowControl w:val="0"/>
              <w:snapToGrid w:val="0"/>
              <w:spacing w:after="0" w:line="240" w:lineRule="auto"/>
              <w:jc w:val="both"/>
              <w:rPr>
                <w:rFonts w:ascii="Times New Roman" w:hAnsi="Times New Roman" w:eastAsia="Times New Roman" w:cs="Arial"/>
                <w:sz w:val="24"/>
                <w:lang w:eastAsia="ru-RU"/>
              </w:rPr>
            </w:pPr>
            <w:r>
              <w:rPr>
                <w:rFonts w:ascii="Times New Roman" w:hAnsi="Times New Roman" w:eastAsia="Times New Roman" w:cs="Arial"/>
                <w:lang w:eastAsia="ru-RU"/>
              </w:rPr>
              <w:t>Информацией и документами, подтверждающими страну происхождения товаров, являются:</w:t>
            </w:r>
          </w:p>
          <w:p w14:paraId="32008BC3">
            <w:pPr>
              <w:widowControl w:val="0"/>
              <w:snapToGrid w:val="0"/>
              <w:spacing w:after="0" w:line="240" w:lineRule="auto"/>
              <w:jc w:val="both"/>
              <w:rPr>
                <w:rFonts w:ascii="Times New Roman" w:hAnsi="Times New Roman" w:eastAsia="Times New Roman" w:cs="Arial"/>
                <w:sz w:val="24"/>
                <w:lang w:eastAsia="ru-RU"/>
              </w:rPr>
            </w:pPr>
            <w:r>
              <w:rPr>
                <w:rFonts w:ascii="Times New Roman" w:hAnsi="Times New Roman" w:eastAsia="Times New Roman" w:cs="Arial"/>
                <w:lang w:eastAsia="ru-RU"/>
              </w:rPr>
              <w:t>- для подтверждения происхождения товаров из Российской Федерации - номер реестровой записи из реестра российской промышленной продукции;</w:t>
            </w:r>
          </w:p>
          <w:p w14:paraId="54B5DF74">
            <w:pPr>
              <w:autoSpaceDE w:val="0"/>
              <w:autoSpaceDN w:val="0"/>
              <w:adjustRightInd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lang w:eastAsia="ru-RU"/>
              </w:rPr>
              <w:t>-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bookmarkEnd w:id="80"/>
          </w:p>
        </w:tc>
      </w:tr>
      <w:tr w14:paraId="09BF9A0F">
        <w:tblPrEx>
          <w:tblCellMar>
            <w:top w:w="0" w:type="dxa"/>
            <w:left w:w="40" w:type="dxa"/>
            <w:bottom w:w="0" w:type="dxa"/>
            <w:right w:w="40" w:type="dxa"/>
          </w:tblCellMar>
        </w:tblPrEx>
        <w:trPr>
          <w:trHeight w:val="229" w:hRule="atLeast"/>
        </w:trPr>
        <w:tc>
          <w:tcPr>
            <w:tcW w:w="10205" w:type="dxa"/>
            <w:gridSpan w:val="3"/>
            <w:tcBorders>
              <w:top w:val="single" w:color="auto" w:sz="6" w:space="0"/>
              <w:left w:val="single" w:color="auto" w:sz="6" w:space="0"/>
              <w:bottom w:val="single" w:color="auto" w:sz="6" w:space="0"/>
              <w:right w:val="single" w:color="auto" w:sz="6" w:space="0"/>
            </w:tcBorders>
            <w:shd w:val="clear" w:color="auto" w:fill="FFFFFF"/>
          </w:tcPr>
          <w:p w14:paraId="16D8862E">
            <w:pPr>
              <w:numPr>
                <w:ilvl w:val="0"/>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lang w:eastAsia="ru-RU"/>
              </w:rPr>
              <w:t>Периоды проведения аукциона</w:t>
            </w:r>
          </w:p>
        </w:tc>
      </w:tr>
      <w:tr w14:paraId="6D056CDA">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5F520CCC">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62E71B81">
            <w:pPr>
              <w:shd w:val="clear" w:color="auto" w:fill="FFFFFF"/>
              <w:autoSpaceDE w:val="0"/>
              <w:autoSpaceDN w:val="0"/>
              <w:adjustRightInd w:val="0"/>
              <w:spacing w:after="0" w:line="240" w:lineRule="auto"/>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lang w:eastAsia="ru-RU"/>
              </w:rPr>
              <w:t>Дата и время окончания срока подачи заявок на участие в аукционе</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2BCAE37B">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0</w:t>
            </w:r>
            <w:r>
              <w:rPr>
                <w:rFonts w:hint="default" w:ascii="Times New Roman" w:hAnsi="Times New Roman" w:eastAsia="Times New Roman" w:cs="Times New Roman"/>
                <w:lang w:val="en-US" w:eastAsia="ru-RU"/>
              </w:rPr>
              <w:t>7</w:t>
            </w:r>
            <w:r>
              <w:rPr>
                <w:rFonts w:ascii="Times New Roman" w:hAnsi="Times New Roman" w:eastAsia="Times New Roman" w:cs="Times New Roman"/>
                <w:lang w:eastAsia="ru-RU"/>
              </w:rPr>
              <w:t>.10.2026 в «09» часов «00» минут</w:t>
            </w:r>
          </w:p>
        </w:tc>
      </w:tr>
      <w:tr w14:paraId="25BB88B0">
        <w:tblPrEx>
          <w:tblCellMar>
            <w:top w:w="0" w:type="dxa"/>
            <w:left w:w="40" w:type="dxa"/>
            <w:bottom w:w="0" w:type="dxa"/>
            <w:right w:w="40" w:type="dxa"/>
          </w:tblCellMar>
        </w:tblPrEx>
        <w:trPr>
          <w:trHeight w:val="317"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0A7B536A">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5A5B8DED">
            <w:pPr>
              <w:shd w:val="clear" w:color="auto" w:fill="FFFFFF"/>
              <w:autoSpaceDE w:val="0"/>
              <w:autoSpaceDN w:val="0"/>
              <w:adjustRightInd w:val="0"/>
              <w:spacing w:after="0" w:line="240" w:lineRule="auto"/>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lang w:eastAsia="ru-RU"/>
              </w:rPr>
              <w:t xml:space="preserve">Дата окончания срока рассмотрения первых частей заявок на участие в  аукционе </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0650F406">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0</w:t>
            </w:r>
            <w:r>
              <w:rPr>
                <w:rFonts w:hint="default" w:ascii="Times New Roman" w:hAnsi="Times New Roman" w:eastAsia="Times New Roman" w:cs="Times New Roman"/>
                <w:lang w:val="en-US" w:eastAsia="ru-RU"/>
              </w:rPr>
              <w:t>9</w:t>
            </w:r>
            <w:r>
              <w:rPr>
                <w:rFonts w:ascii="Times New Roman" w:hAnsi="Times New Roman" w:eastAsia="Times New Roman" w:cs="Times New Roman"/>
                <w:lang w:eastAsia="ru-RU"/>
              </w:rPr>
              <w:t>.10.2026</w:t>
            </w:r>
          </w:p>
        </w:tc>
      </w:tr>
      <w:tr w14:paraId="5899D013">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6409D28B">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18C6F4FF">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Дата проведения аукциона </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673AC74B">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hint="default" w:ascii="Times New Roman" w:hAnsi="Times New Roman" w:eastAsia="Times New Roman" w:cs="Times New Roman"/>
                <w:lang w:val="en-US" w:eastAsia="ru-RU"/>
              </w:rPr>
              <w:t>12</w:t>
            </w:r>
            <w:r>
              <w:rPr>
                <w:rFonts w:ascii="Times New Roman" w:hAnsi="Times New Roman" w:eastAsia="Times New Roman" w:cs="Times New Roman"/>
                <w:lang w:eastAsia="ru-RU"/>
              </w:rPr>
              <w:t>.10.2026</w:t>
            </w:r>
          </w:p>
        </w:tc>
      </w:tr>
      <w:tr w14:paraId="7DC790B6">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7C8DA5E9">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233BE736">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lang w:eastAsia="ru-RU"/>
              </w:rPr>
              <w:t xml:space="preserve">Дата окончания срока рассмотрения вторых частей заявок на участие в  аукционе и </w:t>
            </w:r>
            <w:r>
              <w:rPr>
                <w:rFonts w:ascii="Times New Roman" w:hAnsi="Times New Roman" w:eastAsia="Times New Roman" w:cs="Times New Roman"/>
                <w:lang w:eastAsia="ru-RU"/>
              </w:rPr>
              <w:t xml:space="preserve"> подведения итогов аукциона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5AC9D7B6">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hint="default" w:ascii="Times New Roman" w:hAnsi="Times New Roman" w:eastAsia="Times New Roman" w:cs="Times New Roman"/>
                <w:lang w:val="en-US" w:eastAsia="ru-RU"/>
              </w:rPr>
              <w:t>13</w:t>
            </w:r>
            <w:bookmarkStart w:id="89" w:name="_GoBack"/>
            <w:bookmarkEnd w:id="89"/>
            <w:r>
              <w:rPr>
                <w:rFonts w:ascii="Times New Roman" w:hAnsi="Times New Roman" w:eastAsia="Times New Roman" w:cs="Times New Roman"/>
                <w:lang w:eastAsia="ru-RU"/>
              </w:rPr>
              <w:t>.10.2026</w:t>
            </w:r>
          </w:p>
        </w:tc>
      </w:tr>
      <w:tr w14:paraId="5E756037">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36F0437B">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24C34456">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Место рассмотрения заявок и подведения итогов аукциона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1C7EA9A8">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bCs/>
                <w:lang w:eastAsia="ru-RU"/>
              </w:rPr>
              <w:t>190031, г. Санкт-Петербург, Московский проспект, дом 9</w:t>
            </w:r>
          </w:p>
        </w:tc>
      </w:tr>
      <w:tr w14:paraId="12822131">
        <w:tblPrEx>
          <w:tblCellMar>
            <w:top w:w="0" w:type="dxa"/>
            <w:left w:w="40" w:type="dxa"/>
            <w:bottom w:w="0" w:type="dxa"/>
            <w:right w:w="40" w:type="dxa"/>
          </w:tblCellMar>
        </w:tblPrEx>
        <w:trPr>
          <w:trHeight w:val="326" w:hRule="atLeast"/>
        </w:trPr>
        <w:tc>
          <w:tcPr>
            <w:tcW w:w="10205" w:type="dxa"/>
            <w:gridSpan w:val="3"/>
            <w:tcBorders>
              <w:top w:val="single" w:color="auto" w:sz="6" w:space="0"/>
              <w:left w:val="single" w:color="auto" w:sz="6" w:space="0"/>
              <w:bottom w:val="single" w:color="auto" w:sz="6" w:space="0"/>
              <w:right w:val="single" w:color="auto" w:sz="6" w:space="0"/>
            </w:tcBorders>
            <w:shd w:val="clear" w:color="auto" w:fill="FFFFFF"/>
          </w:tcPr>
          <w:p w14:paraId="417D6685">
            <w:pPr>
              <w:numPr>
                <w:ilvl w:val="0"/>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lang w:eastAsia="ru-RU"/>
              </w:rPr>
              <w:t>Обеспечение заявки на участие в аукционе, исполнения договора</w:t>
            </w:r>
          </w:p>
        </w:tc>
      </w:tr>
      <w:tr w14:paraId="3BB89B17">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098E4389">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0BE4CB97">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Обеспечение заявки на участие в аукционе</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669F7C89">
            <w:pPr>
              <w:widowControl w:val="0"/>
              <w:tabs>
                <w:tab w:val="left" w:pos="669"/>
              </w:tabs>
              <w:spacing w:after="0" w:line="240" w:lineRule="auto"/>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Размер обеспечения заявки на участие в аукционе: 968 055,46 руб.</w:t>
            </w:r>
          </w:p>
        </w:tc>
      </w:tr>
      <w:tr w14:paraId="11AC3FBA">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7EDF0B73">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199DD11C">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Размер обеспечения исполнения договора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1ED9A63B">
            <w:pPr>
              <w:widowControl w:val="0"/>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Размер обеспечения исполнения договора: 2 420 138,66 руб. </w:t>
            </w:r>
          </w:p>
        </w:tc>
      </w:tr>
      <w:tr w14:paraId="457942D8">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7F8FA5DE">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2B184CF7">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Общие требования к обеспечению исполнения договора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63C0EDDF">
            <w:pPr>
              <w:tabs>
                <w:tab w:val="left" w:pos="1080"/>
              </w:tabs>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Установлены в Разделе VII настоящей документации об аукционе.</w:t>
            </w:r>
          </w:p>
          <w:p w14:paraId="660F1AEB">
            <w:pPr>
              <w:tabs>
                <w:tab w:val="left" w:pos="1080"/>
              </w:tabs>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Сканированный образ (светокопия) документа, подтверждающего предоставление обеспечения исполнения договора, представляется заказчику одновременно с подписанием победителем аукциона или иным участником, с которым заключается договор при уклонении победителя от подписания договора, проекта договора.</w:t>
            </w:r>
          </w:p>
        </w:tc>
      </w:tr>
      <w:tr w14:paraId="2745AFE2">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755873CB">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2324DF62">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Реквизиты для перечисления денежных средств в случае обеспечения исполнения договора в виде внесения денежных средств</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0344CB66">
            <w:pPr>
              <w:tabs>
                <w:tab w:val="left" w:pos="108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Федеральное государственное бюджетное образовательное учреждение высшего образования «Петербургский государственный университет путей сообщения Императора Александра I».</w:t>
            </w:r>
          </w:p>
          <w:p w14:paraId="158CAAC4">
            <w:pPr>
              <w:tabs>
                <w:tab w:val="left" w:pos="108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Адрес (место нахождения) юридического лица: </w:t>
            </w:r>
          </w:p>
          <w:p w14:paraId="3F6B915C">
            <w:pPr>
              <w:tabs>
                <w:tab w:val="left" w:pos="108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190031, г. Санкт-Петербург, Московский проспект, дом 9.</w:t>
            </w:r>
          </w:p>
          <w:p w14:paraId="6E166C2E">
            <w:pPr>
              <w:tabs>
                <w:tab w:val="left" w:pos="108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ОГРН 1027810241502</w:t>
            </w:r>
          </w:p>
          <w:p w14:paraId="4E1F828D">
            <w:pPr>
              <w:tabs>
                <w:tab w:val="left" w:pos="108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ИНН 7812009592/КПП 783801001</w:t>
            </w:r>
          </w:p>
          <w:p w14:paraId="1F83F98B">
            <w:pPr>
              <w:tabs>
                <w:tab w:val="left" w:pos="108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УФК по Нижегородской области</w:t>
            </w:r>
          </w:p>
          <w:p w14:paraId="51B4528D">
            <w:pPr>
              <w:tabs>
                <w:tab w:val="left" w:pos="108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(ФГБОУ ВО ПГУПС л/сч.20726X57890)</w:t>
            </w:r>
          </w:p>
          <w:p w14:paraId="4F2C484F">
            <w:pPr>
              <w:tabs>
                <w:tab w:val="left" w:pos="108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ОКЦ №1 ВВГУ Банка России//УФК по Нижегородской области, </w:t>
            </w:r>
          </w:p>
          <w:p w14:paraId="3A38C4AA">
            <w:pPr>
              <w:tabs>
                <w:tab w:val="left" w:pos="108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г Нижний Новгород</w:t>
            </w:r>
          </w:p>
          <w:p w14:paraId="326007C8">
            <w:pPr>
              <w:tabs>
                <w:tab w:val="left" w:pos="108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БИК 012202102   </w:t>
            </w:r>
          </w:p>
          <w:p w14:paraId="3B051714">
            <w:pPr>
              <w:tabs>
                <w:tab w:val="left" w:pos="108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Казначейский счет: 03214643000000013225</w:t>
            </w:r>
          </w:p>
          <w:p w14:paraId="6A0DA644">
            <w:pPr>
              <w:tabs>
                <w:tab w:val="left" w:pos="108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Счет в составе ЕКС: 40102810745370000024</w:t>
            </w:r>
          </w:p>
          <w:p w14:paraId="566D6EE7">
            <w:pPr>
              <w:tabs>
                <w:tab w:val="left" w:pos="1080"/>
              </w:tabs>
              <w:spacing w:after="0" w:line="240" w:lineRule="auto"/>
              <w:jc w:val="both"/>
              <w:rPr>
                <w:rFonts w:ascii="Times New Roman" w:hAnsi="Times New Roman" w:eastAsia="Times New Roman" w:cs="Times New Roman"/>
                <w:lang w:val="en-US" w:eastAsia="ru-RU"/>
              </w:rPr>
            </w:pPr>
            <w:r>
              <w:rPr>
                <w:rFonts w:ascii="Times New Roman" w:hAnsi="Times New Roman" w:eastAsia="Times New Roman" w:cs="Times New Roman"/>
                <w:lang w:eastAsia="ru-RU"/>
              </w:rPr>
              <w:t>КБК 00000000000000000</w:t>
            </w:r>
            <w:r>
              <w:rPr>
                <w:rFonts w:ascii="Times New Roman" w:hAnsi="Times New Roman" w:eastAsia="Times New Roman" w:cs="Times New Roman"/>
                <w:lang w:val="en-US" w:eastAsia="ru-RU"/>
              </w:rPr>
              <w:t>510</w:t>
            </w:r>
          </w:p>
          <w:p w14:paraId="12856986">
            <w:pPr>
              <w:tabs>
                <w:tab w:val="left" w:pos="108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ОКТМО 40302000</w:t>
            </w:r>
          </w:p>
          <w:p w14:paraId="469DA141">
            <w:pPr>
              <w:tabs>
                <w:tab w:val="left" w:pos="108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ОКОНХ 92110</w:t>
            </w:r>
          </w:p>
          <w:p w14:paraId="48DB6D40">
            <w:pPr>
              <w:tabs>
                <w:tab w:val="left" w:pos="108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ОКПО 01115840</w:t>
            </w:r>
          </w:p>
          <w:p w14:paraId="3310C364">
            <w:pPr>
              <w:tabs>
                <w:tab w:val="left" w:pos="1080"/>
              </w:tabs>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Назначение платежа: «Обеспечение исполнения договора на _______, НДС не облагается».</w:t>
            </w:r>
          </w:p>
          <w:p w14:paraId="2C0DE885">
            <w:pPr>
              <w:widowControl w:val="0"/>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Денежные средства, вносимые в качестве обеспечения исполнения договора, возвращаются поставщику (подрядчику, исполнителю) при условии надлежащего исполнения им всех своих обязательств по договору в течение 10 (десяти) банковских дней со дня получения Заказчиком соответствующего письменного требования. Денежные средства возвращаются на банковский счет, указанный в этом письменном требовании.</w:t>
            </w:r>
          </w:p>
        </w:tc>
      </w:tr>
    </w:tbl>
    <w:p w14:paraId="504510E1">
      <w:pPr>
        <w:spacing w:after="0" w:line="276" w:lineRule="auto"/>
        <w:rPr>
          <w:rFonts w:ascii="Times New Roman" w:hAnsi="Times New Roman" w:eastAsia="Times New Roman" w:cs="Times New Roman"/>
          <w:b/>
          <w:caps/>
          <w:spacing w:val="20"/>
          <w:lang w:eastAsia="ru-RU"/>
        </w:rPr>
      </w:pPr>
      <w:bookmarkStart w:id="81" w:name="_Toc1576670"/>
      <w:bookmarkStart w:id="82" w:name="_Toc381286713"/>
      <w:bookmarkStart w:id="83" w:name="_Toc435795465"/>
      <w:bookmarkStart w:id="84" w:name="_Toc475014597"/>
    </w:p>
    <w:p w14:paraId="14A801C9">
      <w:pPr>
        <w:rPr>
          <w:rFonts w:ascii="Times New Roman" w:hAnsi="Times New Roman" w:eastAsia="Times New Roman" w:cs="Times New Roman"/>
          <w:b/>
          <w:caps/>
          <w:spacing w:val="20"/>
          <w:lang w:eastAsia="ru-RU"/>
        </w:rPr>
      </w:pPr>
      <w:r>
        <w:rPr>
          <w:rFonts w:ascii="Times New Roman" w:hAnsi="Times New Roman" w:eastAsia="Times New Roman" w:cs="Times New Roman"/>
          <w:b/>
          <w:caps/>
          <w:spacing w:val="20"/>
          <w:lang w:eastAsia="ru-RU"/>
        </w:rPr>
        <w:br w:type="page"/>
      </w:r>
    </w:p>
    <w:p w14:paraId="2003ADC9">
      <w:pPr>
        <w:spacing w:after="0" w:line="276" w:lineRule="auto"/>
        <w:rPr>
          <w:rFonts w:ascii="Times New Roman" w:hAnsi="Times New Roman" w:eastAsia="Times New Roman" w:cs="Times New Roman"/>
          <w:b/>
          <w:caps/>
          <w:spacing w:val="20"/>
          <w:lang w:eastAsia="ru-RU"/>
        </w:rPr>
      </w:pPr>
      <w:r>
        <w:rPr>
          <w:rFonts w:ascii="Times New Roman" w:hAnsi="Times New Roman" w:eastAsia="Times New Roman" w:cs="Times New Roman"/>
          <w:b/>
          <w:caps/>
          <w:spacing w:val="20"/>
          <w:lang w:eastAsia="ru-RU"/>
        </w:rPr>
        <w:t>Часть II. Техническое задание (Технические требования)</w:t>
      </w:r>
      <w:bookmarkEnd w:id="81"/>
      <w:bookmarkEnd w:id="82"/>
      <w:bookmarkEnd w:id="83"/>
      <w:bookmarkEnd w:id="84"/>
    </w:p>
    <w:p w14:paraId="1F0F2D47">
      <w:pPr>
        <w:autoSpaceDE w:val="0"/>
        <w:autoSpaceDN w:val="0"/>
        <w:adjustRightInd w:val="0"/>
        <w:spacing w:after="0" w:line="240" w:lineRule="auto"/>
        <w:jc w:val="center"/>
        <w:outlineLvl w:val="0"/>
        <w:rPr>
          <w:rFonts w:ascii="Times New Roman" w:hAnsi="Times New Roman" w:eastAsia="Calibri" w:cs="Times New Roman"/>
          <w:b/>
          <w:bCs/>
          <w:iCs/>
          <w:color w:val="000000"/>
          <w:sz w:val="24"/>
        </w:rPr>
      </w:pPr>
      <w:bookmarkStart w:id="85" w:name="_Toc1576671"/>
      <w:bookmarkStart w:id="86" w:name="_Toc475014600"/>
      <w:r>
        <w:rPr>
          <w:rFonts w:ascii="Times New Roman" w:hAnsi="Times New Roman" w:eastAsia="Calibri" w:cs="Times New Roman"/>
          <w:b/>
          <w:bCs/>
          <w:iCs/>
          <w:color w:val="000000"/>
          <w:sz w:val="24"/>
        </w:rPr>
        <w:t>ТЕХНИЧЕСКОЕ ЗАДАНИЕ</w:t>
      </w:r>
    </w:p>
    <w:p w14:paraId="72BD412C">
      <w:pPr>
        <w:spacing w:after="0" w:line="240" w:lineRule="auto"/>
        <w:ind w:firstLine="11"/>
        <w:jc w:val="both"/>
        <w:rPr>
          <w:rFonts w:ascii="Times New Roman" w:hAnsi="Times New Roman" w:eastAsia="Times New Roman" w:cs="Times New Roman"/>
          <w:b/>
          <w:lang w:eastAsia="ru-RU"/>
        </w:rPr>
      </w:pPr>
    </w:p>
    <w:p w14:paraId="03709043">
      <w:pPr>
        <w:pStyle w:val="85"/>
        <w:numPr>
          <w:ilvl w:val="0"/>
          <w:numId w:val="27"/>
        </w:numPr>
        <w:spacing w:before="0"/>
        <w:ind w:left="0" w:firstLine="0"/>
        <w:contextualSpacing/>
        <w:rPr>
          <w:color w:val="1A1A1A"/>
          <w:shd w:val="clear" w:color="auto" w:fill="FFFFFF"/>
        </w:rPr>
      </w:pPr>
      <w:r>
        <w:rPr>
          <w:b/>
        </w:rPr>
        <w:t>Предмет закупки:</w:t>
      </w:r>
      <w:r>
        <w:t xml:space="preserve"> </w:t>
      </w:r>
      <w:r>
        <w:rPr>
          <w:color w:val="1A1A1A"/>
          <w:shd w:val="clear" w:color="auto" w:fill="FFFFFF"/>
        </w:rPr>
        <w:t>Работы по модернизации фрагмента локальной вычислительной сети (СКС в корпусах: 1, 2, 3, 4, 5, 6, 7, 8, 9, 10 и 14).</w:t>
      </w:r>
    </w:p>
    <w:p w14:paraId="606244D6">
      <w:pPr>
        <w:pStyle w:val="85"/>
        <w:ind w:left="371"/>
      </w:pPr>
    </w:p>
    <w:p w14:paraId="090C271E">
      <w:pPr>
        <w:tabs>
          <w:tab w:val="left" w:pos="709"/>
        </w:tabs>
        <w:spacing w:after="0" w:line="240" w:lineRule="auto"/>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2. Сроки выполнения работ: </w:t>
      </w:r>
    </w:p>
    <w:p w14:paraId="5558EFBF">
      <w:pPr>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Начало работ – со дня заключения Договора;</w:t>
      </w:r>
    </w:p>
    <w:p w14:paraId="7710C71E">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Окончание работ –100 (Сто) рабочих дней со дня заключения Договора.</w:t>
      </w:r>
    </w:p>
    <w:p w14:paraId="40C0551F">
      <w:pPr>
        <w:spacing w:after="0" w:line="240" w:lineRule="auto"/>
        <w:ind w:firstLine="11"/>
        <w:jc w:val="both"/>
        <w:rPr>
          <w:rFonts w:ascii="Times New Roman" w:hAnsi="Times New Roman" w:eastAsia="Times New Roman" w:cs="Times New Roman"/>
          <w:lang w:eastAsia="ru-RU"/>
        </w:rPr>
      </w:pPr>
    </w:p>
    <w:p w14:paraId="56155C98">
      <w:pPr>
        <w:spacing w:after="0" w:line="240" w:lineRule="auto"/>
        <w:ind w:firstLine="11"/>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3. Место выполнения работ: </w:t>
      </w:r>
    </w:p>
    <w:p w14:paraId="74E6ACC0">
      <w:pPr>
        <w:spacing w:after="0" w:line="240" w:lineRule="auto"/>
        <w:ind w:firstLine="11"/>
        <w:jc w:val="both"/>
        <w:rPr>
          <w:rFonts w:ascii="Times New Roman" w:hAnsi="Times New Roman" w:eastAsia="Times New Roman" w:cs="Times New Roman"/>
          <w:lang w:eastAsia="ru-RU"/>
        </w:rPr>
      </w:pPr>
      <w:r>
        <w:rPr>
          <w:rFonts w:ascii="Times New Roman" w:hAnsi="Times New Roman" w:eastAsia="Calibri" w:cs="Times New Roman"/>
          <w:lang w:eastAsia="ru-RU"/>
        </w:rPr>
        <w:t xml:space="preserve">г. Санкт-Петербург, </w:t>
      </w:r>
      <w:r>
        <w:rPr>
          <w:rFonts w:ascii="Times New Roman" w:hAnsi="Times New Roman" w:eastAsia="Times New Roman" w:cs="Times New Roman"/>
          <w:shd w:val="clear" w:color="auto" w:fill="FFFFFF"/>
          <w:lang w:eastAsia="ru-RU"/>
        </w:rPr>
        <w:t>Московский пр., д.9</w:t>
      </w:r>
      <w:r>
        <w:rPr>
          <w:rFonts w:ascii="Times New Roman" w:hAnsi="Times New Roman" w:eastAsia="Times New Roman" w:cs="Times New Roman"/>
          <w:lang w:eastAsia="ru-RU"/>
        </w:rPr>
        <w:t>, лит. А, Набережная реки Фонтанки, д. 113, лит. А.</w:t>
      </w:r>
    </w:p>
    <w:p w14:paraId="7F775655">
      <w:pPr>
        <w:spacing w:after="0" w:line="240" w:lineRule="auto"/>
        <w:ind w:firstLine="11"/>
        <w:jc w:val="both"/>
        <w:rPr>
          <w:rFonts w:ascii="Times New Roman" w:hAnsi="Times New Roman" w:eastAsia="Times New Roman" w:cs="Times New Roman"/>
          <w:b/>
          <w:lang w:eastAsia="ru-RU"/>
        </w:rPr>
      </w:pPr>
    </w:p>
    <w:p w14:paraId="6D8C58F9">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 xml:space="preserve">4. </w:t>
      </w:r>
      <w:r>
        <w:rPr>
          <w:rFonts w:ascii="Times New Roman" w:hAnsi="Times New Roman" w:eastAsia="Times New Roman" w:cs="Times New Roman"/>
          <w:b/>
          <w:bCs/>
          <w:lang w:eastAsia="ru-RU"/>
        </w:rPr>
        <w:t>Требования к содержанию и оформлению технической документации:</w:t>
      </w:r>
      <w:r>
        <w:rPr>
          <w:rFonts w:ascii="Times New Roman" w:hAnsi="Times New Roman" w:eastAsia="Times New Roman" w:cs="Times New Roman"/>
          <w:bCs/>
          <w:lang w:eastAsia="ru-RU"/>
        </w:rPr>
        <w:t xml:space="preserve"> проект, </w:t>
      </w:r>
      <w:r>
        <w:rPr>
          <w:rFonts w:ascii="Times New Roman" w:hAnsi="Times New Roman" w:eastAsia="Times New Roman" w:cs="Times New Roman"/>
          <w:lang w:eastAsia="ru-RU"/>
        </w:rPr>
        <w:t>техническое задание, локальный сметный расчёт.</w:t>
      </w:r>
    </w:p>
    <w:p w14:paraId="2CCC58BF">
      <w:pPr>
        <w:spacing w:after="0" w:line="240" w:lineRule="auto"/>
        <w:ind w:firstLine="11"/>
        <w:jc w:val="center"/>
        <w:rPr>
          <w:rFonts w:ascii="Times New Roman" w:hAnsi="Times New Roman" w:eastAsia="Times New Roman" w:cs="Times New Roman"/>
          <w:lang w:eastAsia="ru-RU"/>
        </w:rPr>
      </w:pPr>
    </w:p>
    <w:p w14:paraId="51E169EF">
      <w:pPr>
        <w:spacing w:after="0" w:line="240" w:lineRule="auto"/>
        <w:ind w:firstLine="11"/>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5. Описание и характер работ.</w:t>
      </w:r>
    </w:p>
    <w:p w14:paraId="3E20E0CA">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5.1</w:t>
      </w:r>
      <w:r>
        <w:rPr>
          <w:rFonts w:ascii="Times New Roman" w:hAnsi="Times New Roman" w:eastAsia="Times New Roman" w:cs="Times New Roman"/>
          <w:lang w:eastAsia="ru-RU"/>
        </w:rPr>
        <w:t xml:space="preserve"> Модернизация информационной инфраструктуры Заказчика – фрагмент локальной вычислительной сети (СКС в корпусах: </w:t>
      </w:r>
      <w:r>
        <w:rPr>
          <w:rFonts w:ascii="Times New Roman" w:hAnsi="Times New Roman" w:eastAsia="Times New Roman" w:cs="Times New Roman"/>
          <w:color w:val="1A1A1A"/>
          <w:shd w:val="clear" w:color="auto" w:fill="FFFFFF"/>
          <w:lang w:eastAsia="ru-RU"/>
        </w:rPr>
        <w:t>1, 2, 3, 4, 5, 6, 7, 8, 9, 10 и 14</w:t>
      </w:r>
      <w:r>
        <w:rPr>
          <w:rFonts w:ascii="Times New Roman" w:hAnsi="Times New Roman" w:eastAsia="Times New Roman" w:cs="Times New Roman"/>
          <w:lang w:eastAsia="ru-RU"/>
        </w:rPr>
        <w:t>), предполагающая работы согласно проектной документации, в следующих помещениях:</w:t>
      </w:r>
    </w:p>
    <w:p w14:paraId="1BC603C0">
      <w:pPr>
        <w:spacing w:after="0" w:line="240" w:lineRule="auto"/>
        <w:ind w:firstLine="11"/>
        <w:jc w:val="both"/>
        <w:rPr>
          <w:rFonts w:ascii="Times New Roman" w:hAnsi="Times New Roman" w:eastAsia="Times New Roman" w:cs="Times New Roman"/>
          <w:lang w:eastAsia="ru-RU"/>
        </w:rPr>
      </w:pPr>
    </w:p>
    <w:p w14:paraId="224371C3">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1</w:t>
      </w:r>
    </w:p>
    <w:p w14:paraId="26F70753">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 xml:space="preserve">Шкаф </w:t>
      </w:r>
      <w:r>
        <w:rPr>
          <w:rFonts w:ascii="Times New Roman" w:hAnsi="Times New Roman" w:eastAsia="Times New Roman"/>
          <w:b/>
          <w:lang w:val="en-US" w:eastAsia="ru-RU"/>
        </w:rPr>
        <w:t>M</w:t>
      </w:r>
      <w:r>
        <w:rPr>
          <w:rFonts w:ascii="Times New Roman" w:hAnsi="Times New Roman" w:eastAsia="Times New Roman"/>
          <w:b/>
          <w:lang w:eastAsia="ru-RU"/>
        </w:rPr>
        <w:t>С1.1 (пом. 1-110)</w:t>
      </w:r>
    </w:p>
    <w:p w14:paraId="55B6B6F6">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 и батарейного модуля:</w:t>
      </w:r>
    </w:p>
    <w:p w14:paraId="42DD9948">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3000 ВА – 1шт.;</w:t>
      </w:r>
    </w:p>
    <w:p w14:paraId="0D7EF732">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3000 ВА – 1шт.</w:t>
      </w:r>
    </w:p>
    <w:p w14:paraId="57B3F004">
      <w:pPr>
        <w:spacing w:after="0" w:line="240" w:lineRule="auto"/>
        <w:ind w:left="109" w:right="71"/>
        <w:contextualSpacing/>
        <w:rPr>
          <w:rFonts w:ascii="Times New Roman" w:hAnsi="Times New Roman" w:eastAsia="Times New Roman"/>
          <w:b/>
          <w:lang w:eastAsia="ru-RU"/>
        </w:rPr>
      </w:pPr>
    </w:p>
    <w:p w14:paraId="21F1504A">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НС1.2 (пом. 1-220а)</w:t>
      </w:r>
    </w:p>
    <w:p w14:paraId="7B01248F">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помещении 1-114.2 (3 рабочих места (РМ)) и 1-101.11 (2 РМ).</w:t>
      </w:r>
    </w:p>
    <w:p w14:paraId="4C96C45F">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 и батарейного модуля:</w:t>
      </w:r>
    </w:p>
    <w:p w14:paraId="1340817F">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3000 ВА – 1шт.;</w:t>
      </w:r>
    </w:p>
    <w:p w14:paraId="4B6A83D8">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3000 ВА – 1шт.</w:t>
      </w:r>
    </w:p>
    <w:p w14:paraId="30083D8F">
      <w:pPr>
        <w:spacing w:after="0" w:line="240" w:lineRule="auto"/>
        <w:ind w:left="109" w:right="71"/>
        <w:contextualSpacing/>
        <w:rPr>
          <w:rFonts w:ascii="Times New Roman" w:hAnsi="Times New Roman" w:eastAsia="Times New Roman"/>
          <w:b/>
          <w:lang w:eastAsia="ru-RU"/>
        </w:rPr>
      </w:pPr>
    </w:p>
    <w:p w14:paraId="67CDB2EF">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НС1.4 (пом. 1-204)</w:t>
      </w:r>
    </w:p>
    <w:p w14:paraId="1B373F07">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1-204, взамен существующего телекоммуникационного шкафа установить новый телекоммуникационный шкаф НС1.4 42U 600х800 мм. От шкафа НС1.4 (пом. 1-204)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НС1.4 (пом. 1-204) проложить оптический кабель OS2 емкостью 24 волокна до шкафа МС4.2 (пом. 4-108.5). В шкафах НС1.4 (пом. 1-204) и МС4.2 (пом. 4-108.5) проложенные кабели разварить в оптических панелях. Из существующего шкафа (пом. 1-204) перенести все медные подключения в новый шкаф НС1.4. Подвод кабелей к шкафу НС1.4 выполнить в кабель канале 100х60 мм. Подключить рабочие места в помещении 1-310 (1 РМ). Для шкафа НС1.4 (пом. 1-204) выполнить организацию электропитания. В шкаф предусмотреть 10%-й запас патч-кордов RJ-45, UTP cat.5e, разных цветов.</w:t>
      </w:r>
    </w:p>
    <w:p w14:paraId="137AD57F">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коммутаторов, ИБП и батарейного модуля:</w:t>
      </w:r>
    </w:p>
    <w:p w14:paraId="522745EF">
      <w:pPr>
        <w:spacing w:before="120" w:after="0" w:line="240" w:lineRule="auto"/>
        <w:ind w:left="109" w:right="71" w:firstLine="11"/>
        <w:contextualSpacing/>
        <w:jc w:val="both"/>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MES2448P – 1</w:t>
      </w:r>
      <w:r>
        <w:rPr>
          <w:rFonts w:ascii="Times New Roman" w:hAnsi="Times New Roman" w:eastAsia="Times New Roman" w:cs="Times New Roman"/>
          <w:lang w:eastAsia="ru-RU"/>
        </w:rPr>
        <w:t>шт</w:t>
      </w:r>
      <w:r>
        <w:rPr>
          <w:rFonts w:ascii="Times New Roman" w:hAnsi="Times New Roman" w:eastAsia="Times New Roman" w:cs="Times New Roman"/>
          <w:lang w:val="en-US" w:eastAsia="ru-RU"/>
        </w:rPr>
        <w:t>. ;</w:t>
      </w:r>
    </w:p>
    <w:p w14:paraId="34587DC4">
      <w:pPr>
        <w:spacing w:before="120" w:after="0" w:line="240" w:lineRule="auto"/>
        <w:ind w:left="109" w:right="71" w:firstLine="11"/>
        <w:contextualSpacing/>
        <w:jc w:val="both"/>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MES2448B – 1</w:t>
      </w:r>
      <w:r>
        <w:rPr>
          <w:rFonts w:ascii="Times New Roman" w:hAnsi="Times New Roman" w:eastAsia="Times New Roman" w:cs="Times New Roman"/>
          <w:lang w:eastAsia="ru-RU"/>
        </w:rPr>
        <w:t>шт</w:t>
      </w:r>
      <w:r>
        <w:rPr>
          <w:rFonts w:ascii="Times New Roman" w:hAnsi="Times New Roman" w:eastAsia="Times New Roman" w:cs="Times New Roman"/>
          <w:lang w:val="en-US" w:eastAsia="ru-RU"/>
        </w:rPr>
        <w:t>.;</w:t>
      </w:r>
    </w:p>
    <w:p w14:paraId="2A33E572">
      <w:pPr>
        <w:spacing w:before="120" w:after="0" w:line="240" w:lineRule="auto"/>
        <w:ind w:left="109" w:right="71" w:firstLine="11"/>
        <w:contextualSpacing/>
        <w:jc w:val="both"/>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MES2424 – 1</w:t>
      </w:r>
      <w:r>
        <w:rPr>
          <w:rFonts w:ascii="Times New Roman" w:hAnsi="Times New Roman" w:eastAsia="Times New Roman" w:cs="Times New Roman"/>
          <w:lang w:eastAsia="ru-RU"/>
        </w:rPr>
        <w:t>шт</w:t>
      </w:r>
      <w:r>
        <w:rPr>
          <w:rFonts w:ascii="Times New Roman" w:hAnsi="Times New Roman" w:eastAsia="Times New Roman" w:cs="Times New Roman"/>
          <w:lang w:val="en-US" w:eastAsia="ru-RU"/>
        </w:rPr>
        <w:t>.;</w:t>
      </w:r>
    </w:p>
    <w:p w14:paraId="7FB2B412">
      <w:pPr>
        <w:spacing w:after="0" w:line="240" w:lineRule="auto"/>
        <w:ind w:left="109" w:right="7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5C436777">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1500 ВА – 1шт.</w:t>
      </w:r>
    </w:p>
    <w:p w14:paraId="01C3586B">
      <w:pPr>
        <w:spacing w:after="0" w:line="240" w:lineRule="auto"/>
        <w:ind w:left="109" w:right="71"/>
        <w:contextualSpacing/>
        <w:rPr>
          <w:rFonts w:ascii="Times New Roman" w:hAnsi="Times New Roman" w:eastAsia="Times New Roman"/>
          <w:b/>
          <w:lang w:eastAsia="ru-RU"/>
        </w:rPr>
      </w:pPr>
    </w:p>
    <w:p w14:paraId="50BA58DE">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НС1.5 (пом. 1-411а)</w:t>
      </w:r>
    </w:p>
    <w:p w14:paraId="75A5814B">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помещениях 1-317 (1 РМ), 1-329 (1 РМ), 1-330 (1 РМ), 1-402 (4 РМ), 1-410 (1 РМ), 1-411 (2 РМ), 1-411а (2 РМ), 1-412 (1 РМ), 1-416.1 (3 РМ), 1-429 (2 РМ), 1-430 (3 РМ), 1-523 (1 РМ), 1-525 (1 РМ), 1-527 (1 РМ), 1-530 (1 РМ), 1-607 (1 РМ), 1-611 (1 РМ) и 1-613 (1 РМ).</w:t>
      </w:r>
    </w:p>
    <w:p w14:paraId="3F2DD356">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Для шкафа НС1.5 (пом. 1-411а) выполнить организацию электропитания. В шкаф предусмотреть 10%-й запас патч-кордов RJ-45, UTP cat.5e, разных цветов.</w:t>
      </w:r>
    </w:p>
    <w:p w14:paraId="7D140C1B">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0CE4A143">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5DDE9526">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2</w:t>
      </w:r>
    </w:p>
    <w:p w14:paraId="7C214F8F">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НС2.1 (пом. 36)</w:t>
      </w:r>
    </w:p>
    <w:p w14:paraId="4DB8636B">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подвальном помещении №2-3-4, в помещениях 2-110 (2 РМ), 2-124.1 (2 РМ), 2-124.2 (1 РМ). Для шкафа НС2.1 (пом. 36) выполнить организацию электропитания. В шкаф предусмотреть 10%-й запас патч-кордов RJ-45, UTP cat.5e, разных цветов.</w:t>
      </w:r>
    </w:p>
    <w:p w14:paraId="2A19159F">
      <w:pPr>
        <w:spacing w:after="0" w:line="240" w:lineRule="auto"/>
        <w:ind w:left="109" w:right="7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606DF300">
      <w:pPr>
        <w:spacing w:after="0" w:line="240" w:lineRule="auto"/>
        <w:ind w:left="109" w:right="71"/>
        <w:contextualSpacing/>
        <w:jc w:val="both"/>
        <w:rPr>
          <w:rFonts w:ascii="Times New Roman" w:hAnsi="Times New Roman" w:eastAsia="Times New Roman"/>
          <w:b/>
          <w:lang w:eastAsia="ru-RU"/>
        </w:rPr>
      </w:pPr>
      <w:r>
        <w:rPr>
          <w:rFonts w:ascii="Times New Roman" w:hAnsi="Times New Roman" w:eastAsia="Times New Roman" w:cs="Times New Roman"/>
          <w:lang w:eastAsia="ru-RU"/>
        </w:rPr>
        <w:t>- ИБП 1500 ВА – 1шт.</w:t>
      </w:r>
    </w:p>
    <w:p w14:paraId="494DAE49">
      <w:pPr>
        <w:spacing w:after="0" w:line="240" w:lineRule="auto"/>
        <w:ind w:left="109" w:right="71"/>
        <w:contextualSpacing/>
        <w:rPr>
          <w:rFonts w:ascii="Times New Roman" w:hAnsi="Times New Roman" w:eastAsia="Times New Roman"/>
          <w:b/>
          <w:lang w:eastAsia="ru-RU"/>
        </w:rPr>
      </w:pPr>
    </w:p>
    <w:p w14:paraId="0606A4C9">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НС2.2 (пом. 2-303)</w:t>
      </w:r>
    </w:p>
    <w:p w14:paraId="386AB612">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2-303, взамен существующего телекоммуникационного шкафа установить новый телекоммуникационном шкаф НС2.2 36U 600х800 мм. Из существующего шкафа (пом. 2-303) перенести все медные подключения в новый шкаф НС2.2. Подвод кабелей к шкафу НС2.2 выполнить в кабель канале 100х60 мм. Подключить рабочие места в помещениях 2-209 (1 РМ), 2-209.5 (1 РМ), 2-213 (1 РМ) и 2-224 (3 РМ), 2-306 (1 РМ), 2-308 (1 РМ), 2-310 (1 РМ) и 2-409 (1 РМ). Для шкафа НС2.2 (пом. 2-303) выполнить организацию электропитания. В шкаф предусмотреть 10%-й запас патч-кордов RJ-45, UTP cat.5e, разных цветов.</w:t>
      </w:r>
    </w:p>
    <w:p w14:paraId="1ECA13A3">
      <w:pPr>
        <w:spacing w:after="0" w:line="240" w:lineRule="auto"/>
        <w:ind w:left="109" w:right="7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 и батарейного модуля:</w:t>
      </w:r>
    </w:p>
    <w:p w14:paraId="6C9597B6">
      <w:pPr>
        <w:spacing w:after="0" w:line="240" w:lineRule="auto"/>
        <w:ind w:left="109" w:right="7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42F63BAF">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1500 ВА – 1шт.</w:t>
      </w:r>
    </w:p>
    <w:p w14:paraId="074B68CC">
      <w:pPr>
        <w:spacing w:after="0" w:line="240" w:lineRule="auto"/>
        <w:ind w:left="109" w:right="71"/>
        <w:contextualSpacing/>
        <w:rPr>
          <w:rFonts w:ascii="Times New Roman" w:hAnsi="Times New Roman" w:eastAsia="Times New Roman"/>
          <w:b/>
          <w:lang w:eastAsia="ru-RU"/>
        </w:rPr>
      </w:pPr>
    </w:p>
    <w:p w14:paraId="0B475A60">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НС2.3 (пом. 3-323)</w:t>
      </w:r>
    </w:p>
    <w:p w14:paraId="6B7DE663">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помещении 2-316в (1 РМ).</w:t>
      </w:r>
    </w:p>
    <w:p w14:paraId="7B92FD78">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4DC5145C">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 ИБП 1500 ВА – 1шт.</w:t>
      </w:r>
    </w:p>
    <w:p w14:paraId="41BF6682">
      <w:pPr>
        <w:spacing w:after="0" w:line="240" w:lineRule="auto"/>
        <w:ind w:left="109" w:right="71"/>
        <w:contextualSpacing/>
        <w:rPr>
          <w:rFonts w:ascii="Times New Roman" w:hAnsi="Times New Roman" w:eastAsia="Times New Roman"/>
          <w:b/>
          <w:lang w:eastAsia="ru-RU"/>
        </w:rPr>
      </w:pPr>
    </w:p>
    <w:p w14:paraId="7A7880B7">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3</w:t>
      </w:r>
    </w:p>
    <w:p w14:paraId="25142E16">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НС3.2 (пом. 3-234)</w:t>
      </w:r>
    </w:p>
    <w:p w14:paraId="3B1E7AF3">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помещениях 3-200а (2 РМ), 3-200б (1 РМ), 3-203 (1 РМ), 3-308а (1 РМ), 3-308в (2 РМ), 3-308г (4 РМ), 3-309 (1 РМ), 3-309б (2 РМ) и 3-311 (1 РМ).</w:t>
      </w:r>
    </w:p>
    <w:p w14:paraId="6219E911">
      <w:pPr>
        <w:spacing w:after="0" w:line="240" w:lineRule="auto"/>
        <w:ind w:left="109" w:right="7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3391757D">
      <w:pPr>
        <w:spacing w:after="0" w:line="240" w:lineRule="auto"/>
        <w:ind w:left="109" w:right="71"/>
        <w:contextualSpacing/>
        <w:jc w:val="both"/>
        <w:rPr>
          <w:rFonts w:ascii="Times New Roman" w:hAnsi="Times New Roman" w:eastAsia="Times New Roman"/>
          <w:b/>
          <w:lang w:eastAsia="ru-RU"/>
        </w:rPr>
      </w:pPr>
      <w:r>
        <w:rPr>
          <w:rFonts w:ascii="Times New Roman" w:hAnsi="Times New Roman" w:eastAsia="Times New Roman" w:cs="Times New Roman"/>
          <w:lang w:eastAsia="ru-RU"/>
        </w:rPr>
        <w:t>- ИБП 3000 ВА – 1шт.</w:t>
      </w:r>
    </w:p>
    <w:p w14:paraId="7BCD7CDF">
      <w:pPr>
        <w:spacing w:after="0" w:line="240" w:lineRule="auto"/>
        <w:ind w:left="109" w:right="71"/>
        <w:contextualSpacing/>
        <w:jc w:val="center"/>
        <w:rPr>
          <w:rFonts w:ascii="Times New Roman" w:hAnsi="Times New Roman" w:eastAsia="Times New Roman"/>
          <w:b/>
          <w:u w:val="single"/>
          <w:lang w:eastAsia="ru-RU"/>
        </w:rPr>
      </w:pPr>
    </w:p>
    <w:p w14:paraId="1955C68F">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4</w:t>
      </w:r>
    </w:p>
    <w:p w14:paraId="079B7C74">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 xml:space="preserve">Шкаф </w:t>
      </w:r>
      <w:r>
        <w:rPr>
          <w:rFonts w:ascii="Times New Roman" w:hAnsi="Times New Roman" w:eastAsia="Times New Roman"/>
          <w:b/>
          <w:lang w:val="en-US" w:eastAsia="ru-RU"/>
        </w:rPr>
        <w:t>M</w:t>
      </w:r>
      <w:r>
        <w:rPr>
          <w:rFonts w:ascii="Times New Roman" w:hAnsi="Times New Roman" w:eastAsia="Times New Roman"/>
          <w:b/>
          <w:lang w:eastAsia="ru-RU"/>
        </w:rPr>
        <w:t>С4.2 (пом. 4-108.5)</w:t>
      </w:r>
    </w:p>
    <w:p w14:paraId="4B0431A2">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коммутаторов, ИБП и батарейного модуля:</w:t>
      </w:r>
    </w:p>
    <w:p w14:paraId="79B58330">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596CA852">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B</w:t>
      </w:r>
      <w:r>
        <w:rPr>
          <w:rFonts w:ascii="Times New Roman" w:hAnsi="Times New Roman" w:eastAsia="Times New Roman" w:cs="Times New Roman"/>
          <w:lang w:eastAsia="ru-RU"/>
        </w:rPr>
        <w:t xml:space="preserve"> – 4шт.;</w:t>
      </w:r>
    </w:p>
    <w:p w14:paraId="021B4EC4">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3000 ВА – 1шт.;</w:t>
      </w:r>
    </w:p>
    <w:p w14:paraId="043154AF">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3000 ВА – 1шт.</w:t>
      </w:r>
    </w:p>
    <w:p w14:paraId="16143089">
      <w:pPr>
        <w:spacing w:after="0" w:line="240" w:lineRule="auto"/>
        <w:ind w:left="109" w:right="71"/>
        <w:contextualSpacing/>
        <w:rPr>
          <w:rFonts w:ascii="Times New Roman" w:hAnsi="Times New Roman" w:eastAsia="Times New Roman"/>
          <w:b/>
          <w:lang w:eastAsia="ru-RU"/>
        </w:rPr>
      </w:pPr>
    </w:p>
    <w:p w14:paraId="6F0C81BB">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 xml:space="preserve">Шкаф </w:t>
      </w:r>
      <w:r>
        <w:rPr>
          <w:rFonts w:ascii="Times New Roman" w:hAnsi="Times New Roman" w:eastAsia="Times New Roman"/>
          <w:b/>
          <w:lang w:val="en-US" w:eastAsia="ru-RU"/>
        </w:rPr>
        <w:t>M</w:t>
      </w:r>
      <w:r>
        <w:rPr>
          <w:rFonts w:ascii="Times New Roman" w:hAnsi="Times New Roman" w:eastAsia="Times New Roman"/>
          <w:b/>
          <w:lang w:eastAsia="ru-RU"/>
        </w:rPr>
        <w:t>С4.3 (пом. 4-108.5)</w:t>
      </w:r>
    </w:p>
    <w:p w14:paraId="0AE7FC71">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34CE0D9B">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6F05E710">
      <w:pPr>
        <w:spacing w:after="0" w:line="240" w:lineRule="auto"/>
        <w:ind w:left="109" w:right="71"/>
        <w:contextualSpacing/>
        <w:rPr>
          <w:rFonts w:ascii="Times New Roman" w:hAnsi="Times New Roman" w:eastAsia="Times New Roman"/>
          <w:b/>
          <w:lang w:eastAsia="ru-RU"/>
        </w:rPr>
      </w:pPr>
    </w:p>
    <w:p w14:paraId="4F54352B">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НС4.6 (пом. 4-309)</w:t>
      </w:r>
    </w:p>
    <w:p w14:paraId="2343CE07">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4-309, взамен существующего телекоммуникационного шкафа установить новый телекоммуникационном шкаф НС4.6. 42U 600х800 мм. От шкафа НС4.6 (пом. 4-309)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НС4.6 (пом. 4-309) проложить оптический кабель OS2 емкостью 24 волокна до шкафа МС4.2 (пом. 4-108.5). В шкафах НС4.6 (пом. 4-309) и МС4.2 (пом. 4-108.5) проложенные кабели разварить в оптических панелях. Из существующего шкафа (пом. 4-309) перенести все медные подключения в новый шкаф НС4.6. Подключить рабочие места в помещениях 4-200 (1 РМ), 4-200.1 (1 РМ), 4-201 (1 РМ) и 4-415 (1 РМ). Подвод кабелей к шкафу НС4.6 выполнить в кабель канале 100х60 мм. Для шкафа НС4.6 (пом. 4-309) выполнить организацию электропитания. В шкаф предусмотреть 10%-й запас патч-кордов RJ-45, UTP cat.5e, разных цветов.</w:t>
      </w:r>
    </w:p>
    <w:p w14:paraId="6AF22C46">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коммутаторов, ИБП:</w:t>
      </w:r>
    </w:p>
    <w:p w14:paraId="39C48DDD">
      <w:pPr>
        <w:spacing w:before="120" w:after="0" w:line="240" w:lineRule="auto"/>
        <w:ind w:left="109" w:right="71" w:firstLine="11"/>
        <w:contextualSpacing/>
        <w:jc w:val="both"/>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MES2448P – 1</w:t>
      </w:r>
      <w:r>
        <w:rPr>
          <w:rFonts w:ascii="Times New Roman" w:hAnsi="Times New Roman" w:eastAsia="Times New Roman" w:cs="Times New Roman"/>
          <w:lang w:eastAsia="ru-RU"/>
        </w:rPr>
        <w:t>шт</w:t>
      </w:r>
      <w:r>
        <w:rPr>
          <w:rFonts w:ascii="Times New Roman" w:hAnsi="Times New Roman" w:eastAsia="Times New Roman" w:cs="Times New Roman"/>
          <w:lang w:val="en-US" w:eastAsia="ru-RU"/>
        </w:rPr>
        <w:t>.;</w:t>
      </w:r>
    </w:p>
    <w:p w14:paraId="59134F60">
      <w:pPr>
        <w:spacing w:before="120" w:after="0" w:line="240" w:lineRule="auto"/>
        <w:ind w:left="109" w:right="71" w:firstLine="11"/>
        <w:contextualSpacing/>
        <w:jc w:val="both"/>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MES2448B – 2</w:t>
      </w:r>
      <w:r>
        <w:rPr>
          <w:rFonts w:ascii="Times New Roman" w:hAnsi="Times New Roman" w:eastAsia="Times New Roman" w:cs="Times New Roman"/>
          <w:lang w:eastAsia="ru-RU"/>
        </w:rPr>
        <w:t>шт</w:t>
      </w:r>
      <w:r>
        <w:rPr>
          <w:rFonts w:ascii="Times New Roman" w:hAnsi="Times New Roman" w:eastAsia="Times New Roman" w:cs="Times New Roman"/>
          <w:lang w:val="en-US" w:eastAsia="ru-RU"/>
        </w:rPr>
        <w:t>.;</w:t>
      </w:r>
    </w:p>
    <w:p w14:paraId="4D525C05">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val="en-US" w:eastAsia="ru-RU"/>
        </w:rPr>
        <w:t>- MES2424 – 1</w:t>
      </w:r>
      <w:r>
        <w:rPr>
          <w:rFonts w:ascii="Times New Roman" w:hAnsi="Times New Roman" w:eastAsia="Times New Roman" w:cs="Times New Roman"/>
          <w:lang w:eastAsia="ru-RU"/>
        </w:rPr>
        <w:t>шт</w:t>
      </w:r>
      <w:r>
        <w:rPr>
          <w:rFonts w:ascii="Times New Roman" w:hAnsi="Times New Roman" w:eastAsia="Times New Roman" w:cs="Times New Roman"/>
          <w:lang w:val="en-US" w:eastAsia="ru-RU"/>
        </w:rPr>
        <w:t xml:space="preserve">. </w:t>
      </w:r>
      <w:r>
        <w:rPr>
          <w:rFonts w:ascii="Times New Roman" w:hAnsi="Times New Roman" w:eastAsia="Times New Roman" w:cs="Times New Roman"/>
          <w:lang w:eastAsia="ru-RU"/>
        </w:rPr>
        <w:t>(предоставляется Заказчиком);</w:t>
      </w:r>
    </w:p>
    <w:p w14:paraId="1CDF3A92">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 ИБП 1500 ВА – 1шт.</w:t>
      </w:r>
    </w:p>
    <w:p w14:paraId="78659426">
      <w:pPr>
        <w:spacing w:after="0" w:line="240" w:lineRule="auto"/>
        <w:ind w:left="109" w:right="71"/>
        <w:contextualSpacing/>
        <w:rPr>
          <w:rFonts w:ascii="Times New Roman" w:hAnsi="Times New Roman" w:eastAsia="Times New Roman"/>
          <w:b/>
          <w:lang w:eastAsia="ru-RU"/>
        </w:rPr>
      </w:pPr>
    </w:p>
    <w:p w14:paraId="491A036F">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5</w:t>
      </w:r>
    </w:p>
    <w:p w14:paraId="1EA6F210">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НС5.1 (пом. 5-407)</w:t>
      </w:r>
    </w:p>
    <w:p w14:paraId="383C4E00">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помещениях 5-205 (1 РМ), 5-305 (2 РМ), 5-405 (1 РМ), 5-501 (1 РМ), 5-502 (1 РМ), 5-505 (1 РМ), 5-508 (1 РМ) и 5-510 (1 РМ).</w:t>
      </w:r>
    </w:p>
    <w:p w14:paraId="04B66DB6">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6C060EC2">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2326A4EF">
      <w:pPr>
        <w:spacing w:after="0" w:line="240" w:lineRule="auto"/>
        <w:ind w:left="109" w:right="71"/>
        <w:contextualSpacing/>
        <w:rPr>
          <w:rFonts w:ascii="Times New Roman" w:hAnsi="Times New Roman" w:eastAsia="Times New Roman"/>
          <w:b/>
          <w:lang w:eastAsia="ru-RU"/>
        </w:rPr>
      </w:pPr>
    </w:p>
    <w:p w14:paraId="4C141E0C">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6</w:t>
      </w:r>
    </w:p>
    <w:p w14:paraId="3777DD18">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НС6.1 (пом. 6-208)</w:t>
      </w:r>
    </w:p>
    <w:p w14:paraId="119E078C">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помещениях 6-103 (6 РМ), 6-110 (11 РМ), 6-108а (1 РМ), 6-204 (1 РМ). 6-208 (2 РМ), 6-301 (2 РМ), 6-303 (1 РМ), 6-306 (2 РМ), 6-307 (1 РМ), 6-308 (2 РМ), 6-311 (4 РМ) и 6-401 (1 РМ). Для шкафа НС6.1 (пом. 6-208) выполнить организацию электропитания. В шкаф предусмотреть 10%-й запас патч-кордов RJ-45, UTP cat.5e, разных цветов.</w:t>
      </w:r>
    </w:p>
    <w:p w14:paraId="5D9BEF5B">
      <w:pPr>
        <w:spacing w:after="0" w:line="240" w:lineRule="auto"/>
        <w:ind w:left="109" w:right="7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27728F78">
      <w:pPr>
        <w:spacing w:after="0" w:line="240" w:lineRule="auto"/>
        <w:ind w:left="109" w:right="71"/>
        <w:contextualSpacing/>
        <w:jc w:val="both"/>
        <w:rPr>
          <w:rFonts w:ascii="Times New Roman" w:hAnsi="Times New Roman" w:eastAsia="Times New Roman"/>
          <w:b/>
          <w:lang w:eastAsia="ru-RU"/>
        </w:rPr>
      </w:pPr>
      <w:r>
        <w:rPr>
          <w:rFonts w:ascii="Times New Roman" w:hAnsi="Times New Roman" w:eastAsia="Times New Roman" w:cs="Times New Roman"/>
          <w:lang w:eastAsia="ru-RU"/>
        </w:rPr>
        <w:t>- ИБП 1500 ВА – 1шт.</w:t>
      </w:r>
    </w:p>
    <w:p w14:paraId="6CFFB088">
      <w:pPr>
        <w:spacing w:after="0" w:line="240" w:lineRule="auto"/>
        <w:ind w:left="109" w:right="71"/>
        <w:contextualSpacing/>
        <w:rPr>
          <w:rFonts w:ascii="Times New Roman" w:hAnsi="Times New Roman" w:eastAsia="Times New Roman"/>
          <w:b/>
          <w:lang w:eastAsia="ru-RU"/>
        </w:rPr>
      </w:pPr>
    </w:p>
    <w:p w14:paraId="010983AF">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НС6.2 (пом. 6б-204)</w:t>
      </w:r>
    </w:p>
    <w:p w14:paraId="3E4F4D76">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Для шкафа НС6.2 (пом. 6б-204) выполнить организацию электропитания. В шкаф предусмотреть 10%-й запас патч-кордов RJ-45, UTP cat.5e, разных цветов.</w:t>
      </w:r>
    </w:p>
    <w:p w14:paraId="33D9BA3F">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2E949FB4">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 ИБП 1500 ВА – 1шт.</w:t>
      </w:r>
    </w:p>
    <w:p w14:paraId="4632C324">
      <w:pPr>
        <w:spacing w:after="0" w:line="240" w:lineRule="auto"/>
        <w:ind w:left="109" w:right="71"/>
        <w:contextualSpacing/>
        <w:rPr>
          <w:rFonts w:ascii="Times New Roman" w:hAnsi="Times New Roman" w:eastAsia="Times New Roman"/>
          <w:b/>
          <w:lang w:eastAsia="ru-RU"/>
        </w:rPr>
      </w:pPr>
    </w:p>
    <w:p w14:paraId="3FA37DE6">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7</w:t>
      </w:r>
    </w:p>
    <w:p w14:paraId="6937C6C5">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НС7.1 (пом. 7-115)</w:t>
      </w:r>
    </w:p>
    <w:p w14:paraId="7B74D262">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lang w:eastAsia="ru-RU"/>
        </w:rPr>
        <w:t>Подключить рабочие места в помещениях 7-104 (1 РМ), 7-105 (1 РМ), 7-116 (2 РМ), 7-119 (1 РМ).</w:t>
      </w:r>
    </w:p>
    <w:p w14:paraId="3EBBD17A">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 и батарейного модуля:</w:t>
      </w:r>
    </w:p>
    <w:p w14:paraId="68E0B1CA">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405ACFAE">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1500 ВА – 1шт.</w:t>
      </w:r>
    </w:p>
    <w:p w14:paraId="45A78F6F">
      <w:pPr>
        <w:spacing w:after="0" w:line="240" w:lineRule="auto"/>
        <w:ind w:left="109" w:right="71"/>
        <w:contextualSpacing/>
        <w:rPr>
          <w:rFonts w:ascii="Times New Roman" w:hAnsi="Times New Roman" w:eastAsia="Times New Roman"/>
          <w:b/>
          <w:lang w:eastAsia="ru-RU"/>
        </w:rPr>
      </w:pPr>
    </w:p>
    <w:p w14:paraId="319F2068">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НС7.2 (пом. 7-127.1)</w:t>
      </w:r>
    </w:p>
    <w:p w14:paraId="4342523F">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lang w:eastAsia="ru-RU"/>
        </w:rPr>
        <w:t>Подключить рабочие места в помещениях 7-121 (2 РМ), 7-123 (1 РМ), 7-128 (1 РМ), 7-127.2 (1 РМ), 7-127.3 (1 РМ), 7-127.4 (1 РМ), 7-127.7 (2 РМ), 7-127.7а (2 РМ), 7-127.7б (1 РМ), 7-127.10 (3 РМ), 7-127.13 (1 РМ).</w:t>
      </w:r>
    </w:p>
    <w:p w14:paraId="6416B95E">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0332E820">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37BB1C0F">
      <w:pPr>
        <w:spacing w:after="0" w:line="240" w:lineRule="auto"/>
        <w:ind w:left="109" w:right="71"/>
        <w:contextualSpacing/>
        <w:rPr>
          <w:rFonts w:ascii="Times New Roman" w:hAnsi="Times New Roman" w:eastAsia="Times New Roman"/>
          <w:b/>
          <w:lang w:eastAsia="ru-RU"/>
        </w:rPr>
      </w:pPr>
    </w:p>
    <w:p w14:paraId="52ADF7E7">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НС7.4 (пом. 7-338)</w:t>
      </w:r>
    </w:p>
    <w:p w14:paraId="0A02619C">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7-338, взамен существующего телекоммуникационного шкафа установить новый телекоммуникационном шкаф НС7.4. 42U 600х800 мм. От шкафа НС7.4 (пом. 7-338)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НС7.4 (пом. 7-338) проложить оптический кабель OS2 емкостью 24 волокна до шкафа МС4.2 (пом. 4-108.5). В шкафах НС7.4 (пом. 7-338) и МС4.2 (пом. 4-108.5) проложенные кабели разварить в оптических панелях. Из существующего шкафа (пом. 7-338) перенести все медные подключения в новый шкаф НС7.4. Подключить рабочие места в помещениях 7-330.1 (2 РМ), 7-330.2 (5 РМ), 7-332 (1 РМ), 7-334 (1 РМ), 7-336 (1 РМ), 7-338 (1 РМ), 7-340 (1 РМ) и 7-440 (3 РМ). Подвод кабелей к шкафу НС7.4 выполнить в скрытом коробе. Для шкафа НС7.4 (пом. 7-338) выполнить организацию электропитания.  шкаф предусмотреть 10%-й запас патч-кордов RJ-45, UTP cat.5e, разных цветов.</w:t>
      </w:r>
    </w:p>
    <w:p w14:paraId="720F6449">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Монтаж, подключение, пуско-наладка коммутаторов, ИБП и батарейного модуля: </w:t>
      </w:r>
    </w:p>
    <w:p w14:paraId="0C2BF0B9">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0390476F">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B</w:t>
      </w:r>
      <w:r>
        <w:rPr>
          <w:rFonts w:ascii="Times New Roman" w:hAnsi="Times New Roman" w:eastAsia="Times New Roman" w:cs="Times New Roman"/>
          <w:lang w:eastAsia="ru-RU"/>
        </w:rPr>
        <w:t xml:space="preserve"> – 2шт.;</w:t>
      </w:r>
    </w:p>
    <w:p w14:paraId="7C190D7C">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26044A5D">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1500 ВА – 1шт.</w:t>
      </w:r>
    </w:p>
    <w:p w14:paraId="3AC357D5">
      <w:pPr>
        <w:spacing w:after="0" w:line="240" w:lineRule="auto"/>
        <w:ind w:left="109" w:right="71"/>
        <w:contextualSpacing/>
        <w:rPr>
          <w:rFonts w:ascii="Times New Roman" w:hAnsi="Times New Roman" w:eastAsia="Times New Roman"/>
          <w:lang w:eastAsia="ru-RU"/>
        </w:rPr>
      </w:pPr>
    </w:p>
    <w:p w14:paraId="706651B0">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НС7.5 (пом. 7-313)</w:t>
      </w:r>
    </w:p>
    <w:p w14:paraId="1B866FAD">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помещении 7-413 (1 РМ).</w:t>
      </w:r>
    </w:p>
    <w:p w14:paraId="3B7E938F">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Для шкафа НС7.5 (пом. 7-313) выполнить организацию электропитания.</w:t>
      </w:r>
    </w:p>
    <w:p w14:paraId="52DB4B8C">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В шкаф предусмотреть 10%-й запас патч-кордов RJ-45, UTP cat.5e, разных цветов.</w:t>
      </w:r>
    </w:p>
    <w:p w14:paraId="273E8BCF">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Монтаж, подключение, пуско-наладка ИБП и батарейного модуля:</w:t>
      </w:r>
    </w:p>
    <w:p w14:paraId="08DFA2A4">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746E9495">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1500 ВА – 1шт.</w:t>
      </w:r>
    </w:p>
    <w:p w14:paraId="1FF22E79">
      <w:pPr>
        <w:spacing w:after="0" w:line="240" w:lineRule="auto"/>
        <w:ind w:left="109" w:right="71"/>
        <w:contextualSpacing/>
        <w:rPr>
          <w:rFonts w:ascii="Times New Roman" w:hAnsi="Times New Roman" w:eastAsia="Times New Roman"/>
          <w:b/>
          <w:lang w:eastAsia="ru-RU"/>
        </w:rPr>
      </w:pPr>
    </w:p>
    <w:p w14:paraId="08461D08">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НС7.6 (пом. 7-530)</w:t>
      </w:r>
    </w:p>
    <w:p w14:paraId="24D9C67E">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7-530, взамен существующего телекоммуникационного шкафа установить новый телекоммуникационном шкаф НС7.6. 42U 600х800 мм. От шкафа НС7.6 (пом. 7-530)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НС7.6 (пом. 7-530) проложить оптический кабель OS2 емкостью 24 волокна до шкафа МС4.2 (пом. 4-108.5). В шкафах НС7.6 (пом. 7-530) и МС4.2 (пом. 4-108.5) проложенные кабели разварить в оптических панелях. Из существующего шкафа (пом. 7-530) перенести все медные подключения в новый шкаф НС7.6.  подключить рабочие места в помещениях 7-511 (1 РМ), 7-514.2 (2 РМ), 7-523 (1 РМ) и 7-538 (20 РМ). Подвод кабелей к шкафу НС7.6 выполнить в кабель канале 100х60 мм. Для шкафа НС7.6 (пом. 7-530) выполнить организацию электропитания. В шкаф предусмотреть 10%-й запас патч-кордов RJ-45, UTP cat.5e, разных цветов.</w:t>
      </w:r>
    </w:p>
    <w:p w14:paraId="5C5A9ED9">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Монтаж, подключение, пуско-наладка коммутаторов, ИБП: </w:t>
      </w:r>
    </w:p>
    <w:p w14:paraId="150CB701">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2424</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3201500F">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B</w:t>
      </w:r>
      <w:r>
        <w:rPr>
          <w:rFonts w:ascii="Times New Roman" w:hAnsi="Times New Roman" w:eastAsia="Times New Roman" w:cs="Times New Roman"/>
          <w:lang w:eastAsia="ru-RU"/>
        </w:rPr>
        <w:t xml:space="preserve"> – 1шт.;</w:t>
      </w:r>
    </w:p>
    <w:p w14:paraId="63547269">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0057AFD3">
      <w:pPr>
        <w:spacing w:after="0" w:line="240" w:lineRule="auto"/>
        <w:ind w:left="109" w:right="71"/>
        <w:contextualSpacing/>
        <w:rPr>
          <w:rFonts w:ascii="Times New Roman" w:hAnsi="Times New Roman" w:eastAsia="Times New Roman"/>
          <w:b/>
          <w:lang w:eastAsia="ru-RU"/>
        </w:rPr>
      </w:pPr>
    </w:p>
    <w:p w14:paraId="5AD8FDD5">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НС7.7 (пом. 7-508)</w:t>
      </w:r>
    </w:p>
    <w:p w14:paraId="3A63B320">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7-508, взамен существующего телекоммуникационного шкафа установить новый телекоммуникационном шкаф НС7.7. 42U 600х800 мм. От шкафа НС7.7 (пом. 7-508)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НС7.7 (пом. 7-508) проложить оптический кабель OS2 емкостью 24 волокна до шкафа МС4.2 (пом. 4-108.5). В шкафах НС7.7 (пом. 7-508) и МС4.2 (пом. 4-108.5) проложенные кабели разварить в оптических панелях. Из существующего шкафа (пом. 7-508) перенести все медные подключения в новый шкаф НС7.7. Подключить рабочие места в помещениях 7-505 (1 РМ), 7-506 (1 РМ), 7-510 (1 РМ) и 7-512 (1 РМ). Подвод кабелей к шкафу НС7.7 выполнить в кабель канале 100х60 мм. Для шкафа НС7.7 (пом. 7-508) выполнить организацию электропитания. В шкаф предусмотреть 10%-й запас патч-кордов RJ-45, UTP cat.5e, разных цветов.</w:t>
      </w:r>
    </w:p>
    <w:p w14:paraId="48B96045">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Монтаж, подключение, пуско-наладка коммутаторов, ИБП: </w:t>
      </w:r>
    </w:p>
    <w:p w14:paraId="1FB6D479">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2424</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34730200">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B</w:t>
      </w:r>
      <w:r>
        <w:rPr>
          <w:rFonts w:ascii="Times New Roman" w:hAnsi="Times New Roman" w:eastAsia="Times New Roman" w:cs="Times New Roman"/>
          <w:lang w:eastAsia="ru-RU"/>
        </w:rPr>
        <w:t xml:space="preserve"> – 1шт.;</w:t>
      </w:r>
    </w:p>
    <w:p w14:paraId="4734910B">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 ИБП 1500 ВА – 1шт.</w:t>
      </w:r>
    </w:p>
    <w:p w14:paraId="345BF047">
      <w:pPr>
        <w:spacing w:after="0" w:line="240" w:lineRule="auto"/>
        <w:ind w:left="109" w:right="71"/>
        <w:contextualSpacing/>
        <w:rPr>
          <w:rFonts w:ascii="Times New Roman" w:hAnsi="Times New Roman" w:eastAsia="Times New Roman"/>
          <w:b/>
          <w:lang w:eastAsia="ru-RU"/>
        </w:rPr>
      </w:pPr>
    </w:p>
    <w:p w14:paraId="76965879">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НС7.8 (пом. 7-308)</w:t>
      </w:r>
    </w:p>
    <w:p w14:paraId="7B2B1BE4">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Для шкафа НС7.8 (пом. 7-308) выполнить организацию электропитания. В шкаф предусмотреть 10%-й запас патч-кордов RJ-45, UTP cat.5e, разных цветов.</w:t>
      </w:r>
    </w:p>
    <w:p w14:paraId="0BC7E03E">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295D6D69">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51A09CD0">
      <w:pPr>
        <w:spacing w:after="0" w:line="240" w:lineRule="auto"/>
        <w:ind w:left="109" w:right="71"/>
        <w:contextualSpacing/>
        <w:jc w:val="center"/>
        <w:rPr>
          <w:rFonts w:ascii="Times New Roman" w:hAnsi="Times New Roman" w:eastAsia="Times New Roman"/>
          <w:b/>
          <w:u w:val="single"/>
          <w:lang w:eastAsia="ru-RU"/>
        </w:rPr>
      </w:pPr>
    </w:p>
    <w:p w14:paraId="32F75BFB">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8</w:t>
      </w:r>
    </w:p>
    <w:p w14:paraId="6DD50359">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НС8.1 (пом. 8-109)</w:t>
      </w:r>
    </w:p>
    <w:p w14:paraId="4A468007">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8-109, взамен существующего телекоммуникационного шкафа установить новый телекоммуникационном шкаф НС8.1. 42U 600х800 мм. От шкафа НС8.1 (пом. 8-109)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НС8.1 (пом. 8-109) проложить оптический кабель OS2 емкостью 24 волокна до шкафа МС4.2 (пом. 4-108.5). В шкафах НС8.1 (пом. 8-109) и МС4.2 (пом. 4-108.5) проложенные кабели разварить в оптических панелях. Из существующего шкафа (пом. 8-109) перенести все медные подключения в новый шкаф НС8.1. Подключить рабочие места в помещениях 8-001 (3 РМ), 8-003 (3 РМ), 8-102 (1 РМ), 8-103 (1 РМ) и в регистратуре водолечебницы (1 РМ). Подвод кабелей к шкафу НС8.1 выполнить в кабель канале 100х60 мм. Для шкафа НС8.1 (пом. 8-109) выполнить организацию электропитания. В шкаф предусмотреть 10%-й запас патч-кордов RJ-45, UTP cat.5e, разных цветов.</w:t>
      </w:r>
    </w:p>
    <w:p w14:paraId="61C5016F">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Монтаж, подключение, пуско-наладка коммутаторов, ИБП: </w:t>
      </w:r>
    </w:p>
    <w:p w14:paraId="43C5587C">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65786A14">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B</w:t>
      </w:r>
      <w:r>
        <w:rPr>
          <w:rFonts w:ascii="Times New Roman" w:hAnsi="Times New Roman" w:eastAsia="Times New Roman" w:cs="Times New Roman"/>
          <w:lang w:eastAsia="ru-RU"/>
        </w:rPr>
        <w:t xml:space="preserve"> – 3шт.;</w:t>
      </w:r>
    </w:p>
    <w:p w14:paraId="3A1729F4">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60C1D86A">
      <w:pPr>
        <w:spacing w:after="0" w:line="240" w:lineRule="auto"/>
        <w:ind w:left="109" w:right="71"/>
        <w:contextualSpacing/>
        <w:rPr>
          <w:rFonts w:ascii="Times New Roman" w:hAnsi="Times New Roman" w:eastAsia="Times New Roman"/>
          <w:b/>
          <w:lang w:eastAsia="ru-RU"/>
        </w:rPr>
      </w:pPr>
    </w:p>
    <w:p w14:paraId="7E6A452C">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9</w:t>
      </w:r>
    </w:p>
    <w:p w14:paraId="630EC89B">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НС9.1 (пом. 9-115а, лестница)</w:t>
      </w:r>
    </w:p>
    <w:p w14:paraId="47222791">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9-115а, взамен существующего телекоммуникационного шкафа установить новый телекоммуникационном шкаф НС9.1. 22U 600х450 мм. От шкафа НС9.1 (пом. 9-115а)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НС9.1 (пом. 9-115а) проложить оптический кабель OS2 емкостью 24 волокна до шкафа МС4.2 (пом. 4-108.5). В шкафах НС9.1 (пом. 9-115а) и МС4.2 (пом. 4-108.5) проложенные кабели разварить в оптических панелях. Из существующего шкафа (пом. 9-115а) перенести все медные подключения в новый шкаф НС9.1.  подключить рабочие места в помещениях 9-101 (1 РМ), 9-103 (1 РМ), 9-106 (1 РМ), 9-112 (1 РМ), 9-113 (1 РМ) и 9-114 (1 РМ). Подвод кабелей к шкафу НС9.1 выполнить в кабель канале 100х60 мм. Для шкафа НС9.1 (пом. 9-115а) выполнить организацию электропитания. В шкаф предусмотреть 10%-й запас патч-кордов RJ-45, UTP cat.5e, разных цветов.</w:t>
      </w:r>
    </w:p>
    <w:p w14:paraId="2C953FE0">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коммутаторов, ИБП:</w:t>
      </w:r>
    </w:p>
    <w:p w14:paraId="0103AE09">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4665D670">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B</w:t>
      </w:r>
      <w:r>
        <w:rPr>
          <w:rFonts w:ascii="Times New Roman" w:hAnsi="Times New Roman" w:eastAsia="Times New Roman" w:cs="Times New Roman"/>
          <w:lang w:eastAsia="ru-RU"/>
        </w:rPr>
        <w:t xml:space="preserve"> – 2шт.;</w:t>
      </w:r>
    </w:p>
    <w:p w14:paraId="77C6F17F">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09115529">
      <w:pPr>
        <w:spacing w:after="0" w:line="240" w:lineRule="auto"/>
        <w:ind w:left="109" w:right="71"/>
        <w:contextualSpacing/>
        <w:rPr>
          <w:rFonts w:ascii="Times New Roman" w:hAnsi="Times New Roman" w:eastAsia="Times New Roman"/>
          <w:b/>
          <w:lang w:eastAsia="ru-RU"/>
        </w:rPr>
      </w:pPr>
    </w:p>
    <w:p w14:paraId="0843BDE9">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НС9.2 (пом. 9-126)</w:t>
      </w:r>
    </w:p>
    <w:p w14:paraId="2058345F">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9-126, взамен существующего телекоммуникационного шкафа установить новый телекоммуникационном шкаф НС9.2. 42U 600х800 мм. От шкафа НС9.2 (пом. 9-126)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НС9.2 (пом. 9-126) проложить оптический кабель OS2 емкостью 24 волокна до шкафа МС4.2 (пом. 4-108.5). В шкафах НС9.2 (пом. 9-126) и МС4.2 (пом. 4-108.5) проложенные кабели разварить в оптических панелях. Из существующего шкафа (пом. 9-126) перенести все медные подключения в новый шкаф НС9.2. Подключить рабочие места в помещениях 9-003 (1 РМ), 9-03 (1 РМ), 9-07 (1 РМ), 9-08 (3 РМ) и 9-127 (3 РМ). Подвод кабелей к шкафу НС9.2 выполнить в кабель канале 100х60 мм. Для шкафа НС9.2 (пом. 9-126) выполнить организацию электропитания. В шкаф предусмотреть 10%-й запас патч-кордов RJ-45, UTP cat.5e, разных цветов.</w:t>
      </w:r>
    </w:p>
    <w:p w14:paraId="7672C08B">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коммутаторов, ИБП:</w:t>
      </w:r>
    </w:p>
    <w:p w14:paraId="2AB30A21">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68160403">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B</w:t>
      </w:r>
      <w:r>
        <w:rPr>
          <w:rFonts w:ascii="Times New Roman" w:hAnsi="Times New Roman" w:eastAsia="Times New Roman" w:cs="Times New Roman"/>
          <w:lang w:eastAsia="ru-RU"/>
        </w:rPr>
        <w:t xml:space="preserve"> – 1шт.;</w:t>
      </w:r>
    </w:p>
    <w:p w14:paraId="0422A311">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00319355">
      <w:pPr>
        <w:spacing w:after="0" w:line="240" w:lineRule="auto"/>
        <w:ind w:left="109" w:right="71"/>
        <w:contextualSpacing/>
        <w:rPr>
          <w:rFonts w:ascii="Times New Roman" w:hAnsi="Times New Roman" w:eastAsia="Times New Roman"/>
          <w:b/>
          <w:lang w:eastAsia="ru-RU"/>
        </w:rPr>
      </w:pPr>
    </w:p>
    <w:p w14:paraId="3B76A109">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НС9.4 (лестница)</w:t>
      </w:r>
    </w:p>
    <w:p w14:paraId="1B62C70D">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 xml:space="preserve">В лестнице 3 этажа, взамен существующего телекоммуникационного шкафа установить новый телекоммуникационном шкаф НС9.4. 33U 600х800 мм. От шкафа НС9.4 (лестница)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НС9.4 (лестница) проложить оптический кабель OS2 емкостью 24 волокна до шкафа МС4.2 (пом. 4-108.5). В шкафах НС9.4 (лестница) и МС4.2 (пом. 4-108.5) проложенные кабели разварить в оптических панелях. Из существующего шкафа на лестнице 3 этажа перенести все медные подключения в новый шкаф НС9.4. Подключить рабочие места в помещениях 9-305 (12 РМ), 9-308 (8 РМ) и 9-309 (1 РМ). Подвод кабелей к шкафу НС9.4 выполнить в кабель канале 100х60 мм. Для шкафа НС9.4 (лестница) выполнить организацию электропитания. В шкаф предусмотреть 10%-й запас патч-кордов RJ-45, UTP cat.5e, разных цветов. </w:t>
      </w:r>
    </w:p>
    <w:p w14:paraId="7A5B9F50">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коммутаторов, ИБП:</w:t>
      </w:r>
    </w:p>
    <w:p w14:paraId="47BBA932">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2424</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2A22205C">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2424 – 1шт. (предоставляется Заказчиком);</w:t>
      </w:r>
    </w:p>
    <w:p w14:paraId="0CA81BC3">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53E328D9">
      <w:pPr>
        <w:spacing w:after="0" w:line="240" w:lineRule="auto"/>
        <w:ind w:left="109" w:right="71"/>
        <w:contextualSpacing/>
        <w:rPr>
          <w:rFonts w:ascii="Times New Roman" w:hAnsi="Times New Roman" w:eastAsia="Times New Roman"/>
          <w:b/>
          <w:lang w:eastAsia="ru-RU"/>
        </w:rPr>
      </w:pPr>
    </w:p>
    <w:p w14:paraId="7E77F670">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10</w:t>
      </w:r>
    </w:p>
    <w:p w14:paraId="270A9C5E">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НС10.3 (пом. 17)</w:t>
      </w:r>
    </w:p>
    <w:p w14:paraId="4BD01EF7">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17, этаж 3, установить новый телекоммуникационном шкаф НС10.3. 42U 600х800 мм. От шкафа НС10.3 (пом. 17)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НС10.3 (пом. 17) проложить оптический кабель OS2 емкостью 24 волокна до шкафа МС4.2 (пом. 4-108.5). В шкафах НС10.3 (пом. 17(10-309.3)) и МС4.2 (пом. 4-108.5) проложенные кабели разварить в оптических панелях. Подключить рабочие места в помещениях 10-215 (1 РМ), 10-308.1 (11 РМ), 10-308.2 (10 РМ), 10-309.1 (6 РМ), 10-309.2 (6 РМ), 10-309.3 (1 РМ), 10-309.4 (3 РМ), 10-411.1 (2 РМ), 10-411.2 (1 РМ), 10-412.1 (1 РМ), 10-412.2 (1 РМ), 10-412.4 (2 РМ), 10-504 (4 РМ), 10-505 (2 РМ), 10-509 (2 РМ), 10-521 (4 РМ), 10-524 (3 РМ) и 10-525 (1 РМ). Подвод кабелей к шкафу НС10.3 выполнить в кабель канале 100х60 мм. Для шкафа НС10.3 (пом. 17) выполнить организацию электропитания. В шкаф предусмотреть 10%-й запас патч-кордов RJ-45, UTP cat.5e, разных цветов.</w:t>
      </w:r>
    </w:p>
    <w:p w14:paraId="219CF400">
      <w:pPr>
        <w:spacing w:after="0" w:line="240" w:lineRule="auto"/>
        <w:ind w:left="109" w:right="7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коммутаторов, ИБП:</w:t>
      </w:r>
    </w:p>
    <w:p w14:paraId="15AAEAA5">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 xml:space="preserve">- </w:t>
      </w:r>
      <w:r>
        <w:rPr>
          <w:rFonts w:ascii="Times New Roman" w:hAnsi="Times New Roman" w:eastAsia="Times New Roman"/>
          <w:lang w:val="en-US" w:eastAsia="ru-RU"/>
        </w:rPr>
        <w:t>MES</w:t>
      </w:r>
      <w:r>
        <w:rPr>
          <w:rFonts w:ascii="Times New Roman" w:hAnsi="Times New Roman" w:eastAsia="Times New Roman"/>
          <w:lang w:eastAsia="ru-RU"/>
        </w:rPr>
        <w:t>2424</w:t>
      </w:r>
      <w:r>
        <w:rPr>
          <w:rFonts w:ascii="Times New Roman" w:hAnsi="Times New Roman" w:eastAsia="Times New Roman"/>
          <w:lang w:val="en-US" w:eastAsia="ru-RU"/>
        </w:rPr>
        <w:t>P</w:t>
      </w:r>
      <w:r>
        <w:rPr>
          <w:rFonts w:ascii="Times New Roman" w:hAnsi="Times New Roman" w:eastAsia="Times New Roman"/>
          <w:lang w:eastAsia="ru-RU"/>
        </w:rPr>
        <w:t xml:space="preserve"> – 1шт.;</w:t>
      </w:r>
    </w:p>
    <w:p w14:paraId="7EE2EFCA">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 xml:space="preserve">- </w:t>
      </w:r>
      <w:r>
        <w:rPr>
          <w:rFonts w:ascii="Times New Roman" w:hAnsi="Times New Roman" w:eastAsia="Times New Roman"/>
          <w:lang w:val="en-US" w:eastAsia="ru-RU"/>
        </w:rPr>
        <w:t>MES</w:t>
      </w:r>
      <w:r>
        <w:rPr>
          <w:rFonts w:ascii="Times New Roman" w:hAnsi="Times New Roman" w:eastAsia="Times New Roman"/>
          <w:lang w:eastAsia="ru-RU"/>
        </w:rPr>
        <w:t>2448</w:t>
      </w:r>
      <w:r>
        <w:rPr>
          <w:rFonts w:ascii="Times New Roman" w:hAnsi="Times New Roman" w:eastAsia="Times New Roman"/>
          <w:lang w:val="en-US" w:eastAsia="ru-RU"/>
        </w:rPr>
        <w:t>B</w:t>
      </w:r>
      <w:r>
        <w:rPr>
          <w:rFonts w:ascii="Times New Roman" w:hAnsi="Times New Roman" w:eastAsia="Times New Roman"/>
          <w:lang w:eastAsia="ru-RU"/>
        </w:rPr>
        <w:t xml:space="preserve"> – 1шт.</w:t>
      </w:r>
    </w:p>
    <w:p w14:paraId="147A1F35">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 ИБП 1500 ВА – 1шт.</w:t>
      </w:r>
    </w:p>
    <w:p w14:paraId="3662F13E">
      <w:pPr>
        <w:spacing w:after="0" w:line="240" w:lineRule="auto"/>
        <w:ind w:left="109" w:right="71"/>
        <w:contextualSpacing/>
        <w:rPr>
          <w:rFonts w:ascii="Times New Roman" w:hAnsi="Times New Roman" w:eastAsia="Times New Roman"/>
          <w:b/>
          <w:lang w:eastAsia="ru-RU"/>
        </w:rPr>
      </w:pPr>
    </w:p>
    <w:p w14:paraId="31A20284">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14</w:t>
      </w:r>
    </w:p>
    <w:p w14:paraId="691E5523">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НС14.1 (пом. 14-308)</w:t>
      </w:r>
    </w:p>
    <w:p w14:paraId="4BC90AAE">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Для шкафа НС14.1 (пом. 14-308) выполнить организацию электропитания. В шкаф предусмотреть 10%-й запас патч-кордов RJ-45, UTP cat.5e, разных цветов.</w:t>
      </w:r>
    </w:p>
    <w:p w14:paraId="5DFA2318">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16B7D7B5">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cs="Times New Roman"/>
          <w:lang w:eastAsia="ru-RU"/>
        </w:rPr>
        <w:t>- ИБП 1500 ВА – 1шт.</w:t>
      </w:r>
    </w:p>
    <w:p w14:paraId="01A17EA3">
      <w:pPr>
        <w:spacing w:after="0" w:line="240" w:lineRule="auto"/>
        <w:ind w:left="109" w:right="71"/>
        <w:contextualSpacing/>
        <w:rPr>
          <w:rFonts w:ascii="Times New Roman" w:hAnsi="Times New Roman" w:eastAsia="Times New Roman"/>
          <w:lang w:eastAsia="ru-RU"/>
        </w:rPr>
      </w:pPr>
    </w:p>
    <w:p w14:paraId="45F70144">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5.3.</w:t>
      </w:r>
      <w:r>
        <w:rPr>
          <w:rFonts w:ascii="Times New Roman" w:hAnsi="Times New Roman" w:eastAsia="Times New Roman" w:cs="Times New Roman"/>
          <w:lang w:eastAsia="ru-RU"/>
        </w:rPr>
        <w:t xml:space="preserve"> Работы должны выполняться в условиях действующего здания, без прекращения деятельности ФГБОУ ВО ПГУПС. Во время проведения работ должно быть сохранено бесперебойное электро-, тепло- и водоснабжение Заказчика. Должна быть обеспечена бесперебойная работа существующей телекоммуникационной сети. Все работы должны производиться в соответствии</w:t>
      </w:r>
      <w:r>
        <w:rPr>
          <w:rFonts w:ascii="Times New Roman" w:hAnsi="Times New Roman" w:cs="Times New Roman"/>
        </w:rPr>
        <w:t xml:space="preserve"> с режимом доступа в согласованное с Заказчиком время и только после обеспечения Заказчиком доступа к помещениям и существующей инфраструктуре.</w:t>
      </w:r>
    </w:p>
    <w:p w14:paraId="3E762ACC">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5.4.</w:t>
      </w:r>
      <w:r>
        <w:rPr>
          <w:rFonts w:ascii="Times New Roman" w:hAnsi="Times New Roman" w:eastAsia="Times New Roman" w:cs="Times New Roman"/>
          <w:lang w:eastAsia="ru-RU"/>
        </w:rPr>
        <w:t xml:space="preserve"> Разрабатываемые технические решения, размещение коммуникационных шкафов и оборудования в них, траектории прокладки кабелей по каждому помещению, схемы организации связи, логическая конфигурация сети и политики безопасности должны соответствовать проектной документации Университета. </w:t>
      </w:r>
    </w:p>
    <w:p w14:paraId="472A6910">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Ознакомиться с проектной документацией на модернизацию информационной инфраструктуры можно с 10.00 до 17.00 часов по рабочим дням. Контактное лицо представителя ФГБОУ ВО ПГУПС – Полищук Максим Викторович, телефон для связи –  457-80-06. Установление указанного порядка ознакомления обусловлено тем, что вычислительная сеть Заказчика проходит в том числе через помещения с ограниченным режимом доступа и используется при обработке информации, содержащей персональные данные, в связи с чем размещение указанной документации в открытом доступе не осуществляется. При этом, документация о закупке содержит сведения, достаточные для определения предмета закупки и формирования заявки, а предоставление возможности дополнительного ознакомления с документацией и объектом направлено на уточнение условий выполнения работ и минимизацию технологических рисков при исполнении договора.</w:t>
      </w:r>
    </w:p>
    <w:p w14:paraId="7356F18C">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5.5.</w:t>
      </w:r>
      <w:r>
        <w:rPr>
          <w:rFonts w:ascii="Times New Roman" w:hAnsi="Times New Roman" w:eastAsia="Times New Roman" w:cs="Times New Roman"/>
          <w:lang w:eastAsia="ru-RU"/>
        </w:rPr>
        <w:t xml:space="preserve"> Исполнитель производит следующие пусконаладочные работы с активным сетевым оборудова</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нием:</w:t>
      </w:r>
    </w:p>
    <w:p w14:paraId="56C6CE4F">
      <w:pPr>
        <w:spacing w:after="0" w:line="240" w:lineRule="auto"/>
        <w:ind w:left="426" w:hanging="142"/>
        <w:rPr>
          <w:rFonts w:ascii="Times New Roman" w:hAnsi="Times New Roman" w:eastAsia="Times New Roman" w:cs="Times New Roman"/>
          <w:lang w:eastAsia="ru-RU"/>
        </w:rPr>
      </w:pPr>
      <w:r>
        <w:rPr>
          <w:rFonts w:ascii="Times New Roman" w:hAnsi="Times New Roman" w:eastAsia="Times New Roman" w:cs="Times New Roman"/>
          <w:lang w:eastAsia="ru-RU"/>
        </w:rPr>
        <w:t>• установка комплектующих (блоков питания, доп. модулей, трансиверов);</w:t>
      </w:r>
    </w:p>
    <w:p w14:paraId="24D5BDA7">
      <w:pPr>
        <w:spacing w:after="0" w:line="240" w:lineRule="auto"/>
        <w:ind w:left="426" w:hanging="142"/>
        <w:rPr>
          <w:rFonts w:ascii="Times New Roman" w:hAnsi="Times New Roman" w:eastAsia="Times New Roman" w:cs="Times New Roman"/>
          <w:lang w:eastAsia="ru-RU"/>
        </w:rPr>
      </w:pPr>
      <w:r>
        <w:rPr>
          <w:rFonts w:ascii="Times New Roman" w:hAnsi="Times New Roman" w:eastAsia="Times New Roman" w:cs="Times New Roman"/>
          <w:lang w:eastAsia="ru-RU"/>
        </w:rPr>
        <w:t>• обновление микропрограммного обеспечения;</w:t>
      </w:r>
    </w:p>
    <w:p w14:paraId="3409AC64">
      <w:pPr>
        <w:spacing w:after="0" w:line="240" w:lineRule="auto"/>
        <w:ind w:left="426" w:hanging="142"/>
        <w:rPr>
          <w:rFonts w:ascii="Times New Roman" w:hAnsi="Times New Roman" w:eastAsia="Times New Roman" w:cs="Times New Roman"/>
          <w:lang w:eastAsia="ru-RU"/>
        </w:rPr>
      </w:pPr>
      <w:r>
        <w:rPr>
          <w:rFonts w:ascii="Times New Roman" w:hAnsi="Times New Roman" w:eastAsia="Times New Roman" w:cs="Times New Roman"/>
          <w:lang w:eastAsia="ru-RU"/>
        </w:rPr>
        <w:t>• установка обновлений и лицензий;</w:t>
      </w:r>
    </w:p>
    <w:p w14:paraId="10848A9D">
      <w:pPr>
        <w:spacing w:after="0" w:line="240" w:lineRule="auto"/>
        <w:ind w:left="426" w:hanging="142"/>
        <w:jc w:val="both"/>
        <w:rPr>
          <w:rFonts w:ascii="Times New Roman" w:hAnsi="Times New Roman" w:eastAsia="Times New Roman" w:cs="Times New Roman"/>
          <w:lang w:eastAsia="ru-RU"/>
        </w:rPr>
      </w:pPr>
      <w:r>
        <w:rPr>
          <w:rFonts w:ascii="Times New Roman" w:hAnsi="Times New Roman" w:eastAsia="Times New Roman" w:cs="Times New Roman"/>
          <w:lang w:eastAsia="ru-RU"/>
        </w:rPr>
        <w:t>• подключение и коммутация;</w:t>
      </w:r>
    </w:p>
    <w:p w14:paraId="5FA98669">
      <w:pPr>
        <w:spacing w:after="0" w:line="240" w:lineRule="auto"/>
        <w:ind w:left="426" w:hanging="142"/>
        <w:jc w:val="both"/>
        <w:rPr>
          <w:rFonts w:ascii="Times New Roman" w:hAnsi="Times New Roman" w:eastAsia="Times New Roman" w:cs="Times New Roman"/>
          <w:lang w:eastAsia="ru-RU"/>
        </w:rPr>
      </w:pPr>
      <w:r>
        <w:rPr>
          <w:rFonts w:ascii="Times New Roman" w:hAnsi="Times New Roman" w:eastAsia="Times New Roman" w:cs="Times New Roman"/>
          <w:lang w:eastAsia="ru-RU"/>
        </w:rPr>
        <w:t>• настройка коммутаторов (ACL, IRF, адресация, VLAN, QoS, агрегация, управление);</w:t>
      </w:r>
    </w:p>
    <w:p w14:paraId="08EEB724">
      <w:pPr>
        <w:spacing w:after="0" w:line="240" w:lineRule="auto"/>
        <w:ind w:left="426" w:hanging="142"/>
        <w:jc w:val="both"/>
        <w:rPr>
          <w:rFonts w:ascii="Times New Roman" w:hAnsi="Times New Roman" w:eastAsia="Times New Roman" w:cs="Times New Roman"/>
          <w:lang w:eastAsia="ru-RU"/>
        </w:rPr>
      </w:pPr>
      <w:r>
        <w:rPr>
          <w:rFonts w:ascii="Times New Roman" w:hAnsi="Times New Roman" w:eastAsia="Times New Roman" w:cs="Times New Roman"/>
          <w:lang w:eastAsia="ru-RU"/>
        </w:rPr>
        <w:t>• настройка групп коммутаторов в стеке (AOC, DAC и т.п.);</w:t>
      </w:r>
    </w:p>
    <w:p w14:paraId="2756A865">
      <w:pPr>
        <w:spacing w:after="0" w:line="240" w:lineRule="auto"/>
        <w:ind w:left="426" w:hanging="142"/>
        <w:jc w:val="both"/>
        <w:rPr>
          <w:rFonts w:ascii="Times New Roman" w:hAnsi="Times New Roman" w:eastAsia="Times New Roman" w:cs="Times New Roman"/>
          <w:lang w:eastAsia="ru-RU"/>
        </w:rPr>
      </w:pPr>
      <w:r>
        <w:rPr>
          <w:rFonts w:ascii="Times New Roman" w:hAnsi="Times New Roman" w:eastAsia="Times New Roman" w:cs="Times New Roman"/>
          <w:lang w:eastAsia="ru-RU"/>
        </w:rPr>
        <w:t>• организация соединения нового сегмента локальной вычислительной сети с существующей сетью ФГБОУ ВО ПГУПС;</w:t>
      </w:r>
    </w:p>
    <w:p w14:paraId="3E53EA69">
      <w:pPr>
        <w:spacing w:after="0" w:line="240" w:lineRule="auto"/>
        <w:ind w:left="426" w:hanging="142"/>
        <w:jc w:val="both"/>
        <w:rPr>
          <w:rFonts w:ascii="Times New Roman" w:hAnsi="Times New Roman" w:eastAsia="Times New Roman" w:cs="Times New Roman"/>
          <w:lang w:eastAsia="ru-RU"/>
        </w:rPr>
      </w:pPr>
      <w:r>
        <w:rPr>
          <w:rFonts w:ascii="Times New Roman" w:hAnsi="Times New Roman" w:eastAsia="Times New Roman" w:cs="Times New Roman"/>
          <w:lang w:eastAsia="ru-RU"/>
        </w:rPr>
        <w:t>• настройка маршрутизации, включая маршрутизацию между новой локальной вычислительной сетью и существующей сетью ФГБОУ ВО ПГУПС с актуализацией конфигурации кластера МСЭНП UserGate (новые подсети, VLAN, политики безопасности, настройки балансировки и резервирования и т.д.).</w:t>
      </w:r>
    </w:p>
    <w:p w14:paraId="7DF05E64">
      <w:pPr>
        <w:spacing w:after="0" w:line="240" w:lineRule="auto"/>
        <w:ind w:left="284" w:firstLine="11"/>
        <w:jc w:val="both"/>
        <w:rPr>
          <w:rFonts w:ascii="Times New Roman" w:hAnsi="Times New Roman" w:eastAsia="Times New Roman" w:cs="Times New Roman"/>
          <w:lang w:eastAsia="ru-RU"/>
        </w:rPr>
      </w:pPr>
    </w:p>
    <w:p w14:paraId="08F02B28">
      <w:pPr>
        <w:spacing w:after="0" w:line="240" w:lineRule="auto"/>
        <w:ind w:left="284" w:hanging="284"/>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6. Требования к оборудованию, используемого Исполнителем:</w:t>
      </w:r>
    </w:p>
    <w:p w14:paraId="782B36BE">
      <w:pPr>
        <w:spacing w:after="0" w:line="240" w:lineRule="auto"/>
        <w:ind w:left="284" w:hanging="284"/>
        <w:jc w:val="both"/>
        <w:rPr>
          <w:rFonts w:ascii="Times New Roman" w:hAnsi="Times New Roman" w:eastAsia="Times New Roman" w:cs="Times New Roman"/>
          <w:b/>
          <w:lang w:eastAsia="ru-RU"/>
        </w:rPr>
      </w:pPr>
    </w:p>
    <w:p w14:paraId="733F8FD4">
      <w:pPr>
        <w:spacing w:after="120" w:line="240" w:lineRule="auto"/>
        <w:ind w:left="284" w:hanging="284"/>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6.1.</w:t>
      </w:r>
      <w:r>
        <w:rPr>
          <w:rFonts w:ascii="Times New Roman" w:hAnsi="Times New Roman" w:eastAsia="Times New Roman" w:cs="Times New Roman"/>
          <w:lang w:eastAsia="ru-RU"/>
        </w:rPr>
        <w:t xml:space="preserve"> Требования к техническим показателям оборудования/товара:</w:t>
      </w:r>
    </w:p>
    <w:tbl>
      <w:tblPr>
        <w:tblStyle w:val="14"/>
        <w:tblW w:w="9918" w:type="dxa"/>
        <w:jc w:val="center"/>
        <w:tblLayout w:type="autofit"/>
        <w:tblCellMar>
          <w:top w:w="0" w:type="dxa"/>
          <w:left w:w="10" w:type="dxa"/>
          <w:bottom w:w="0" w:type="dxa"/>
          <w:right w:w="10" w:type="dxa"/>
        </w:tblCellMar>
      </w:tblPr>
      <w:tblGrid>
        <w:gridCol w:w="2689"/>
        <w:gridCol w:w="7229"/>
      </w:tblGrid>
      <w:tr w14:paraId="5D187BF3">
        <w:tblPrEx>
          <w:tblCellMar>
            <w:top w:w="0" w:type="dxa"/>
            <w:left w:w="10" w:type="dxa"/>
            <w:bottom w:w="0" w:type="dxa"/>
            <w:right w:w="10" w:type="dxa"/>
          </w:tblCellMar>
        </w:tblPrEx>
        <w:trPr>
          <w:trHeight w:val="831"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vAlign w:val="center"/>
          </w:tcPr>
          <w:p w14:paraId="49DE1198">
            <w:pPr>
              <w:spacing w:after="0" w:line="240" w:lineRule="auto"/>
              <w:ind w:firstLine="11"/>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Наименование товара, </w:t>
            </w:r>
            <w:r>
              <w:rPr>
                <w:rFonts w:ascii="Times New Roman" w:hAnsi="Times New Roman" w:eastAsia="Times New Roman" w:cs="Times New Roman"/>
                <w:b/>
                <w:spacing w:val="-1"/>
                <w:lang w:eastAsia="ru-RU"/>
              </w:rPr>
              <w:t>товарный знак (при наличии)</w:t>
            </w:r>
          </w:p>
        </w:tc>
        <w:tc>
          <w:tcPr>
            <w:tcW w:w="722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vAlign w:val="center"/>
          </w:tcPr>
          <w:p w14:paraId="799EEF7D">
            <w:pPr>
              <w:spacing w:after="0" w:line="240" w:lineRule="auto"/>
              <w:ind w:firstLine="11"/>
              <w:jc w:val="center"/>
              <w:rPr>
                <w:rFonts w:ascii="Times New Roman" w:hAnsi="Times New Roman" w:eastAsia="Times New Roman" w:cs="Times New Roman"/>
                <w:b/>
                <w:lang w:eastAsia="ru-RU"/>
              </w:rPr>
            </w:pPr>
            <w:r>
              <w:rPr>
                <w:rFonts w:ascii="Times New Roman" w:hAnsi="Times New Roman" w:eastAsia="Times New Roman" w:cs="Times New Roman"/>
                <w:b/>
                <w:spacing w:val="-1"/>
                <w:lang w:eastAsia="ru-RU"/>
              </w:rPr>
              <w:t>Конкретные показатели т</w:t>
            </w:r>
            <w:r>
              <w:rPr>
                <w:rFonts w:ascii="Times New Roman" w:hAnsi="Times New Roman" w:eastAsia="Times New Roman" w:cs="Times New Roman"/>
                <w:b/>
                <w:bCs/>
                <w:lang w:eastAsia="ru-RU"/>
              </w:rPr>
              <w:t xml:space="preserve">ехнических (функциональных) и качественных характеристик товаров, необходимых для использования при выполнении работ </w:t>
            </w:r>
          </w:p>
        </w:tc>
      </w:tr>
      <w:tr w14:paraId="23DFDCF3">
        <w:tblPrEx>
          <w:tblCellMar>
            <w:top w:w="0" w:type="dxa"/>
            <w:left w:w="10" w:type="dxa"/>
            <w:bottom w:w="0" w:type="dxa"/>
            <w:right w:w="10" w:type="dxa"/>
          </w:tblCellMar>
        </w:tblPrEx>
        <w:trPr>
          <w:trHeight w:val="294"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vAlign w:val="center"/>
          </w:tcPr>
          <w:p w14:paraId="4CE78FF1">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Шкаф коммуникационный</w:t>
            </w:r>
          </w:p>
        </w:tc>
        <w:tc>
          <w:tcPr>
            <w:tcW w:w="722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tcPr>
          <w:p w14:paraId="1DC8E676">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Коммуникационный шкаф должен быть металлическим; высота, ширина, глубина – согласно требованиям по помещениям; передняя дверь стеклянная одностворчатая; задняя дверь металлическая двустворчатая; цвет черный.</w:t>
            </w:r>
          </w:p>
        </w:tc>
      </w:tr>
      <w:tr w14:paraId="2A9BB285">
        <w:tblPrEx>
          <w:tblCellMar>
            <w:top w:w="0" w:type="dxa"/>
            <w:left w:w="10" w:type="dxa"/>
            <w:bottom w:w="0" w:type="dxa"/>
            <w:right w:w="10" w:type="dxa"/>
          </w:tblCellMar>
        </w:tblPrEx>
        <w:trPr>
          <w:trHeight w:val="294"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vAlign w:val="center"/>
          </w:tcPr>
          <w:p w14:paraId="4948B134">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Оптическая панель </w:t>
            </w:r>
          </w:p>
        </w:tc>
        <w:tc>
          <w:tcPr>
            <w:tcW w:w="722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tcPr>
          <w:p w14:paraId="19B743AB">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Оптическая панель (оптобокс) должна быть металлическая. Оптобокс должен вмещать в себя не менее 24 портов для оптического одномодового кабеля тип волокна не ниже </w:t>
            </w:r>
            <w:r>
              <w:rPr>
                <w:rFonts w:ascii="Times New Roman" w:hAnsi="Times New Roman" w:eastAsia="Times New Roman" w:cs="Times New Roman"/>
                <w:lang w:val="en-US" w:eastAsia="ru-RU"/>
              </w:rPr>
              <w:t>OS</w:t>
            </w:r>
            <w:r>
              <w:rPr>
                <w:rFonts w:ascii="Times New Roman" w:hAnsi="Times New Roman" w:eastAsia="Times New Roman" w:cs="Times New Roman"/>
                <w:lang w:eastAsia="ru-RU"/>
              </w:rPr>
              <w:t>2. Высота патч-панели должна быть не более 1U (44,45 мм).</w:t>
            </w:r>
          </w:p>
        </w:tc>
      </w:tr>
      <w:tr w14:paraId="4DD93941">
        <w:tblPrEx>
          <w:tblCellMar>
            <w:top w:w="0" w:type="dxa"/>
            <w:left w:w="10" w:type="dxa"/>
            <w:bottom w:w="0" w:type="dxa"/>
            <w:right w:w="10" w:type="dxa"/>
          </w:tblCellMar>
        </w:tblPrEx>
        <w:trPr>
          <w:trHeight w:val="294"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vAlign w:val="center"/>
          </w:tcPr>
          <w:p w14:paraId="6EB62AC8">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Кабель оптический одномодовый</w:t>
            </w:r>
          </w:p>
        </w:tc>
        <w:tc>
          <w:tcPr>
            <w:tcW w:w="722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tcPr>
          <w:p w14:paraId="41290735">
            <w:pPr>
              <w:spacing w:after="0" w:line="240" w:lineRule="auto"/>
              <w:ind w:firstLine="11"/>
              <w:jc w:val="both"/>
              <w:rPr>
                <w:rFonts w:ascii="Times New Roman" w:hAnsi="Times New Roman" w:eastAsia="Calibri" w:cs="Times New Roman"/>
                <w:lang w:eastAsia="ru-RU"/>
              </w:rPr>
            </w:pPr>
            <w:r>
              <w:rPr>
                <w:rFonts w:ascii="Times New Roman" w:hAnsi="Times New Roman" w:eastAsia="Times New Roman" w:cs="Times New Roman"/>
                <w:lang w:eastAsia="ru-RU"/>
              </w:rPr>
              <w:t xml:space="preserve">Кабель должен быть 24-х волоконный, тип волокна не ниже </w:t>
            </w:r>
            <w:r>
              <w:rPr>
                <w:rFonts w:ascii="Times New Roman" w:hAnsi="Times New Roman" w:eastAsia="Times New Roman" w:cs="Times New Roman"/>
                <w:lang w:val="en-US" w:eastAsia="ru-RU"/>
              </w:rPr>
              <w:t>OS</w:t>
            </w:r>
            <w:r>
              <w:rPr>
                <w:rFonts w:ascii="Times New Roman" w:hAnsi="Times New Roman" w:eastAsia="Times New Roman" w:cs="Times New Roman"/>
                <w:lang w:eastAsia="ru-RU"/>
              </w:rPr>
              <w:t xml:space="preserve">2. В кабеле должен отсутствовать несущий трос и экран. </w:t>
            </w:r>
          </w:p>
        </w:tc>
      </w:tr>
      <w:tr w14:paraId="5E8C973F">
        <w:tblPrEx>
          <w:tblCellMar>
            <w:top w:w="0" w:type="dxa"/>
            <w:left w:w="10" w:type="dxa"/>
            <w:bottom w:w="0" w:type="dxa"/>
            <w:right w:w="10" w:type="dxa"/>
          </w:tblCellMar>
        </w:tblPrEx>
        <w:trPr>
          <w:trHeight w:val="294"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vAlign w:val="center"/>
          </w:tcPr>
          <w:p w14:paraId="3883D1BD">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Кабель медный </w:t>
            </w:r>
          </w:p>
        </w:tc>
        <w:tc>
          <w:tcPr>
            <w:tcW w:w="722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tcPr>
          <w:p w14:paraId="65D2C84F">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Кабель категории 5е, U/UTP, 4 пары, 24 AWG, LSZH нг(A)-</w:t>
            </w:r>
            <w:r>
              <w:rPr>
                <w:rFonts w:ascii="Times New Roman" w:hAnsi="Times New Roman" w:eastAsia="Times New Roman" w:cs="Times New Roman"/>
                <w:lang w:val="en-US" w:eastAsia="ru-RU"/>
              </w:rPr>
              <w:t>LS</w:t>
            </w:r>
            <w:r>
              <w:rPr>
                <w:rFonts w:ascii="Times New Roman" w:hAnsi="Times New Roman" w:eastAsia="Times New Roman" w:cs="Times New Roman"/>
                <w:lang w:eastAsia="ru-RU"/>
              </w:rPr>
              <w:t>LTx, внутренней прокладки</w:t>
            </w:r>
          </w:p>
        </w:tc>
      </w:tr>
      <w:tr w14:paraId="0B0019F3">
        <w:tblPrEx>
          <w:tblCellMar>
            <w:top w:w="0" w:type="dxa"/>
            <w:left w:w="10" w:type="dxa"/>
            <w:bottom w:w="0" w:type="dxa"/>
            <w:right w:w="10" w:type="dxa"/>
          </w:tblCellMar>
        </w:tblPrEx>
        <w:trPr>
          <w:trHeight w:val="922"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vAlign w:val="center"/>
          </w:tcPr>
          <w:p w14:paraId="1EB10B39">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Горизонтальный организатор</w:t>
            </w:r>
          </w:p>
        </w:tc>
        <w:tc>
          <w:tcPr>
            <w:tcW w:w="722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tcPr>
          <w:p w14:paraId="23142711">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Горизонтальный организатор должен быть металлическим, количество металлических колец не менее 5, высота горизонтального организатора должна быть не более 1U (44,45 мм).</w:t>
            </w:r>
          </w:p>
        </w:tc>
      </w:tr>
      <w:tr w14:paraId="59DFFC16">
        <w:tblPrEx>
          <w:tblCellMar>
            <w:top w:w="0" w:type="dxa"/>
            <w:left w:w="10" w:type="dxa"/>
            <w:bottom w:w="0" w:type="dxa"/>
            <w:right w:w="10" w:type="dxa"/>
          </w:tblCellMar>
        </w:tblPrEx>
        <w:trPr>
          <w:trHeight w:val="433"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vAlign w:val="center"/>
          </w:tcPr>
          <w:p w14:paraId="7CC042F1">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Патч-панели (Коммутационная панель)</w:t>
            </w:r>
          </w:p>
        </w:tc>
        <w:tc>
          <w:tcPr>
            <w:tcW w:w="722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tcPr>
          <w:p w14:paraId="0CA82401">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Патч-панель должна иметь 19” конструктив, высота 1</w:t>
            </w:r>
            <w:r>
              <w:rPr>
                <w:rFonts w:ascii="Times New Roman" w:hAnsi="Times New Roman" w:eastAsia="Times New Roman" w:cs="Times New Roman"/>
                <w:lang w:val="en-US" w:eastAsia="ru-RU"/>
              </w:rPr>
              <w:t>U</w:t>
            </w:r>
            <w:r>
              <w:rPr>
                <w:rFonts w:ascii="Times New Roman" w:hAnsi="Times New Roman" w:eastAsia="Times New Roman" w:cs="Times New Roman"/>
                <w:lang w:eastAsia="ru-RU"/>
              </w:rPr>
              <w:t>, количество портов 24, категория портов 5</w:t>
            </w:r>
            <w:r>
              <w:rPr>
                <w:rFonts w:ascii="Times New Roman" w:hAnsi="Times New Roman" w:eastAsia="Times New Roman" w:cs="Times New Roman"/>
                <w:lang w:val="en-US" w:eastAsia="ru-RU"/>
              </w:rPr>
              <w:t>e</w:t>
            </w:r>
            <w:r>
              <w:rPr>
                <w:rFonts w:ascii="Times New Roman" w:hAnsi="Times New Roman" w:eastAsia="Times New Roman" w:cs="Times New Roman"/>
                <w:lang w:eastAsia="ru-RU"/>
              </w:rPr>
              <w:t xml:space="preserve">, маркировка портов.  </w:t>
            </w:r>
          </w:p>
        </w:tc>
      </w:tr>
      <w:tr w14:paraId="3DEDD2E1">
        <w:tblPrEx>
          <w:tblCellMar>
            <w:top w:w="0" w:type="dxa"/>
            <w:left w:w="10" w:type="dxa"/>
            <w:bottom w:w="0" w:type="dxa"/>
            <w:right w:w="10" w:type="dxa"/>
          </w:tblCellMar>
        </w:tblPrEx>
        <w:trPr>
          <w:trHeight w:val="433"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vAlign w:val="center"/>
          </w:tcPr>
          <w:p w14:paraId="696E2EC9">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ИБП 1500 ВА</w:t>
            </w:r>
          </w:p>
        </w:tc>
        <w:tc>
          <w:tcPr>
            <w:tcW w:w="722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tcPr>
          <w:p w14:paraId="258AB73E">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Для реализации функции мониторинга каждый ИБП должен быть оснащен SNMP картой, обеспечивающей возможность удалённого управления и мониторинга параметров и событий ИБП, электросети и нагрузки посредством подключения в локальную вычислительную сеть через RJ45/Ethernet 10/100/1000 UTP, mini USB с поддержкой протоколов http, https, IPv.4, IPv.6, SNMP v.1/v.2с/v.3, TCP/IP, SMTP, SSL(2048бит)/TLS, SSH, SNTP, DHCP, Telnet, BOOTP, DNS, DDNS, PPPoE, Radius, Modbus по TCP/IP, BACnet, Syslog, LDAP  </w:t>
            </w:r>
          </w:p>
          <w:p w14:paraId="7ED53F50">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Тип ИБП — двойного преобразования (On-Line).</w:t>
            </w:r>
          </w:p>
          <w:p w14:paraId="56D01309">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Форм-фактор: универсальный в 19-дюймовую стойку/напольный высота не более 2U.</w:t>
            </w:r>
          </w:p>
          <w:p w14:paraId="43CA83D2">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Наличие встроенных аккумуляторных батарей – Да.</w:t>
            </w:r>
          </w:p>
          <w:p w14:paraId="2C02CAE1">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Полная выходная мощность: не менее 1500 ВА.</w:t>
            </w:r>
          </w:p>
          <w:p w14:paraId="14EBDA46">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Активная выходная мощность: не менее 1500 Вт.</w:t>
            </w:r>
          </w:p>
          <w:p w14:paraId="70E7CFC1">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Выходной коэффициент мощности: не менее 0,99.</w:t>
            </w:r>
          </w:p>
          <w:p w14:paraId="64F9A238">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Входное напряжение: 208-240 В (настраиваемое).</w:t>
            </w:r>
          </w:p>
          <w:p w14:paraId="7D0E39FC">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Диапазон входного напряжения: 110–300 В.</w:t>
            </w:r>
          </w:p>
          <w:p w14:paraId="7ADA0D35">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Диапазон входной частоты: 50 Гц / 60 Гц.</w:t>
            </w:r>
          </w:p>
          <w:p w14:paraId="0459E256">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Номинальное выходное напряжение: 200-240 В (настраиваемое).</w:t>
            </w:r>
          </w:p>
          <w:p w14:paraId="6821A5B7">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Точность выходного напряжения: ± 1%.</w:t>
            </w:r>
          </w:p>
          <w:p w14:paraId="70C1B8C5">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Форма выходного напряжения: чистая синусоида.</w:t>
            </w:r>
          </w:p>
          <w:p w14:paraId="49C4ECA6">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КПД в режиме работы от электросети: ≥90% при полной нагрузке.</w:t>
            </w:r>
          </w:p>
          <w:p w14:paraId="088958EC">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КПД в экономичном режиме: ≥95% при полной нагрузке.</w:t>
            </w:r>
          </w:p>
          <w:p w14:paraId="509B8889">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Интерфейсы: USB, RS-232, слот для мини SNMP-карты / «сухих» контактов.</w:t>
            </w:r>
          </w:p>
          <w:p w14:paraId="5F4672DF">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Габариты (ШхГхВ, не более): 440×460×86,5 мм.</w:t>
            </w:r>
          </w:p>
          <w:p w14:paraId="755B0F2E">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Вес нетто: не более 20 кг.</w:t>
            </w:r>
          </w:p>
          <w:p w14:paraId="345D4F66">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Уровень шума: не более 50 дБ.</w:t>
            </w:r>
          </w:p>
          <w:p w14:paraId="7BCBB724">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Наличие SNMP карты – да</w:t>
            </w:r>
          </w:p>
          <w:p w14:paraId="016180B0">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Монтажный комплект рельсов.</w:t>
            </w:r>
          </w:p>
        </w:tc>
      </w:tr>
      <w:tr w14:paraId="35C22923">
        <w:tblPrEx>
          <w:tblCellMar>
            <w:top w:w="0" w:type="dxa"/>
            <w:left w:w="10" w:type="dxa"/>
            <w:bottom w:w="0" w:type="dxa"/>
            <w:right w:w="10" w:type="dxa"/>
          </w:tblCellMar>
        </w:tblPrEx>
        <w:trPr>
          <w:trHeight w:val="433"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vAlign w:val="center"/>
          </w:tcPr>
          <w:p w14:paraId="4C9A6CC4">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Батарейный модуль для ИБП 1500 ВА</w:t>
            </w:r>
          </w:p>
        </w:tc>
        <w:tc>
          <w:tcPr>
            <w:tcW w:w="722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tcPr>
          <w:p w14:paraId="263DC4B2">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Батарейный модуль должен быть совместим с ИБП 1500 ВА</w:t>
            </w:r>
          </w:p>
          <w:p w14:paraId="505B1B2E">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Тип аккумуляторных батарей: свинцово-кислотные герметизированные с защитой от утечки.</w:t>
            </w:r>
          </w:p>
          <w:p w14:paraId="2214153A">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Ёмкость АКБ: не более 9 Ач.</w:t>
            </w:r>
          </w:p>
          <w:p w14:paraId="264C7F78">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Количество встроенных АКБ: не более 8 штук.</w:t>
            </w:r>
          </w:p>
          <w:p w14:paraId="074F1676">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Напряжение на шине постоянного тока: 48 В.</w:t>
            </w:r>
          </w:p>
          <w:p w14:paraId="46DD448E">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Размер (Ш× Г×В, не более): 440×552×86,5 мм.</w:t>
            </w:r>
          </w:p>
          <w:p w14:paraId="6B26D03E">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Вес нетто: не более 28,5 кг.</w:t>
            </w:r>
          </w:p>
          <w:p w14:paraId="6A66ED07">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Форм-фактор: универсальный в 19-дюймовую стойку/напольный высота не более 2U.</w:t>
            </w:r>
          </w:p>
          <w:p w14:paraId="1B846115">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Монтажный комплект рельсов.</w:t>
            </w:r>
          </w:p>
        </w:tc>
      </w:tr>
      <w:tr w14:paraId="1383418E">
        <w:tblPrEx>
          <w:tblCellMar>
            <w:top w:w="0" w:type="dxa"/>
            <w:left w:w="10" w:type="dxa"/>
            <w:bottom w:w="0" w:type="dxa"/>
            <w:right w:w="10" w:type="dxa"/>
          </w:tblCellMar>
        </w:tblPrEx>
        <w:trPr>
          <w:trHeight w:val="433"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vAlign w:val="center"/>
          </w:tcPr>
          <w:p w14:paraId="1920A87E">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ИБП 3000 ВА</w:t>
            </w:r>
          </w:p>
        </w:tc>
        <w:tc>
          <w:tcPr>
            <w:tcW w:w="722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tcPr>
          <w:p w14:paraId="1E343CDA">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Для реализации функции мониторинга каждый ИБП должен быть оснащен SNMP картой, обеспечивающей возможность удалённого управления и мониторинга параметров и событий ИБП, электросети и нагрузки посредством подключения в локальную вычислительную сеть через RJ45/Ethernet 10/100/1000 UTP, mini USB с поддержкой протоколов http, https, IPv.4, IPv.6, SNMP v.1/v.2с/v.3, TCP/IP, SMTP, SSL(2048бит)/TLS, SSH, SNTP, DHCP, Telnet, BOOTP, DNS, DDNS, PPPoE, Radius, Modbus по TCP/IP, BACnet, Syslog, LDAP  </w:t>
            </w:r>
          </w:p>
          <w:p w14:paraId="6F831648">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Тип ИБП — двойного преобразования (On-Line).</w:t>
            </w:r>
          </w:p>
          <w:p w14:paraId="2292103A">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Форм-фактор: универсальный в 19-дюймовую стойку/напольный высота не более 2U.</w:t>
            </w:r>
          </w:p>
          <w:p w14:paraId="4E91EEC0">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Наличие встроенных аккумуляторных батарей – Да.</w:t>
            </w:r>
          </w:p>
          <w:p w14:paraId="24AE2AD0">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Полная выходная мощность: не менее 3000 ВА.</w:t>
            </w:r>
          </w:p>
          <w:p w14:paraId="4A62FBA6">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Активная выходная мощность: не менее 3000 Вт.</w:t>
            </w:r>
          </w:p>
          <w:p w14:paraId="0CCB7888">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Выходной коэффициент мощности: не менее 0,99.</w:t>
            </w:r>
          </w:p>
          <w:p w14:paraId="36D09665">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Входное напряжение: 208-240 В (настраиваемое).</w:t>
            </w:r>
          </w:p>
          <w:p w14:paraId="5ED16971">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Диапазон входного напряжения: 110–300 В.</w:t>
            </w:r>
          </w:p>
          <w:p w14:paraId="3971E5E1">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Диапазон входной частоты: 50 Гц - 70 Гц.</w:t>
            </w:r>
          </w:p>
          <w:p w14:paraId="77B161A5">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Номинальное выходное напряжение: 200-240 В (настраиваемое).</w:t>
            </w:r>
          </w:p>
          <w:p w14:paraId="15A9B20A">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Точность выходного напряжения: ± 1%.</w:t>
            </w:r>
          </w:p>
          <w:p w14:paraId="366DC503">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Форма выходного напряжения: чистая синусоида.</w:t>
            </w:r>
          </w:p>
          <w:p w14:paraId="18D05566">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КПД в режиме работы от электросети: ≥92% при полной нагрузке.</w:t>
            </w:r>
          </w:p>
          <w:p w14:paraId="38DC8BF5">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КПД в экономичном режиме: ≥95% при полной нагрузке.</w:t>
            </w:r>
          </w:p>
          <w:p w14:paraId="5ECAD9D2">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Интерфейсы: USB, RS-232, слот для мини SNMP-карты / «сухих» контактов.</w:t>
            </w:r>
          </w:p>
          <w:p w14:paraId="6AC0A466">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Габариты (ШхГхВ, не более): 440×600×86,5 мм.</w:t>
            </w:r>
          </w:p>
          <w:p w14:paraId="6C65B4FF">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Вес нетто: не более 28 кг.</w:t>
            </w:r>
          </w:p>
          <w:p w14:paraId="0CC5A238">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Уровень шума: не более 50 дБ.</w:t>
            </w:r>
          </w:p>
          <w:p w14:paraId="31A54C94">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Наличие SNMP карты – да</w:t>
            </w:r>
          </w:p>
          <w:p w14:paraId="39DF03D9">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Монтажный комплект рельсов.</w:t>
            </w:r>
          </w:p>
        </w:tc>
      </w:tr>
      <w:tr w14:paraId="17167106">
        <w:tblPrEx>
          <w:tblCellMar>
            <w:top w:w="0" w:type="dxa"/>
            <w:left w:w="10" w:type="dxa"/>
            <w:bottom w:w="0" w:type="dxa"/>
            <w:right w:w="10" w:type="dxa"/>
          </w:tblCellMar>
        </w:tblPrEx>
        <w:trPr>
          <w:trHeight w:val="433"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vAlign w:val="center"/>
          </w:tcPr>
          <w:p w14:paraId="1D972165">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Батарейный модуль для ИБП 3000 ВА</w:t>
            </w:r>
          </w:p>
        </w:tc>
        <w:tc>
          <w:tcPr>
            <w:tcW w:w="722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tcPr>
          <w:p w14:paraId="6EB54346">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Батарейный модуль должен быть совместим с ИБП 3000 ВА</w:t>
            </w:r>
          </w:p>
          <w:p w14:paraId="337E6312">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Тип аккумуляторных батарей: свинцово-кислотные герметизированные с защитой от утечки.</w:t>
            </w:r>
          </w:p>
          <w:p w14:paraId="0D501443">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Ёмкость АКБ: не более 9 Ач.</w:t>
            </w:r>
          </w:p>
          <w:p w14:paraId="5144BE41">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Количество встроенных АКБ: не более 12 штук.</w:t>
            </w:r>
          </w:p>
          <w:p w14:paraId="3778111E">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Напряжение на шине постоянного тока: 72 В.</w:t>
            </w:r>
          </w:p>
          <w:p w14:paraId="5BE1CF78">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Размер (Ш× Г×В, не более): 440×520×131 мм.</w:t>
            </w:r>
          </w:p>
          <w:p w14:paraId="6F128947">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Вес нетто: не более 41 кг.</w:t>
            </w:r>
          </w:p>
          <w:p w14:paraId="37C59040">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Форм-фактор: универсальный в 19-дюймовую стойку/напольный высота не более 3U.</w:t>
            </w:r>
          </w:p>
          <w:p w14:paraId="05CF8666">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Монтажный комплект рельсов.</w:t>
            </w:r>
          </w:p>
        </w:tc>
      </w:tr>
    </w:tbl>
    <w:p w14:paraId="6C9952D8">
      <w:pPr>
        <w:rPr>
          <w:rFonts w:ascii="Times New Roman" w:hAnsi="Times New Roman" w:eastAsia="Times New Roman" w:cs="Times New Roman"/>
          <w:b/>
          <w:lang w:eastAsia="ru-RU"/>
        </w:rPr>
      </w:pPr>
    </w:p>
    <w:tbl>
      <w:tblPr>
        <w:tblStyle w:val="41"/>
        <w:tblW w:w="0" w:type="auto"/>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7"/>
        <w:gridCol w:w="5966"/>
        <w:gridCol w:w="1654"/>
      </w:tblGrid>
      <w:tr w14:paraId="01494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9774" w:type="dxa"/>
            <w:gridSpan w:val="3"/>
            <w:vAlign w:val="center"/>
          </w:tcPr>
          <w:p w14:paraId="5715BB0E">
            <w:pPr>
              <w:pStyle w:val="85"/>
              <w:ind w:left="0"/>
              <w:jc w:val="center"/>
              <w:rPr>
                <w:bCs/>
              </w:rPr>
            </w:pPr>
            <w:r>
              <w:rPr>
                <w:bCs/>
              </w:rPr>
              <w:t>Коммутаторы:</w:t>
            </w:r>
          </w:p>
        </w:tc>
      </w:tr>
      <w:tr w14:paraId="01BF4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restart"/>
            <w:vAlign w:val="center"/>
          </w:tcPr>
          <w:p w14:paraId="5EFC9831">
            <w:pPr>
              <w:pStyle w:val="85"/>
              <w:ind w:left="0"/>
              <w:rPr>
                <w:bCs/>
              </w:rPr>
            </w:pPr>
            <w:r>
              <w:t>MES2424</w:t>
            </w:r>
          </w:p>
        </w:tc>
        <w:tc>
          <w:tcPr>
            <w:tcW w:w="5966" w:type="dxa"/>
            <w:vAlign w:val="center"/>
          </w:tcPr>
          <w:p w14:paraId="4D3FDC7F">
            <w:pPr>
              <w:pStyle w:val="85"/>
              <w:ind w:left="0"/>
              <w:rPr>
                <w:bCs/>
              </w:rPr>
            </w:pPr>
            <w:r>
              <w:rPr>
                <w:bCs/>
              </w:rPr>
              <w:t>Производитель:</w:t>
            </w:r>
          </w:p>
        </w:tc>
        <w:tc>
          <w:tcPr>
            <w:tcW w:w="1561" w:type="dxa"/>
            <w:vAlign w:val="center"/>
          </w:tcPr>
          <w:p w14:paraId="32A6E1BC">
            <w:pPr>
              <w:pStyle w:val="85"/>
              <w:ind w:left="0"/>
            </w:pPr>
            <w:r>
              <w:rPr>
                <w:lang w:val="en-US"/>
              </w:rPr>
              <w:t>Eltex</w:t>
            </w:r>
            <w:r>
              <w:t>*</w:t>
            </w:r>
          </w:p>
        </w:tc>
      </w:tr>
      <w:tr w14:paraId="70FC1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7EF087A6">
            <w:pPr>
              <w:pStyle w:val="85"/>
              <w:ind w:left="0"/>
              <w:rPr>
                <w:bCs/>
              </w:rPr>
            </w:pPr>
          </w:p>
        </w:tc>
        <w:tc>
          <w:tcPr>
            <w:tcW w:w="5966" w:type="dxa"/>
            <w:vAlign w:val="center"/>
          </w:tcPr>
          <w:p w14:paraId="2C211385">
            <w:pPr>
              <w:pStyle w:val="85"/>
              <w:ind w:left="0"/>
              <w:rPr>
                <w:bCs/>
              </w:rPr>
            </w:pPr>
            <w:r>
              <w:rPr>
                <w:bCs/>
              </w:rPr>
              <w:t>Модель:</w:t>
            </w:r>
          </w:p>
        </w:tc>
        <w:tc>
          <w:tcPr>
            <w:tcW w:w="1561" w:type="dxa"/>
            <w:vAlign w:val="center"/>
          </w:tcPr>
          <w:p w14:paraId="2A2FFFD0">
            <w:pPr>
              <w:pStyle w:val="85"/>
              <w:ind w:left="0"/>
              <w:rPr>
                <w:lang w:val="en-US"/>
              </w:rPr>
            </w:pPr>
            <w:r>
              <w:t>MES2424_</w:t>
            </w:r>
            <w:r>
              <w:rPr>
                <w:lang w:val="en-US"/>
              </w:rPr>
              <w:t>AC</w:t>
            </w:r>
          </w:p>
        </w:tc>
      </w:tr>
      <w:tr w14:paraId="4CBE8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37B035B8">
            <w:pPr>
              <w:pStyle w:val="85"/>
              <w:ind w:left="0"/>
              <w:rPr>
                <w:bCs/>
              </w:rPr>
            </w:pPr>
          </w:p>
        </w:tc>
        <w:tc>
          <w:tcPr>
            <w:tcW w:w="5966" w:type="dxa"/>
            <w:vAlign w:val="center"/>
          </w:tcPr>
          <w:p w14:paraId="262F51FF">
            <w:pPr>
              <w:pStyle w:val="85"/>
              <w:ind w:left="0"/>
              <w:rPr>
                <w:bCs/>
              </w:rPr>
            </w:pPr>
            <w:r>
              <w:rPr>
                <w:bCs/>
              </w:rPr>
              <w:t>ЕРРРП (ТОРП):</w:t>
            </w:r>
          </w:p>
        </w:tc>
        <w:tc>
          <w:tcPr>
            <w:tcW w:w="1561" w:type="dxa"/>
            <w:vAlign w:val="center"/>
          </w:tcPr>
          <w:p w14:paraId="0DF881AF">
            <w:pPr>
              <w:pStyle w:val="85"/>
              <w:ind w:left="0"/>
            </w:pPr>
            <w:r>
              <w:t>ТКО-476/20</w:t>
            </w:r>
          </w:p>
        </w:tc>
      </w:tr>
      <w:tr w14:paraId="6879C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67F05171">
            <w:pPr>
              <w:pStyle w:val="85"/>
              <w:ind w:left="0"/>
              <w:rPr>
                <w:bCs/>
              </w:rPr>
            </w:pPr>
          </w:p>
        </w:tc>
        <w:tc>
          <w:tcPr>
            <w:tcW w:w="5966" w:type="dxa"/>
            <w:vAlign w:val="center"/>
          </w:tcPr>
          <w:p w14:paraId="37F9DA50">
            <w:pPr>
              <w:pStyle w:val="85"/>
              <w:ind w:left="0"/>
              <w:rPr>
                <w:bCs/>
              </w:rPr>
            </w:pPr>
            <w:r>
              <w:rPr>
                <w:bCs/>
              </w:rPr>
              <w:t>Пропускная способнос</w:t>
            </w:r>
            <w:r>
              <w:rPr>
                <w:bCs/>
                <w:lang w:val="en-US"/>
              </w:rPr>
              <w:t>ть</w:t>
            </w:r>
            <w:r>
              <w:rPr>
                <w:bCs/>
              </w:rPr>
              <w:t>:</w:t>
            </w:r>
          </w:p>
        </w:tc>
        <w:tc>
          <w:tcPr>
            <w:tcW w:w="1561" w:type="dxa"/>
            <w:vAlign w:val="center"/>
          </w:tcPr>
          <w:p w14:paraId="789FBA6B">
            <w:pPr>
              <w:pStyle w:val="85"/>
              <w:ind w:left="0"/>
            </w:pPr>
            <w:r>
              <w:t>128 Гбит/с</w:t>
            </w:r>
          </w:p>
        </w:tc>
      </w:tr>
      <w:tr w14:paraId="5783D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4C4F82FE">
            <w:pPr>
              <w:pStyle w:val="85"/>
              <w:ind w:left="0"/>
              <w:rPr>
                <w:bCs/>
              </w:rPr>
            </w:pPr>
          </w:p>
        </w:tc>
        <w:tc>
          <w:tcPr>
            <w:tcW w:w="5966" w:type="dxa"/>
            <w:vAlign w:val="center"/>
          </w:tcPr>
          <w:p w14:paraId="6DC5003F">
            <w:pPr>
              <w:pStyle w:val="85"/>
              <w:ind w:left="0"/>
              <w:rPr>
                <w:bCs/>
              </w:rPr>
            </w:pPr>
            <w:r>
              <w:rPr>
                <w:bCs/>
              </w:rPr>
              <w:t>Порты 100/1000BASE-T (RJ45):</w:t>
            </w:r>
          </w:p>
        </w:tc>
        <w:tc>
          <w:tcPr>
            <w:tcW w:w="1561" w:type="dxa"/>
            <w:vAlign w:val="center"/>
          </w:tcPr>
          <w:p w14:paraId="5C74D410">
            <w:pPr>
              <w:pStyle w:val="85"/>
              <w:ind w:left="0"/>
            </w:pPr>
            <w:r>
              <w:rPr>
                <w:lang w:val="en-US"/>
              </w:rPr>
              <w:t>2</w:t>
            </w:r>
            <w:r>
              <w:t>4 шт.</w:t>
            </w:r>
          </w:p>
        </w:tc>
      </w:tr>
      <w:tr w14:paraId="45320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5D031833">
            <w:pPr>
              <w:pStyle w:val="85"/>
              <w:ind w:left="0"/>
              <w:rPr>
                <w:bCs/>
              </w:rPr>
            </w:pPr>
          </w:p>
        </w:tc>
        <w:tc>
          <w:tcPr>
            <w:tcW w:w="5966" w:type="dxa"/>
            <w:vAlign w:val="center"/>
          </w:tcPr>
          <w:p w14:paraId="13605523">
            <w:pPr>
              <w:pStyle w:val="85"/>
              <w:ind w:left="0"/>
              <w:rPr>
                <w:bCs/>
              </w:rPr>
            </w:pPr>
            <w:r>
              <w:rPr>
                <w:bCs/>
              </w:rPr>
              <w:t>Порты</w:t>
            </w:r>
            <w:r>
              <w:rPr>
                <w:bCs/>
                <w:lang w:val="en-US"/>
              </w:rPr>
              <w:t xml:space="preserve"> 10GBASE-R</w:t>
            </w:r>
            <w:r>
              <w:rPr>
                <w:bCs/>
              </w:rPr>
              <w:t xml:space="preserve"> </w:t>
            </w:r>
            <w:r>
              <w:rPr>
                <w:bCs/>
                <w:lang w:val="en-US"/>
              </w:rPr>
              <w:t>(SFP+)</w:t>
            </w:r>
            <w:r>
              <w:rPr>
                <w:bCs/>
              </w:rPr>
              <w:t>:</w:t>
            </w:r>
          </w:p>
        </w:tc>
        <w:tc>
          <w:tcPr>
            <w:tcW w:w="1561" w:type="dxa"/>
            <w:vAlign w:val="center"/>
          </w:tcPr>
          <w:p w14:paraId="1C3A6FCA">
            <w:pPr>
              <w:pStyle w:val="85"/>
              <w:ind w:left="0"/>
            </w:pPr>
            <w:r>
              <w:t>4 шт.</w:t>
            </w:r>
          </w:p>
        </w:tc>
      </w:tr>
      <w:tr w14:paraId="63398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652471FE">
            <w:pPr>
              <w:pStyle w:val="85"/>
              <w:ind w:left="0"/>
              <w:rPr>
                <w:bCs/>
                <w:lang w:val="en-US"/>
              </w:rPr>
            </w:pPr>
          </w:p>
        </w:tc>
        <w:tc>
          <w:tcPr>
            <w:tcW w:w="5966" w:type="dxa"/>
            <w:vAlign w:val="center"/>
          </w:tcPr>
          <w:p w14:paraId="359A8BD0">
            <w:pPr>
              <w:pStyle w:val="85"/>
              <w:ind w:left="0"/>
              <w:rPr>
                <w:bCs/>
              </w:rPr>
            </w:pPr>
            <w:r>
              <w:rPr>
                <w:bCs/>
              </w:rPr>
              <w:t>Питание:</w:t>
            </w:r>
          </w:p>
        </w:tc>
        <w:tc>
          <w:tcPr>
            <w:tcW w:w="1561" w:type="dxa"/>
            <w:vAlign w:val="center"/>
          </w:tcPr>
          <w:p w14:paraId="42391071">
            <w:pPr>
              <w:pStyle w:val="85"/>
              <w:ind w:left="0"/>
            </w:pPr>
            <w:r>
              <w:t>220В, 50Гц</w:t>
            </w:r>
          </w:p>
        </w:tc>
      </w:tr>
      <w:tr w14:paraId="6E357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5722886D">
            <w:pPr>
              <w:pStyle w:val="85"/>
              <w:ind w:left="0"/>
              <w:rPr>
                <w:bCs/>
                <w:lang w:val="en-US"/>
              </w:rPr>
            </w:pPr>
          </w:p>
        </w:tc>
        <w:tc>
          <w:tcPr>
            <w:tcW w:w="7527" w:type="dxa"/>
            <w:gridSpan w:val="2"/>
            <w:vAlign w:val="center"/>
          </w:tcPr>
          <w:p w14:paraId="35214A2D">
            <w:pPr>
              <w:pStyle w:val="85"/>
              <w:spacing w:before="40" w:after="40"/>
              <w:ind w:left="42" w:hanging="42"/>
            </w:pPr>
            <w:r>
              <w:t xml:space="preserve">- комплект креплений в стойку 19" </w:t>
            </w:r>
            <w:r>
              <w:rPr>
                <w:lang w:val="en-US"/>
              </w:rPr>
              <w:t>RM</w:t>
            </w:r>
          </w:p>
          <w:p w14:paraId="17BA2530">
            <w:pPr>
              <w:pStyle w:val="85"/>
              <w:spacing w:before="40" w:after="80"/>
              <w:ind w:left="40" w:hanging="40"/>
            </w:pPr>
            <w:r>
              <w:t xml:space="preserve">- кабель питания </w:t>
            </w:r>
            <w:r>
              <w:rPr>
                <w:lang w:val="en-US"/>
              </w:rPr>
              <w:t>IEC</w:t>
            </w:r>
            <w:r>
              <w:t xml:space="preserve"> 60320 </w:t>
            </w:r>
            <w:r>
              <w:rPr>
                <w:lang w:val="en-US"/>
              </w:rPr>
              <w:t>C</w:t>
            </w:r>
            <w:r>
              <w:t>13</w:t>
            </w:r>
          </w:p>
        </w:tc>
      </w:tr>
      <w:tr w14:paraId="40298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71B52345">
            <w:pPr>
              <w:pStyle w:val="85"/>
              <w:ind w:left="0"/>
              <w:rPr>
                <w:bCs/>
              </w:rPr>
            </w:pPr>
          </w:p>
        </w:tc>
        <w:tc>
          <w:tcPr>
            <w:tcW w:w="7527" w:type="dxa"/>
            <w:gridSpan w:val="2"/>
            <w:vAlign w:val="center"/>
          </w:tcPr>
          <w:p w14:paraId="0CA3EA63">
            <w:pPr>
              <w:pStyle w:val="85"/>
              <w:spacing w:before="40" w:after="40"/>
              <w:ind w:left="42" w:hanging="42"/>
              <w:rPr>
                <w:lang w:val="en-US"/>
              </w:rPr>
            </w:pPr>
            <w:r>
              <w:rPr>
                <w:lang w:val="en-US"/>
              </w:rPr>
              <w:t>- кабел</w:t>
            </w:r>
            <w:r>
              <w:t>ь</w:t>
            </w:r>
            <w:r>
              <w:rPr>
                <w:lang w:val="en-US"/>
              </w:rPr>
              <w:t xml:space="preserve"> SFP+ DAC (Direct attach cable), 10G, 1m</w:t>
            </w:r>
          </w:p>
        </w:tc>
      </w:tr>
      <w:tr w14:paraId="21EEC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75477EF7">
            <w:pPr>
              <w:pStyle w:val="85"/>
              <w:ind w:left="0"/>
              <w:rPr>
                <w:bCs/>
                <w:lang w:val="en-US"/>
              </w:rPr>
            </w:pPr>
          </w:p>
        </w:tc>
        <w:tc>
          <w:tcPr>
            <w:tcW w:w="7527" w:type="dxa"/>
            <w:gridSpan w:val="2"/>
            <w:vAlign w:val="center"/>
          </w:tcPr>
          <w:p w14:paraId="581AD8A0">
            <w:pPr>
              <w:pStyle w:val="85"/>
              <w:spacing w:before="40" w:after="40"/>
              <w:ind w:left="42" w:hanging="42"/>
            </w:pPr>
            <w:r>
              <w:rPr>
                <w:bCs/>
              </w:rPr>
              <w:t>Гарантийный срок:</w:t>
            </w:r>
            <w:r>
              <w:t xml:space="preserve"> 36 месяцев</w:t>
            </w:r>
          </w:p>
        </w:tc>
      </w:tr>
      <w:tr w14:paraId="1415C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restart"/>
            <w:vAlign w:val="center"/>
          </w:tcPr>
          <w:p w14:paraId="6D5F92C1">
            <w:pPr>
              <w:pStyle w:val="85"/>
              <w:ind w:left="0"/>
              <w:rPr>
                <w:bCs/>
              </w:rPr>
            </w:pPr>
            <w:r>
              <w:t>MES2448B</w:t>
            </w:r>
          </w:p>
        </w:tc>
        <w:tc>
          <w:tcPr>
            <w:tcW w:w="5966" w:type="dxa"/>
            <w:vAlign w:val="center"/>
          </w:tcPr>
          <w:p w14:paraId="55D6EC61">
            <w:pPr>
              <w:pStyle w:val="85"/>
              <w:ind w:left="0"/>
              <w:rPr>
                <w:bCs/>
              </w:rPr>
            </w:pPr>
            <w:r>
              <w:rPr>
                <w:bCs/>
              </w:rPr>
              <w:t>Производитель:</w:t>
            </w:r>
          </w:p>
        </w:tc>
        <w:tc>
          <w:tcPr>
            <w:tcW w:w="1561" w:type="dxa"/>
            <w:vAlign w:val="center"/>
          </w:tcPr>
          <w:p w14:paraId="7691D945">
            <w:pPr>
              <w:pStyle w:val="85"/>
              <w:ind w:left="0"/>
            </w:pPr>
            <w:r>
              <w:rPr>
                <w:lang w:val="en-US"/>
              </w:rPr>
              <w:t>Eltex</w:t>
            </w:r>
            <w:r>
              <w:t>*</w:t>
            </w:r>
          </w:p>
        </w:tc>
      </w:tr>
      <w:tr w14:paraId="33AE6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12B6E89E">
            <w:pPr>
              <w:pStyle w:val="85"/>
              <w:ind w:left="0"/>
              <w:rPr>
                <w:bCs/>
              </w:rPr>
            </w:pPr>
          </w:p>
        </w:tc>
        <w:tc>
          <w:tcPr>
            <w:tcW w:w="5966" w:type="dxa"/>
            <w:vAlign w:val="center"/>
          </w:tcPr>
          <w:p w14:paraId="3D81EF90">
            <w:pPr>
              <w:pStyle w:val="85"/>
              <w:ind w:left="0"/>
              <w:rPr>
                <w:bCs/>
              </w:rPr>
            </w:pPr>
            <w:r>
              <w:rPr>
                <w:bCs/>
              </w:rPr>
              <w:t>Модель:</w:t>
            </w:r>
          </w:p>
        </w:tc>
        <w:tc>
          <w:tcPr>
            <w:tcW w:w="1561" w:type="dxa"/>
            <w:vAlign w:val="center"/>
          </w:tcPr>
          <w:p w14:paraId="2B92C511">
            <w:pPr>
              <w:pStyle w:val="85"/>
              <w:ind w:left="0"/>
            </w:pPr>
            <w:r>
              <w:t>MES2448B</w:t>
            </w:r>
          </w:p>
        </w:tc>
      </w:tr>
      <w:tr w14:paraId="43CF6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29432739">
            <w:pPr>
              <w:pStyle w:val="85"/>
              <w:ind w:left="0"/>
              <w:rPr>
                <w:bCs/>
              </w:rPr>
            </w:pPr>
          </w:p>
        </w:tc>
        <w:tc>
          <w:tcPr>
            <w:tcW w:w="5966" w:type="dxa"/>
            <w:vAlign w:val="center"/>
          </w:tcPr>
          <w:p w14:paraId="7E52FB59">
            <w:pPr>
              <w:pStyle w:val="85"/>
              <w:ind w:left="0"/>
              <w:rPr>
                <w:bCs/>
              </w:rPr>
            </w:pPr>
            <w:r>
              <w:rPr>
                <w:bCs/>
              </w:rPr>
              <w:t>ЕРРРП (ТОРП):</w:t>
            </w:r>
          </w:p>
        </w:tc>
        <w:tc>
          <w:tcPr>
            <w:tcW w:w="1561" w:type="dxa"/>
            <w:vAlign w:val="center"/>
          </w:tcPr>
          <w:p w14:paraId="7967E4E6">
            <w:pPr>
              <w:pStyle w:val="85"/>
              <w:ind w:left="0"/>
            </w:pPr>
            <w:r>
              <w:t>ТКО-478/20</w:t>
            </w:r>
          </w:p>
        </w:tc>
      </w:tr>
      <w:tr w14:paraId="4D167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2CAC3129">
            <w:pPr>
              <w:pStyle w:val="85"/>
              <w:ind w:left="0"/>
              <w:rPr>
                <w:bCs/>
              </w:rPr>
            </w:pPr>
          </w:p>
        </w:tc>
        <w:tc>
          <w:tcPr>
            <w:tcW w:w="5966" w:type="dxa"/>
            <w:vAlign w:val="center"/>
          </w:tcPr>
          <w:p w14:paraId="70B5E658">
            <w:pPr>
              <w:pStyle w:val="85"/>
              <w:ind w:left="0"/>
              <w:rPr>
                <w:bCs/>
              </w:rPr>
            </w:pPr>
            <w:r>
              <w:rPr>
                <w:bCs/>
              </w:rPr>
              <w:t>Пропускная способнос</w:t>
            </w:r>
            <w:r>
              <w:rPr>
                <w:bCs/>
                <w:lang w:val="en-US"/>
              </w:rPr>
              <w:t>ть</w:t>
            </w:r>
            <w:r>
              <w:rPr>
                <w:bCs/>
              </w:rPr>
              <w:t>:</w:t>
            </w:r>
          </w:p>
        </w:tc>
        <w:tc>
          <w:tcPr>
            <w:tcW w:w="1561" w:type="dxa"/>
            <w:vAlign w:val="center"/>
          </w:tcPr>
          <w:p w14:paraId="1385B622">
            <w:pPr>
              <w:pStyle w:val="85"/>
              <w:ind w:left="0"/>
            </w:pPr>
            <w:r>
              <w:t>176 Гбит/с</w:t>
            </w:r>
          </w:p>
        </w:tc>
      </w:tr>
      <w:tr w14:paraId="31275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4EC053BC">
            <w:pPr>
              <w:pStyle w:val="85"/>
              <w:ind w:left="0"/>
              <w:rPr>
                <w:bCs/>
              </w:rPr>
            </w:pPr>
          </w:p>
        </w:tc>
        <w:tc>
          <w:tcPr>
            <w:tcW w:w="5966" w:type="dxa"/>
            <w:vAlign w:val="center"/>
          </w:tcPr>
          <w:p w14:paraId="693717DB">
            <w:pPr>
              <w:pStyle w:val="85"/>
              <w:ind w:left="0"/>
              <w:rPr>
                <w:bCs/>
              </w:rPr>
            </w:pPr>
            <w:r>
              <w:rPr>
                <w:bCs/>
              </w:rPr>
              <w:t>Порты 100/1000BASE-T (RJ45):</w:t>
            </w:r>
          </w:p>
        </w:tc>
        <w:tc>
          <w:tcPr>
            <w:tcW w:w="1561" w:type="dxa"/>
            <w:vAlign w:val="center"/>
          </w:tcPr>
          <w:p w14:paraId="506D965D">
            <w:pPr>
              <w:pStyle w:val="85"/>
              <w:ind w:left="0"/>
            </w:pPr>
            <w:r>
              <w:t>48 шт.</w:t>
            </w:r>
          </w:p>
        </w:tc>
      </w:tr>
      <w:tr w14:paraId="1D8E5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40B0BE67">
            <w:pPr>
              <w:pStyle w:val="85"/>
              <w:ind w:left="0"/>
              <w:rPr>
                <w:bCs/>
              </w:rPr>
            </w:pPr>
          </w:p>
        </w:tc>
        <w:tc>
          <w:tcPr>
            <w:tcW w:w="5966" w:type="dxa"/>
            <w:vAlign w:val="center"/>
          </w:tcPr>
          <w:p w14:paraId="47758232">
            <w:pPr>
              <w:pStyle w:val="85"/>
              <w:ind w:left="0"/>
              <w:rPr>
                <w:bCs/>
              </w:rPr>
            </w:pPr>
            <w:r>
              <w:rPr>
                <w:bCs/>
              </w:rPr>
              <w:t>Порты</w:t>
            </w:r>
            <w:r>
              <w:rPr>
                <w:bCs/>
                <w:lang w:val="en-US"/>
              </w:rPr>
              <w:t xml:space="preserve"> 10GBASE-R</w:t>
            </w:r>
            <w:r>
              <w:rPr>
                <w:bCs/>
              </w:rPr>
              <w:t xml:space="preserve"> </w:t>
            </w:r>
            <w:r>
              <w:rPr>
                <w:bCs/>
                <w:lang w:val="en-US"/>
              </w:rPr>
              <w:t>(SFP+)</w:t>
            </w:r>
            <w:r>
              <w:rPr>
                <w:bCs/>
              </w:rPr>
              <w:t>:</w:t>
            </w:r>
          </w:p>
        </w:tc>
        <w:tc>
          <w:tcPr>
            <w:tcW w:w="1561" w:type="dxa"/>
            <w:vAlign w:val="center"/>
          </w:tcPr>
          <w:p w14:paraId="0E7CD67D">
            <w:pPr>
              <w:pStyle w:val="85"/>
              <w:ind w:left="0"/>
            </w:pPr>
            <w:r>
              <w:t>4 шт.</w:t>
            </w:r>
          </w:p>
        </w:tc>
      </w:tr>
      <w:tr w14:paraId="34D0D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32576DA4">
            <w:pPr>
              <w:pStyle w:val="85"/>
              <w:ind w:left="0"/>
              <w:rPr>
                <w:bCs/>
                <w:lang w:val="en-US"/>
              </w:rPr>
            </w:pPr>
          </w:p>
        </w:tc>
        <w:tc>
          <w:tcPr>
            <w:tcW w:w="5966" w:type="dxa"/>
            <w:vAlign w:val="center"/>
          </w:tcPr>
          <w:p w14:paraId="18BF42FE">
            <w:pPr>
              <w:pStyle w:val="85"/>
              <w:ind w:left="0"/>
              <w:rPr>
                <w:bCs/>
              </w:rPr>
            </w:pPr>
            <w:r>
              <w:rPr>
                <w:bCs/>
              </w:rPr>
              <w:t>Питание:</w:t>
            </w:r>
          </w:p>
        </w:tc>
        <w:tc>
          <w:tcPr>
            <w:tcW w:w="1561" w:type="dxa"/>
            <w:vAlign w:val="center"/>
          </w:tcPr>
          <w:p w14:paraId="6B219094">
            <w:pPr>
              <w:pStyle w:val="85"/>
              <w:ind w:left="0"/>
            </w:pPr>
            <w:r>
              <w:t>220В, 50Гц</w:t>
            </w:r>
          </w:p>
        </w:tc>
      </w:tr>
      <w:tr w14:paraId="4AAE3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02280799">
            <w:pPr>
              <w:pStyle w:val="85"/>
              <w:ind w:left="0"/>
              <w:rPr>
                <w:bCs/>
                <w:lang w:val="en-US"/>
              </w:rPr>
            </w:pPr>
          </w:p>
        </w:tc>
        <w:tc>
          <w:tcPr>
            <w:tcW w:w="7527" w:type="dxa"/>
            <w:gridSpan w:val="2"/>
            <w:vAlign w:val="center"/>
          </w:tcPr>
          <w:p w14:paraId="1DFCDA3B">
            <w:pPr>
              <w:pStyle w:val="85"/>
              <w:spacing w:before="40" w:after="40"/>
              <w:ind w:left="42" w:hanging="42"/>
            </w:pPr>
            <w:r>
              <w:t xml:space="preserve">- комплект креплений в стойку 19" </w:t>
            </w:r>
            <w:r>
              <w:rPr>
                <w:lang w:val="en-US"/>
              </w:rPr>
              <w:t>RM</w:t>
            </w:r>
          </w:p>
          <w:p w14:paraId="44444508">
            <w:pPr>
              <w:pStyle w:val="85"/>
              <w:spacing w:before="40" w:after="80"/>
              <w:ind w:left="40" w:hanging="40"/>
            </w:pPr>
            <w:r>
              <w:t xml:space="preserve">- кабель питания </w:t>
            </w:r>
            <w:r>
              <w:rPr>
                <w:lang w:val="en-US"/>
              </w:rPr>
              <w:t>IEC</w:t>
            </w:r>
            <w:r>
              <w:t xml:space="preserve"> 60320 </w:t>
            </w:r>
            <w:r>
              <w:rPr>
                <w:lang w:val="en-US"/>
              </w:rPr>
              <w:t>C</w:t>
            </w:r>
            <w:r>
              <w:t>13</w:t>
            </w:r>
          </w:p>
        </w:tc>
      </w:tr>
      <w:tr w14:paraId="648CC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337665E5">
            <w:pPr>
              <w:pStyle w:val="85"/>
              <w:ind w:left="0"/>
              <w:rPr>
                <w:bCs/>
              </w:rPr>
            </w:pPr>
          </w:p>
        </w:tc>
        <w:tc>
          <w:tcPr>
            <w:tcW w:w="7527" w:type="dxa"/>
            <w:gridSpan w:val="2"/>
            <w:vAlign w:val="center"/>
          </w:tcPr>
          <w:p w14:paraId="03D50069">
            <w:pPr>
              <w:pStyle w:val="85"/>
              <w:spacing w:before="40" w:after="80"/>
              <w:ind w:left="40" w:hanging="40"/>
            </w:pPr>
            <w:r>
              <w:t xml:space="preserve">- трансиверы </w:t>
            </w:r>
            <w:r>
              <w:rPr>
                <w:lang w:val="en-US"/>
              </w:rPr>
              <w:t>FH</w:t>
            </w:r>
            <w:r>
              <w:t>-</w:t>
            </w:r>
            <w:r>
              <w:rPr>
                <w:lang w:val="en-US"/>
              </w:rPr>
              <w:t>SPB</w:t>
            </w:r>
            <w:r>
              <w:t>311</w:t>
            </w:r>
            <w:r>
              <w:rPr>
                <w:lang w:val="en-US"/>
              </w:rPr>
              <w:t>TCDL</w:t>
            </w:r>
            <w:r>
              <w:t xml:space="preserve">3 </w:t>
            </w:r>
            <w:r>
              <w:rPr>
                <w:lang w:val="en-US"/>
              </w:rPr>
              <w:t>SFP</w:t>
            </w:r>
            <w:r>
              <w:t>+ 10</w:t>
            </w:r>
            <w:r>
              <w:rPr>
                <w:lang w:val="en-US"/>
              </w:rPr>
              <w:t>GE</w:t>
            </w:r>
            <w:r>
              <w:t xml:space="preserve">, 3 км, </w:t>
            </w:r>
            <w:r>
              <w:rPr>
                <w:lang w:val="en-US"/>
              </w:rPr>
              <w:t>SM</w:t>
            </w:r>
            <w:r>
              <w:t xml:space="preserve">, 1 волокно, комплект (2 шт.) </w:t>
            </w:r>
            <w:r>
              <w:rPr>
                <w:lang w:val="en-US"/>
              </w:rPr>
              <w:t>TX</w:t>
            </w:r>
            <w:r>
              <w:t>/</w:t>
            </w:r>
            <w:r>
              <w:rPr>
                <w:lang w:val="en-US"/>
              </w:rPr>
              <w:t>RX</w:t>
            </w:r>
            <w:r>
              <w:t xml:space="preserve"> 1310/1310 </w:t>
            </w:r>
            <w:r>
              <w:rPr>
                <w:lang w:val="en-US"/>
              </w:rPr>
              <w:t>LC</w:t>
            </w:r>
            <w:r>
              <w:t xml:space="preserve">, </w:t>
            </w:r>
            <w:r>
              <w:rPr>
                <w:lang w:val="en-US"/>
              </w:rPr>
              <w:t>DDM</w:t>
            </w:r>
          </w:p>
        </w:tc>
      </w:tr>
      <w:tr w14:paraId="7054B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4669E369">
            <w:pPr>
              <w:pStyle w:val="85"/>
              <w:ind w:left="0"/>
              <w:rPr>
                <w:bCs/>
              </w:rPr>
            </w:pPr>
          </w:p>
        </w:tc>
        <w:tc>
          <w:tcPr>
            <w:tcW w:w="7527" w:type="dxa"/>
            <w:gridSpan w:val="2"/>
            <w:vAlign w:val="center"/>
          </w:tcPr>
          <w:p w14:paraId="3F180C4C">
            <w:pPr>
              <w:pStyle w:val="85"/>
              <w:spacing w:before="40" w:after="40"/>
              <w:ind w:left="42" w:hanging="42"/>
            </w:pPr>
            <w:r>
              <w:rPr>
                <w:bCs/>
              </w:rPr>
              <w:t>Гарантийный срок:</w:t>
            </w:r>
            <w:r>
              <w:t xml:space="preserve"> 36 месяцев</w:t>
            </w:r>
          </w:p>
        </w:tc>
      </w:tr>
      <w:tr w14:paraId="154E4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restart"/>
            <w:vAlign w:val="center"/>
          </w:tcPr>
          <w:p w14:paraId="0752A7AF">
            <w:pPr>
              <w:pStyle w:val="85"/>
              <w:ind w:left="0"/>
              <w:rPr>
                <w:bCs/>
              </w:rPr>
            </w:pPr>
            <w:r>
              <w:rPr>
                <w:bCs/>
                <w:lang w:val="en-US"/>
              </w:rPr>
              <w:t>MES2424P</w:t>
            </w:r>
          </w:p>
        </w:tc>
        <w:tc>
          <w:tcPr>
            <w:tcW w:w="5966" w:type="dxa"/>
            <w:vAlign w:val="center"/>
          </w:tcPr>
          <w:p w14:paraId="3BA47644">
            <w:pPr>
              <w:pStyle w:val="85"/>
              <w:ind w:left="0"/>
              <w:rPr>
                <w:bCs/>
              </w:rPr>
            </w:pPr>
            <w:r>
              <w:rPr>
                <w:bCs/>
              </w:rPr>
              <w:t>Производитель:</w:t>
            </w:r>
          </w:p>
        </w:tc>
        <w:tc>
          <w:tcPr>
            <w:tcW w:w="1561" w:type="dxa"/>
            <w:vAlign w:val="center"/>
          </w:tcPr>
          <w:p w14:paraId="57EAFCBA">
            <w:pPr>
              <w:pStyle w:val="85"/>
              <w:ind w:left="0"/>
            </w:pPr>
            <w:r>
              <w:rPr>
                <w:lang w:val="en-US"/>
              </w:rPr>
              <w:t>Eltex</w:t>
            </w:r>
            <w:r>
              <w:t>*</w:t>
            </w:r>
          </w:p>
        </w:tc>
      </w:tr>
      <w:tr w14:paraId="33179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139CCC65">
            <w:pPr>
              <w:pStyle w:val="85"/>
              <w:ind w:left="0"/>
              <w:rPr>
                <w:bCs/>
              </w:rPr>
            </w:pPr>
          </w:p>
        </w:tc>
        <w:tc>
          <w:tcPr>
            <w:tcW w:w="5966" w:type="dxa"/>
            <w:vAlign w:val="center"/>
          </w:tcPr>
          <w:p w14:paraId="2489A4F3">
            <w:pPr>
              <w:pStyle w:val="85"/>
              <w:ind w:left="0"/>
              <w:rPr>
                <w:bCs/>
              </w:rPr>
            </w:pPr>
            <w:r>
              <w:rPr>
                <w:bCs/>
              </w:rPr>
              <w:t>Модель:</w:t>
            </w:r>
          </w:p>
        </w:tc>
        <w:tc>
          <w:tcPr>
            <w:tcW w:w="1561" w:type="dxa"/>
            <w:vAlign w:val="center"/>
          </w:tcPr>
          <w:p w14:paraId="3A38497F">
            <w:pPr>
              <w:pStyle w:val="85"/>
              <w:ind w:left="0"/>
            </w:pPr>
            <w:r>
              <w:t>MES2424P AC</w:t>
            </w:r>
          </w:p>
        </w:tc>
      </w:tr>
      <w:tr w14:paraId="202C2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74C14BA3">
            <w:pPr>
              <w:pStyle w:val="85"/>
              <w:ind w:left="0"/>
              <w:rPr>
                <w:bCs/>
              </w:rPr>
            </w:pPr>
          </w:p>
        </w:tc>
        <w:tc>
          <w:tcPr>
            <w:tcW w:w="5966" w:type="dxa"/>
            <w:vAlign w:val="center"/>
          </w:tcPr>
          <w:p w14:paraId="24624A27">
            <w:pPr>
              <w:pStyle w:val="85"/>
              <w:ind w:left="0"/>
              <w:rPr>
                <w:bCs/>
              </w:rPr>
            </w:pPr>
            <w:r>
              <w:rPr>
                <w:bCs/>
              </w:rPr>
              <w:t>ЕРРРП (ТОРП):</w:t>
            </w:r>
          </w:p>
        </w:tc>
        <w:tc>
          <w:tcPr>
            <w:tcW w:w="1561" w:type="dxa"/>
            <w:vAlign w:val="center"/>
          </w:tcPr>
          <w:p w14:paraId="7AC79C84">
            <w:pPr>
              <w:pStyle w:val="85"/>
              <w:ind w:left="0"/>
            </w:pPr>
            <w:r>
              <w:t>ТКО-704/21</w:t>
            </w:r>
          </w:p>
        </w:tc>
      </w:tr>
      <w:tr w14:paraId="594D5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4449EBEE">
            <w:pPr>
              <w:pStyle w:val="85"/>
              <w:ind w:left="0"/>
              <w:rPr>
                <w:bCs/>
              </w:rPr>
            </w:pPr>
          </w:p>
        </w:tc>
        <w:tc>
          <w:tcPr>
            <w:tcW w:w="5966" w:type="dxa"/>
            <w:vAlign w:val="center"/>
          </w:tcPr>
          <w:p w14:paraId="70B330C9">
            <w:pPr>
              <w:pStyle w:val="85"/>
              <w:ind w:left="0"/>
              <w:rPr>
                <w:bCs/>
              </w:rPr>
            </w:pPr>
            <w:r>
              <w:rPr>
                <w:bCs/>
              </w:rPr>
              <w:t>Пропускная способнос</w:t>
            </w:r>
            <w:r>
              <w:rPr>
                <w:bCs/>
                <w:lang w:val="en-US"/>
              </w:rPr>
              <w:t>ть</w:t>
            </w:r>
            <w:r>
              <w:rPr>
                <w:bCs/>
              </w:rPr>
              <w:t>:</w:t>
            </w:r>
          </w:p>
        </w:tc>
        <w:tc>
          <w:tcPr>
            <w:tcW w:w="1561" w:type="dxa"/>
            <w:vAlign w:val="center"/>
          </w:tcPr>
          <w:p w14:paraId="322E8936">
            <w:pPr>
              <w:pStyle w:val="85"/>
              <w:ind w:left="0"/>
            </w:pPr>
            <w:r>
              <w:t>128</w:t>
            </w:r>
            <w:r>
              <w:rPr>
                <w:lang w:val="en-US"/>
              </w:rPr>
              <w:t xml:space="preserve"> </w:t>
            </w:r>
            <w:r>
              <w:t>Гбит/с</w:t>
            </w:r>
          </w:p>
        </w:tc>
      </w:tr>
      <w:tr w14:paraId="22AA5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3DEEFC6A">
            <w:pPr>
              <w:pStyle w:val="85"/>
              <w:ind w:left="0"/>
              <w:rPr>
                <w:bCs/>
              </w:rPr>
            </w:pPr>
          </w:p>
        </w:tc>
        <w:tc>
          <w:tcPr>
            <w:tcW w:w="5966" w:type="dxa"/>
            <w:vAlign w:val="center"/>
          </w:tcPr>
          <w:p w14:paraId="01298BB6">
            <w:pPr>
              <w:pStyle w:val="85"/>
              <w:ind w:left="0"/>
              <w:rPr>
                <w:bCs/>
                <w:lang w:val="en-US"/>
              </w:rPr>
            </w:pPr>
            <w:r>
              <w:rPr>
                <w:bCs/>
              </w:rPr>
              <w:t>Порты</w:t>
            </w:r>
            <w:r>
              <w:rPr>
                <w:bCs/>
                <w:lang w:val="en-US"/>
              </w:rPr>
              <w:t xml:space="preserve"> 100/1000BASE-T (RJ45) </w:t>
            </w:r>
            <w:bookmarkStart w:id="87" w:name="_Hlk166278707"/>
            <w:r>
              <w:rPr>
                <w:bCs/>
                <w:lang w:val="en-US"/>
              </w:rPr>
              <w:t>PoE+</w:t>
            </w:r>
            <w:bookmarkEnd w:id="87"/>
            <w:r>
              <w:rPr>
                <w:bCs/>
                <w:lang w:val="en-US"/>
              </w:rPr>
              <w:t>:</w:t>
            </w:r>
          </w:p>
        </w:tc>
        <w:tc>
          <w:tcPr>
            <w:tcW w:w="1561" w:type="dxa"/>
            <w:vAlign w:val="center"/>
          </w:tcPr>
          <w:p w14:paraId="579495A6">
            <w:pPr>
              <w:pStyle w:val="85"/>
              <w:ind w:left="0"/>
            </w:pPr>
            <w:r>
              <w:t>24 шт.</w:t>
            </w:r>
          </w:p>
        </w:tc>
      </w:tr>
      <w:tr w14:paraId="10788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1F4BC958">
            <w:pPr>
              <w:pStyle w:val="85"/>
              <w:ind w:left="0"/>
              <w:rPr>
                <w:bCs/>
              </w:rPr>
            </w:pPr>
          </w:p>
        </w:tc>
        <w:tc>
          <w:tcPr>
            <w:tcW w:w="5966" w:type="dxa"/>
            <w:vAlign w:val="center"/>
          </w:tcPr>
          <w:p w14:paraId="0376515B">
            <w:pPr>
              <w:pStyle w:val="85"/>
              <w:ind w:left="0"/>
              <w:rPr>
                <w:bCs/>
              </w:rPr>
            </w:pPr>
            <w:r>
              <w:rPr>
                <w:bCs/>
              </w:rPr>
              <w:t>Порты</w:t>
            </w:r>
            <w:r>
              <w:rPr>
                <w:bCs/>
                <w:lang w:val="en-US"/>
              </w:rPr>
              <w:t xml:space="preserve"> 10GBASE-R</w:t>
            </w:r>
            <w:r>
              <w:rPr>
                <w:bCs/>
              </w:rPr>
              <w:t xml:space="preserve"> </w:t>
            </w:r>
            <w:r>
              <w:rPr>
                <w:bCs/>
                <w:lang w:val="en-US"/>
              </w:rPr>
              <w:t>(SFP+)</w:t>
            </w:r>
            <w:r>
              <w:rPr>
                <w:bCs/>
              </w:rPr>
              <w:t>:</w:t>
            </w:r>
          </w:p>
        </w:tc>
        <w:tc>
          <w:tcPr>
            <w:tcW w:w="1561" w:type="dxa"/>
            <w:vAlign w:val="center"/>
          </w:tcPr>
          <w:p w14:paraId="381E8C44">
            <w:pPr>
              <w:pStyle w:val="85"/>
              <w:ind w:left="0"/>
            </w:pPr>
            <w:r>
              <w:t>4 шт.</w:t>
            </w:r>
          </w:p>
        </w:tc>
      </w:tr>
      <w:tr w14:paraId="6144F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14338A40">
            <w:pPr>
              <w:pStyle w:val="85"/>
              <w:ind w:left="0"/>
              <w:rPr>
                <w:bCs/>
                <w:lang w:val="en-US"/>
              </w:rPr>
            </w:pPr>
          </w:p>
        </w:tc>
        <w:tc>
          <w:tcPr>
            <w:tcW w:w="5966" w:type="dxa"/>
            <w:vAlign w:val="center"/>
          </w:tcPr>
          <w:p w14:paraId="0569C5FC">
            <w:pPr>
              <w:pStyle w:val="85"/>
              <w:ind w:left="0"/>
              <w:rPr>
                <w:bCs/>
              </w:rPr>
            </w:pPr>
            <w:r>
              <w:rPr>
                <w:bCs/>
              </w:rPr>
              <w:t>Питание:</w:t>
            </w:r>
          </w:p>
        </w:tc>
        <w:tc>
          <w:tcPr>
            <w:tcW w:w="1561" w:type="dxa"/>
            <w:vAlign w:val="center"/>
          </w:tcPr>
          <w:p w14:paraId="5930A81B">
            <w:pPr>
              <w:pStyle w:val="85"/>
              <w:ind w:left="0"/>
            </w:pPr>
            <w:r>
              <w:t>220В, 50Гц</w:t>
            </w:r>
          </w:p>
        </w:tc>
      </w:tr>
      <w:tr w14:paraId="6E7CF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3074440A">
            <w:pPr>
              <w:pStyle w:val="85"/>
              <w:ind w:left="0"/>
              <w:rPr>
                <w:bCs/>
                <w:lang w:val="en-US"/>
              </w:rPr>
            </w:pPr>
          </w:p>
        </w:tc>
        <w:tc>
          <w:tcPr>
            <w:tcW w:w="7527" w:type="dxa"/>
            <w:gridSpan w:val="2"/>
            <w:vAlign w:val="center"/>
          </w:tcPr>
          <w:p w14:paraId="46E00C98">
            <w:pPr>
              <w:pStyle w:val="85"/>
              <w:spacing w:before="40"/>
              <w:ind w:left="40" w:hanging="40"/>
            </w:pPr>
            <w:r>
              <w:t xml:space="preserve">- комплект креплений в стойку 19" </w:t>
            </w:r>
            <w:r>
              <w:rPr>
                <w:lang w:val="en-US"/>
              </w:rPr>
              <w:t>RM</w:t>
            </w:r>
          </w:p>
          <w:p w14:paraId="014E6CA8">
            <w:pPr>
              <w:pStyle w:val="85"/>
              <w:spacing w:before="40" w:after="80"/>
              <w:ind w:left="40" w:hanging="40"/>
            </w:pPr>
            <w:r>
              <w:t xml:space="preserve">- кабель питания </w:t>
            </w:r>
            <w:r>
              <w:rPr>
                <w:lang w:val="en-US"/>
              </w:rPr>
              <w:t>IEC</w:t>
            </w:r>
            <w:r>
              <w:t xml:space="preserve"> 60320 </w:t>
            </w:r>
            <w:r>
              <w:rPr>
                <w:lang w:val="en-US"/>
              </w:rPr>
              <w:t>C</w:t>
            </w:r>
            <w:r>
              <w:t>13</w:t>
            </w:r>
          </w:p>
        </w:tc>
      </w:tr>
      <w:tr w14:paraId="4D62A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46694A74">
            <w:pPr>
              <w:pStyle w:val="85"/>
              <w:ind w:left="0"/>
              <w:rPr>
                <w:bCs/>
              </w:rPr>
            </w:pPr>
          </w:p>
        </w:tc>
        <w:tc>
          <w:tcPr>
            <w:tcW w:w="7527" w:type="dxa"/>
            <w:gridSpan w:val="2"/>
            <w:vAlign w:val="center"/>
          </w:tcPr>
          <w:p w14:paraId="677BD687">
            <w:pPr>
              <w:pStyle w:val="85"/>
              <w:spacing w:before="40" w:after="80"/>
              <w:ind w:left="40" w:hanging="40"/>
              <w:rPr>
                <w:lang w:val="en-US"/>
              </w:rPr>
            </w:pPr>
            <w:r>
              <w:rPr>
                <w:lang w:val="en-US"/>
              </w:rPr>
              <w:t>- кабель SFP+ DAC (Direct attach cable), 10G, 1m</w:t>
            </w:r>
          </w:p>
        </w:tc>
      </w:tr>
      <w:tr w14:paraId="0B42B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710A013B">
            <w:pPr>
              <w:pStyle w:val="85"/>
              <w:ind w:left="0"/>
              <w:rPr>
                <w:bCs/>
                <w:lang w:val="en-US"/>
              </w:rPr>
            </w:pPr>
          </w:p>
        </w:tc>
        <w:tc>
          <w:tcPr>
            <w:tcW w:w="7527" w:type="dxa"/>
            <w:gridSpan w:val="2"/>
            <w:vAlign w:val="center"/>
          </w:tcPr>
          <w:p w14:paraId="41F5100F">
            <w:pPr>
              <w:pStyle w:val="85"/>
              <w:spacing w:before="40" w:after="80"/>
              <w:ind w:left="40" w:hanging="40"/>
              <w:rPr>
                <w:lang w:val="en-US"/>
              </w:rPr>
            </w:pPr>
            <w:r>
              <w:rPr>
                <w:bCs/>
              </w:rPr>
              <w:t>Гарантийный срок:</w:t>
            </w:r>
            <w:r>
              <w:t xml:space="preserve"> 36 месяцев</w:t>
            </w:r>
          </w:p>
        </w:tc>
      </w:tr>
      <w:tr w14:paraId="1FE92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restart"/>
            <w:vAlign w:val="center"/>
          </w:tcPr>
          <w:p w14:paraId="431C1A40">
            <w:pPr>
              <w:pStyle w:val="85"/>
              <w:spacing w:after="120"/>
              <w:ind w:left="0"/>
              <w:rPr>
                <w:bCs/>
              </w:rPr>
            </w:pPr>
            <w:r>
              <w:rPr>
                <w:bCs/>
                <w:lang w:val="en-US"/>
              </w:rPr>
              <w:t>MES2448P</w:t>
            </w:r>
          </w:p>
        </w:tc>
        <w:tc>
          <w:tcPr>
            <w:tcW w:w="5966" w:type="dxa"/>
          </w:tcPr>
          <w:p w14:paraId="631DE2C6">
            <w:pPr>
              <w:pStyle w:val="85"/>
              <w:ind w:left="0"/>
              <w:rPr>
                <w:bCs/>
              </w:rPr>
            </w:pPr>
            <w:r>
              <w:rPr>
                <w:bCs/>
              </w:rPr>
              <w:t>Производитель:</w:t>
            </w:r>
          </w:p>
        </w:tc>
        <w:tc>
          <w:tcPr>
            <w:tcW w:w="1561" w:type="dxa"/>
          </w:tcPr>
          <w:p w14:paraId="7858D004">
            <w:pPr>
              <w:pStyle w:val="85"/>
              <w:ind w:left="0"/>
            </w:pPr>
            <w:r>
              <w:rPr>
                <w:lang w:val="en-US"/>
              </w:rPr>
              <w:t>Eltex</w:t>
            </w:r>
            <w:r>
              <w:t>*</w:t>
            </w:r>
          </w:p>
        </w:tc>
      </w:tr>
      <w:tr w14:paraId="6F2C0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tcPr>
          <w:p w14:paraId="68464140">
            <w:pPr>
              <w:pStyle w:val="85"/>
              <w:spacing w:after="120"/>
              <w:ind w:left="0"/>
              <w:rPr>
                <w:bCs/>
              </w:rPr>
            </w:pPr>
          </w:p>
        </w:tc>
        <w:tc>
          <w:tcPr>
            <w:tcW w:w="5966" w:type="dxa"/>
          </w:tcPr>
          <w:p w14:paraId="70DBD992">
            <w:pPr>
              <w:pStyle w:val="85"/>
              <w:ind w:left="0"/>
              <w:rPr>
                <w:bCs/>
              </w:rPr>
            </w:pPr>
            <w:r>
              <w:rPr>
                <w:bCs/>
              </w:rPr>
              <w:t>Модель:</w:t>
            </w:r>
          </w:p>
        </w:tc>
        <w:tc>
          <w:tcPr>
            <w:tcW w:w="1561" w:type="dxa"/>
          </w:tcPr>
          <w:p w14:paraId="4BF5D1C9">
            <w:pPr>
              <w:pStyle w:val="85"/>
              <w:ind w:left="0"/>
            </w:pPr>
            <w:r>
              <w:t>MES2448P</w:t>
            </w:r>
          </w:p>
        </w:tc>
      </w:tr>
      <w:tr w14:paraId="19274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tcPr>
          <w:p w14:paraId="35D8463C">
            <w:pPr>
              <w:pStyle w:val="85"/>
              <w:spacing w:after="120"/>
              <w:ind w:left="0"/>
              <w:rPr>
                <w:bCs/>
              </w:rPr>
            </w:pPr>
          </w:p>
        </w:tc>
        <w:tc>
          <w:tcPr>
            <w:tcW w:w="5966" w:type="dxa"/>
          </w:tcPr>
          <w:p w14:paraId="37086267">
            <w:pPr>
              <w:pStyle w:val="85"/>
              <w:ind w:left="0"/>
              <w:rPr>
                <w:bCs/>
              </w:rPr>
            </w:pPr>
            <w:r>
              <w:rPr>
                <w:bCs/>
              </w:rPr>
              <w:t>ЕРРРП (ТОРП):</w:t>
            </w:r>
          </w:p>
        </w:tc>
        <w:tc>
          <w:tcPr>
            <w:tcW w:w="1561" w:type="dxa"/>
          </w:tcPr>
          <w:p w14:paraId="6F1F5ABC">
            <w:pPr>
              <w:pStyle w:val="85"/>
              <w:ind w:left="0"/>
            </w:pPr>
            <w:r>
              <w:t>ТКО-767/22</w:t>
            </w:r>
          </w:p>
        </w:tc>
      </w:tr>
      <w:tr w14:paraId="1D309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tcPr>
          <w:p w14:paraId="5D828A8E">
            <w:pPr>
              <w:pStyle w:val="85"/>
              <w:spacing w:after="120"/>
              <w:ind w:left="0"/>
              <w:rPr>
                <w:bCs/>
              </w:rPr>
            </w:pPr>
          </w:p>
        </w:tc>
        <w:tc>
          <w:tcPr>
            <w:tcW w:w="5966" w:type="dxa"/>
          </w:tcPr>
          <w:p w14:paraId="15D70AB6">
            <w:pPr>
              <w:pStyle w:val="85"/>
              <w:ind w:left="0"/>
              <w:rPr>
                <w:bCs/>
              </w:rPr>
            </w:pPr>
            <w:r>
              <w:rPr>
                <w:bCs/>
              </w:rPr>
              <w:t>Пропускная способнос</w:t>
            </w:r>
            <w:r>
              <w:rPr>
                <w:bCs/>
                <w:lang w:val="en-US"/>
              </w:rPr>
              <w:t>ть</w:t>
            </w:r>
            <w:r>
              <w:rPr>
                <w:bCs/>
              </w:rPr>
              <w:t>:</w:t>
            </w:r>
          </w:p>
        </w:tc>
        <w:tc>
          <w:tcPr>
            <w:tcW w:w="1561" w:type="dxa"/>
          </w:tcPr>
          <w:p w14:paraId="41DD4DE3">
            <w:pPr>
              <w:pStyle w:val="85"/>
              <w:ind w:left="0"/>
            </w:pPr>
            <w:r>
              <w:t>176</w:t>
            </w:r>
            <w:r>
              <w:rPr>
                <w:lang w:val="en-US"/>
              </w:rPr>
              <w:t xml:space="preserve"> </w:t>
            </w:r>
            <w:r>
              <w:t>Гбит/с</w:t>
            </w:r>
          </w:p>
        </w:tc>
      </w:tr>
      <w:tr w14:paraId="5AAE9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tcPr>
          <w:p w14:paraId="488FCDE0">
            <w:pPr>
              <w:pStyle w:val="85"/>
              <w:spacing w:after="120"/>
              <w:ind w:left="0"/>
              <w:rPr>
                <w:bCs/>
              </w:rPr>
            </w:pPr>
          </w:p>
        </w:tc>
        <w:tc>
          <w:tcPr>
            <w:tcW w:w="5966" w:type="dxa"/>
          </w:tcPr>
          <w:p w14:paraId="585707C7">
            <w:pPr>
              <w:pStyle w:val="85"/>
              <w:ind w:left="0"/>
              <w:rPr>
                <w:bCs/>
                <w:lang w:val="en-US"/>
              </w:rPr>
            </w:pPr>
            <w:r>
              <w:rPr>
                <w:bCs/>
              </w:rPr>
              <w:t>Порты</w:t>
            </w:r>
            <w:r>
              <w:rPr>
                <w:bCs/>
                <w:lang w:val="en-US"/>
              </w:rPr>
              <w:t xml:space="preserve"> 100/1000BASE-T (RJ-45) PoE+:</w:t>
            </w:r>
          </w:p>
        </w:tc>
        <w:tc>
          <w:tcPr>
            <w:tcW w:w="1561" w:type="dxa"/>
          </w:tcPr>
          <w:p w14:paraId="266819DB">
            <w:pPr>
              <w:pStyle w:val="85"/>
              <w:ind w:left="0"/>
            </w:pPr>
            <w:r>
              <w:t>4</w:t>
            </w:r>
            <w:r>
              <w:rPr>
                <w:lang w:val="en-US"/>
              </w:rPr>
              <w:t>8</w:t>
            </w:r>
            <w:r>
              <w:t xml:space="preserve"> шт.</w:t>
            </w:r>
          </w:p>
        </w:tc>
      </w:tr>
      <w:tr w14:paraId="52BC0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tcPr>
          <w:p w14:paraId="55ED29BA">
            <w:pPr>
              <w:pStyle w:val="85"/>
              <w:spacing w:after="120"/>
              <w:ind w:left="0"/>
              <w:rPr>
                <w:bCs/>
              </w:rPr>
            </w:pPr>
          </w:p>
        </w:tc>
        <w:tc>
          <w:tcPr>
            <w:tcW w:w="5966" w:type="dxa"/>
          </w:tcPr>
          <w:p w14:paraId="69A9FC86">
            <w:pPr>
              <w:pStyle w:val="85"/>
              <w:ind w:left="0"/>
              <w:rPr>
                <w:bCs/>
              </w:rPr>
            </w:pPr>
            <w:r>
              <w:rPr>
                <w:bCs/>
              </w:rPr>
              <w:t>Порты</w:t>
            </w:r>
            <w:r>
              <w:rPr>
                <w:bCs/>
                <w:lang w:val="en-US"/>
              </w:rPr>
              <w:t xml:space="preserve"> 10GBASE-R</w:t>
            </w:r>
            <w:r>
              <w:rPr>
                <w:bCs/>
              </w:rPr>
              <w:t xml:space="preserve"> </w:t>
            </w:r>
            <w:r>
              <w:rPr>
                <w:bCs/>
                <w:lang w:val="en-US"/>
              </w:rPr>
              <w:t>(SFP+)</w:t>
            </w:r>
            <w:r>
              <w:rPr>
                <w:bCs/>
              </w:rPr>
              <w:t>:</w:t>
            </w:r>
          </w:p>
        </w:tc>
        <w:tc>
          <w:tcPr>
            <w:tcW w:w="1561" w:type="dxa"/>
          </w:tcPr>
          <w:p w14:paraId="50AC4BDE">
            <w:pPr>
              <w:pStyle w:val="85"/>
              <w:ind w:left="0"/>
            </w:pPr>
            <w:r>
              <w:t>4 шт.</w:t>
            </w:r>
          </w:p>
        </w:tc>
      </w:tr>
      <w:tr w14:paraId="2E884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tcPr>
          <w:p w14:paraId="76C7FF57">
            <w:pPr>
              <w:pStyle w:val="85"/>
              <w:spacing w:after="120"/>
              <w:ind w:left="0"/>
              <w:rPr>
                <w:bCs/>
                <w:lang w:val="en-US"/>
              </w:rPr>
            </w:pPr>
          </w:p>
        </w:tc>
        <w:tc>
          <w:tcPr>
            <w:tcW w:w="5966" w:type="dxa"/>
          </w:tcPr>
          <w:p w14:paraId="6FE86D53">
            <w:pPr>
              <w:pStyle w:val="85"/>
              <w:ind w:left="0"/>
              <w:rPr>
                <w:bCs/>
              </w:rPr>
            </w:pPr>
            <w:r>
              <w:rPr>
                <w:bCs/>
              </w:rPr>
              <w:t>Питание:</w:t>
            </w:r>
          </w:p>
        </w:tc>
        <w:tc>
          <w:tcPr>
            <w:tcW w:w="1561" w:type="dxa"/>
          </w:tcPr>
          <w:p w14:paraId="2182C76B">
            <w:pPr>
              <w:pStyle w:val="85"/>
              <w:ind w:left="0"/>
            </w:pPr>
            <w:r>
              <w:t>220В, 50Гц</w:t>
            </w:r>
          </w:p>
        </w:tc>
      </w:tr>
      <w:tr w14:paraId="134F3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2247" w:type="dxa"/>
            <w:vMerge w:val="continue"/>
            <w:vAlign w:val="center"/>
          </w:tcPr>
          <w:p w14:paraId="09311E18">
            <w:pPr>
              <w:pStyle w:val="85"/>
              <w:spacing w:after="120"/>
              <w:ind w:left="0"/>
              <w:rPr>
                <w:bCs/>
                <w:lang w:val="en-US"/>
              </w:rPr>
            </w:pPr>
          </w:p>
        </w:tc>
        <w:tc>
          <w:tcPr>
            <w:tcW w:w="7527" w:type="dxa"/>
            <w:gridSpan w:val="2"/>
          </w:tcPr>
          <w:p w14:paraId="3CDC5251">
            <w:pPr>
              <w:pStyle w:val="85"/>
              <w:spacing w:before="40" w:after="40"/>
              <w:ind w:left="42" w:hanging="42"/>
            </w:pPr>
            <w:r>
              <w:t xml:space="preserve">- комплект креплений в стойку 19" </w:t>
            </w:r>
            <w:r>
              <w:rPr>
                <w:lang w:val="en-US"/>
              </w:rPr>
              <w:t>RM</w:t>
            </w:r>
          </w:p>
          <w:p w14:paraId="5E3EA76C">
            <w:pPr>
              <w:pStyle w:val="85"/>
              <w:spacing w:before="40" w:after="40"/>
              <w:ind w:left="42" w:hanging="42"/>
            </w:pPr>
            <w:r>
              <w:t xml:space="preserve">- модуль питания </w:t>
            </w:r>
            <w:r>
              <w:rPr>
                <w:lang w:val="en-US"/>
              </w:rPr>
              <w:t>PM</w:t>
            </w:r>
            <w:r>
              <w:t>380-220/56, 380 Вт</w:t>
            </w:r>
          </w:p>
          <w:p w14:paraId="292D5542">
            <w:pPr>
              <w:pStyle w:val="85"/>
              <w:spacing w:before="40" w:after="80"/>
              <w:ind w:left="40" w:hanging="40"/>
            </w:pPr>
            <w:r>
              <w:t xml:space="preserve">- 2 кабеля питания </w:t>
            </w:r>
            <w:r>
              <w:rPr>
                <w:lang w:val="en-US"/>
              </w:rPr>
              <w:t>IEC</w:t>
            </w:r>
            <w:r>
              <w:t xml:space="preserve"> 60320 </w:t>
            </w:r>
            <w:r>
              <w:rPr>
                <w:lang w:val="en-US"/>
              </w:rPr>
              <w:t>C</w:t>
            </w:r>
            <w:r>
              <w:t>13</w:t>
            </w:r>
          </w:p>
        </w:tc>
      </w:tr>
      <w:tr w14:paraId="4FB1B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2247" w:type="dxa"/>
            <w:vMerge w:val="continue"/>
            <w:vAlign w:val="center"/>
          </w:tcPr>
          <w:p w14:paraId="7D6662D9">
            <w:pPr>
              <w:pStyle w:val="85"/>
              <w:spacing w:after="120"/>
              <w:ind w:left="0"/>
              <w:rPr>
                <w:bCs/>
              </w:rPr>
            </w:pPr>
          </w:p>
        </w:tc>
        <w:tc>
          <w:tcPr>
            <w:tcW w:w="7527" w:type="dxa"/>
            <w:gridSpan w:val="2"/>
          </w:tcPr>
          <w:p w14:paraId="1940548E">
            <w:pPr>
              <w:pStyle w:val="85"/>
              <w:spacing w:before="40" w:after="80"/>
              <w:ind w:left="40" w:hanging="40"/>
              <w:rPr>
                <w:lang w:val="en-US"/>
              </w:rPr>
            </w:pPr>
            <w:r>
              <w:rPr>
                <w:lang w:val="en-US"/>
              </w:rPr>
              <w:t>- кабел</w:t>
            </w:r>
            <w:r>
              <w:t>ь</w:t>
            </w:r>
            <w:r>
              <w:rPr>
                <w:lang w:val="en-US"/>
              </w:rPr>
              <w:t xml:space="preserve"> SFP+ DAC (Direct attach cable), 10G, 1m</w:t>
            </w:r>
          </w:p>
        </w:tc>
      </w:tr>
      <w:tr w14:paraId="62723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2247" w:type="dxa"/>
            <w:vMerge w:val="continue"/>
            <w:vAlign w:val="center"/>
          </w:tcPr>
          <w:p w14:paraId="2C085824">
            <w:pPr>
              <w:pStyle w:val="85"/>
              <w:spacing w:after="120"/>
              <w:ind w:left="0"/>
              <w:rPr>
                <w:bCs/>
                <w:lang w:val="en-US"/>
              </w:rPr>
            </w:pPr>
          </w:p>
        </w:tc>
        <w:tc>
          <w:tcPr>
            <w:tcW w:w="7527" w:type="dxa"/>
            <w:gridSpan w:val="2"/>
            <w:vAlign w:val="center"/>
          </w:tcPr>
          <w:p w14:paraId="74F2E157">
            <w:pPr>
              <w:pStyle w:val="85"/>
              <w:spacing w:before="40" w:after="40"/>
              <w:ind w:left="42" w:hanging="42"/>
              <w:rPr>
                <w:lang w:val="en-US"/>
              </w:rPr>
            </w:pPr>
            <w:r>
              <w:rPr>
                <w:bCs/>
              </w:rPr>
              <w:t>Гарантийный срок:</w:t>
            </w:r>
            <w:r>
              <w:t xml:space="preserve"> 36 месяцев</w:t>
            </w:r>
          </w:p>
        </w:tc>
      </w:tr>
    </w:tbl>
    <w:p w14:paraId="1E61F118">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 Используемые в составе работ коммутаторы указываются с товарным знаком Eltex на основании подпункта «а» пункта 3 части 6.1 статьи 3 Федерального закона от 18.07.2011 № 223-ФЗ в связи с необходимостью обеспечения взаимодействия закупаемого оборудования с товарами, уже используемыми Заказчиком.</w:t>
      </w:r>
    </w:p>
    <w:p w14:paraId="76DC5F5D">
      <w:pPr>
        <w:spacing w:after="0" w:line="240" w:lineRule="auto"/>
        <w:ind w:firstLine="11"/>
        <w:jc w:val="both"/>
        <w:rPr>
          <w:rFonts w:ascii="Times New Roman" w:hAnsi="Times New Roman" w:eastAsia="Times New Roman" w:cs="Times New Roman"/>
          <w:b/>
          <w:lang w:eastAsia="ru-RU"/>
        </w:rPr>
      </w:pPr>
    </w:p>
    <w:p w14:paraId="32671E84">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6.2.</w:t>
      </w:r>
      <w:r>
        <w:rPr>
          <w:rFonts w:ascii="Times New Roman" w:hAnsi="Times New Roman" w:eastAsia="Times New Roman" w:cs="Times New Roman"/>
          <w:lang w:eastAsia="ru-RU"/>
        </w:rPr>
        <w:t xml:space="preserve"> Оборудование и материалы должны быть изготовлены в заводских условиях, должны быть новыми товарами,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p>
    <w:p w14:paraId="330C2DCD">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6.3.</w:t>
      </w:r>
      <w:r>
        <w:rPr>
          <w:rFonts w:ascii="Times New Roman" w:hAnsi="Times New Roman" w:eastAsia="Times New Roman" w:cs="Times New Roman"/>
          <w:lang w:eastAsia="ru-RU"/>
        </w:rPr>
        <w:t xml:space="preserve"> Оборудование и материалы должны быть упакованы в тару (упаковку), не имеющую дефектов и обеспечивающую их сохранность при хранении. Стоимость тары (упаковки) включается в стоимость используемого оборудования и материалов.</w:t>
      </w:r>
    </w:p>
    <w:p w14:paraId="04CD3BB1">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6.4.</w:t>
      </w:r>
      <w:r>
        <w:rPr>
          <w:rFonts w:ascii="Times New Roman" w:hAnsi="Times New Roman" w:eastAsia="Times New Roman" w:cs="Times New Roman"/>
          <w:lang w:eastAsia="ru-RU"/>
        </w:rPr>
        <w:t xml:space="preserve"> Оборудование и материалы должны отвечать требованиям качества безопасности для жизни и здоровья человека, а также иным требованиям сертификации, безопасности, санитарным нормам и правилам, государственным стандартам и иным обязательным требованиям, установленным в соответствии с законодательством РФ и утвержденных для данного вида продукции.</w:t>
      </w:r>
    </w:p>
    <w:p w14:paraId="6591837F">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6.5.</w:t>
      </w:r>
      <w:r>
        <w:rPr>
          <w:rFonts w:ascii="Times New Roman" w:hAnsi="Times New Roman" w:eastAsia="Times New Roman" w:cs="Times New Roman"/>
          <w:lang w:eastAsia="ru-RU"/>
        </w:rPr>
        <w:t xml:space="preserve"> Доставка оборудования и материалов на склад Заказчика осуществляется силами Исполнителя за свой счёт.</w:t>
      </w:r>
    </w:p>
    <w:p w14:paraId="5F582652">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6.6</w:t>
      </w:r>
      <w:r>
        <w:rPr>
          <w:rFonts w:ascii="Times New Roman" w:hAnsi="Times New Roman" w:eastAsia="Times New Roman" w:cs="Times New Roman"/>
          <w:lang w:eastAsia="ru-RU"/>
        </w:rPr>
        <w:t>. Все требуемые и неучтенные Исполнителем, по выше перечисленным работам, детали, расход</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ные материалы и комплектующие поставляются и используются Исполнителем за его счет.</w:t>
      </w:r>
    </w:p>
    <w:p w14:paraId="2A3CC2AB">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6.7.</w:t>
      </w:r>
      <w:r>
        <w:rPr>
          <w:rFonts w:ascii="Times New Roman" w:hAnsi="Times New Roman" w:eastAsia="Times New Roman" w:cs="Times New Roman"/>
          <w:lang w:eastAsia="ru-RU"/>
        </w:rPr>
        <w:t xml:space="preserve"> На оборудование и материалы должна быть предоставлена вся необходимая сопроводительная техническая документация </w:t>
      </w:r>
      <w:r>
        <w:rPr>
          <w:rFonts w:ascii="Times New Roman" w:hAnsi="Times New Roman" w:cs="Times New Roman"/>
          <w:bCs/>
        </w:rPr>
        <w:t>при наличии и, если их оформление обязательно</w:t>
      </w:r>
      <w:r>
        <w:rPr>
          <w:rFonts w:ascii="Times New Roman" w:hAnsi="Times New Roman" w:eastAsia="Times New Roman" w:cs="Times New Roman"/>
          <w:lang w:eastAsia="ru-RU"/>
        </w:rPr>
        <w:t xml:space="preserve"> (сертификаты соответствия, таможенные, пожарной безопасности; отказные письма).</w:t>
      </w:r>
      <w:r>
        <w:rPr>
          <w:b/>
          <w:bCs/>
        </w:rPr>
        <w:t xml:space="preserve"> </w:t>
      </w:r>
    </w:p>
    <w:p w14:paraId="22819A50">
      <w:pPr>
        <w:spacing w:after="0" w:line="240" w:lineRule="auto"/>
        <w:ind w:firstLine="11"/>
        <w:jc w:val="both"/>
        <w:rPr>
          <w:rFonts w:ascii="Times New Roman" w:hAnsi="Times New Roman" w:eastAsia="Times New Roman" w:cs="Times New Roman"/>
          <w:lang w:eastAsia="ru-RU"/>
        </w:rPr>
      </w:pPr>
    </w:p>
    <w:p w14:paraId="04050AD6">
      <w:pPr>
        <w:spacing w:after="0" w:line="240" w:lineRule="auto"/>
        <w:ind w:firstLine="11"/>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7. Требования к техническим характеристикам работ, их качеству и безопасности:</w:t>
      </w:r>
    </w:p>
    <w:p w14:paraId="367CB220">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7.1</w:t>
      </w:r>
      <w:r>
        <w:rPr>
          <w:rFonts w:ascii="Times New Roman" w:hAnsi="Times New Roman" w:eastAsia="Times New Roman" w:cs="Times New Roman"/>
          <w:lang w:eastAsia="ru-RU"/>
        </w:rPr>
        <w:t>. Исполнитель обязан при выполнении работ соблюдать требования законодательства, СП, ПУЭ, ГОСТ Р 53245-2008 и других нормативных документов в отношении работ и материалов, комплектую</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щих и обору</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дования, используемых при выполнении работ.</w:t>
      </w:r>
    </w:p>
    <w:p w14:paraId="62441F89">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7.2.</w:t>
      </w:r>
      <w:r>
        <w:rPr>
          <w:rFonts w:ascii="Times New Roman" w:hAnsi="Times New Roman" w:eastAsia="Times New Roman" w:cs="Times New Roman"/>
          <w:lang w:eastAsia="ru-RU"/>
        </w:rPr>
        <w:t xml:space="preserve"> При прокладке кабеля по зданию использовать существующие пластиковые кабель-каналы и металлические лотки. В помещениях спуск кабелей с потолка и подвод к обору</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дованию осуществлять в декоративных пластиковых кабель-каналах при невозможности скрытой проводки. Не допускается организация незакрепленных кабельных линий протяженностью более 1 метра.</w:t>
      </w:r>
    </w:p>
    <w:p w14:paraId="104DD2FF">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7.3.</w:t>
      </w:r>
      <w:r>
        <w:rPr>
          <w:rFonts w:ascii="Times New Roman" w:hAnsi="Times New Roman" w:eastAsia="Times New Roman" w:cs="Times New Roman"/>
          <w:lang w:eastAsia="ru-RU"/>
        </w:rPr>
        <w:t xml:space="preserve"> В качестве компонентов сети связи необходимо использовать 24-х волоконный оптический кабель, типом волокон </w:t>
      </w:r>
      <w:r>
        <w:rPr>
          <w:rFonts w:ascii="Times New Roman" w:hAnsi="Times New Roman" w:eastAsia="Times New Roman" w:cs="Times New Roman"/>
          <w:lang w:val="en-US" w:eastAsia="ru-RU"/>
        </w:rPr>
        <w:t>OS</w:t>
      </w:r>
      <w:r>
        <w:rPr>
          <w:rFonts w:ascii="Times New Roman" w:hAnsi="Times New Roman" w:eastAsia="Times New Roman" w:cs="Times New Roman"/>
          <w:lang w:eastAsia="ru-RU"/>
        </w:rPr>
        <w:t xml:space="preserve">2, оптические панели на 12 дуплекс адаптеров, оптические симплекс патч-корды с типом волокон </w:t>
      </w:r>
      <w:r>
        <w:rPr>
          <w:rFonts w:ascii="Times New Roman" w:hAnsi="Times New Roman" w:eastAsia="Times New Roman" w:cs="Times New Roman"/>
          <w:lang w:val="en-US" w:eastAsia="ru-RU"/>
        </w:rPr>
        <w:t>OS</w:t>
      </w:r>
      <w:r>
        <w:rPr>
          <w:rFonts w:ascii="Times New Roman" w:hAnsi="Times New Roman" w:eastAsia="Times New Roman" w:cs="Times New Roman"/>
          <w:lang w:eastAsia="ru-RU"/>
        </w:rPr>
        <w:t>2. Каждый 24-х волоконный оптический кабель должен терми</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нироваться в отдельный устанавливаемый оптобокс.</w:t>
      </w:r>
    </w:p>
    <w:p w14:paraId="1769A237">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В качестве медной части сети использовать кабель категории 5е, U/UTP, 4 пары, тип оболочки LSZH нг(A)-HFLTx, согласно ГОСТ 31565-2012 таблица 2. Кабель прокладывается единым отрезком от патч-панели до пользовательской розетки </w:t>
      </w:r>
      <w:r>
        <w:rPr>
          <w:rFonts w:ascii="Times New Roman" w:hAnsi="Times New Roman" w:eastAsia="Times New Roman" w:cs="Times New Roman"/>
          <w:lang w:val="en-US" w:eastAsia="ru-RU"/>
        </w:rPr>
        <w:t>RJ</w:t>
      </w:r>
      <w:r>
        <w:rPr>
          <w:rFonts w:ascii="Times New Roman" w:hAnsi="Times New Roman" w:eastAsia="Times New Roman" w:cs="Times New Roman"/>
          <w:lang w:eastAsia="ru-RU"/>
        </w:rPr>
        <w:t xml:space="preserve">-45. Кабель необходимо промаркировать с обоих концов и в местах отвода от основной трассы. </w:t>
      </w:r>
    </w:p>
    <w:p w14:paraId="28E57957">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7.4.</w:t>
      </w:r>
      <w:r>
        <w:rPr>
          <w:rFonts w:ascii="Times New Roman" w:hAnsi="Times New Roman" w:eastAsia="Times New Roman" w:cs="Times New Roman"/>
          <w:lang w:eastAsia="ru-RU"/>
        </w:rPr>
        <w:t xml:space="preserve"> На лицевой стороне коммутационных панелей и активного сетевого оборудова</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ния должна быть выполнена маркировка, соответствующая маркировке пользовательских портов, кабельных линий и оборудования. Маркировка должна быть произведена износостойкими материа</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лами, понятна и не вызывать разночтений и читаема в течение всего срока эксплуатации системы.</w:t>
      </w:r>
    </w:p>
    <w:p w14:paraId="77EEFCD5">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7.5.</w:t>
      </w:r>
      <w:r>
        <w:rPr>
          <w:rFonts w:ascii="Times New Roman" w:hAnsi="Times New Roman" w:eastAsia="Times New Roman" w:cs="Times New Roman"/>
          <w:lang w:eastAsia="ru-RU"/>
        </w:rPr>
        <w:t xml:space="preserve"> Исполнитель должен вести журнал выполнения работ. Все материалы, используемые Исполни</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телем для выполнения работ, должны иметь сертификаты, технические паспорта или другие документы, удостоверяющие их качество, которые предъявляются после заключения контракта, перед началом выполнения работ.</w:t>
      </w:r>
    </w:p>
    <w:p w14:paraId="62D0B01A">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7.6.</w:t>
      </w:r>
      <w:r>
        <w:rPr>
          <w:rFonts w:ascii="Times New Roman" w:hAnsi="Times New Roman" w:eastAsia="Times New Roman" w:cs="Times New Roman"/>
          <w:lang w:eastAsia="ru-RU"/>
        </w:rPr>
        <w:t xml:space="preserve"> Исполнитель осуществляет своевременную уборку, вынос и вывоз отходов после проведенных строительно-монтажных и иных работ, проводимых Исполнителем.</w:t>
      </w:r>
    </w:p>
    <w:p w14:paraId="18040EC5">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7.7.</w:t>
      </w:r>
      <w:r>
        <w:rPr>
          <w:rFonts w:ascii="Times New Roman" w:hAnsi="Times New Roman" w:eastAsia="Times New Roman" w:cs="Times New Roman"/>
          <w:lang w:eastAsia="ru-RU"/>
        </w:rPr>
        <w:t xml:space="preserve"> Исполнитель несет ответственность за действия своего персонала, в том числе и за соблюде</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ние персоналом законодательства РФ в части обеспечения безопасности труда при выполнении работ на объектах Заказчика.</w:t>
      </w:r>
    </w:p>
    <w:p w14:paraId="7D7D8448">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7.8.</w:t>
      </w:r>
      <w:r>
        <w:rPr>
          <w:rFonts w:ascii="Times New Roman" w:hAnsi="Times New Roman" w:eastAsia="Times New Roman" w:cs="Times New Roman"/>
          <w:lang w:eastAsia="ru-RU"/>
        </w:rPr>
        <w:t xml:space="preserve"> Исполнитель обязан соблюдать технологию производства работ, установленную производи</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телем материала или оборудования, используемого при производстве работ.</w:t>
      </w:r>
    </w:p>
    <w:p w14:paraId="27566619">
      <w:pPr>
        <w:spacing w:after="0" w:line="240" w:lineRule="auto"/>
        <w:ind w:firstLine="11"/>
        <w:jc w:val="both"/>
        <w:rPr>
          <w:rFonts w:ascii="Times New Roman" w:hAnsi="Times New Roman" w:eastAsia="Times New Roman" w:cs="Times New Roman"/>
          <w:lang w:eastAsia="ru-RU"/>
        </w:rPr>
      </w:pPr>
    </w:p>
    <w:p w14:paraId="78AF08BA">
      <w:pPr>
        <w:spacing w:after="0" w:line="240" w:lineRule="auto"/>
        <w:ind w:firstLine="11"/>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8. Приёмка работ:</w:t>
      </w:r>
    </w:p>
    <w:p w14:paraId="4391428C">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8.1.</w:t>
      </w:r>
      <w:r>
        <w:rPr>
          <w:rFonts w:ascii="Times New Roman" w:hAnsi="Times New Roman" w:eastAsia="Times New Roman" w:cs="Times New Roman"/>
          <w:lang w:eastAsia="ru-RU"/>
        </w:rPr>
        <w:t xml:space="preserve"> По окончании работ Исполнитель проводит тестирование смонтированных волоконно-оптических и медных линий согласно ГОСТ 53245-2008. Результаты тестирования предоставляются Заказчику в бумажном виде.</w:t>
      </w:r>
    </w:p>
    <w:p w14:paraId="0D1E14D7">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8.2.</w:t>
      </w:r>
      <w:r>
        <w:rPr>
          <w:rFonts w:ascii="Times New Roman" w:hAnsi="Times New Roman" w:eastAsia="Times New Roman" w:cs="Times New Roman"/>
          <w:lang w:eastAsia="ru-RU"/>
        </w:rPr>
        <w:t xml:space="preserve"> Исполнительная документация предоставляется Заказчику не позднее трёх рабочих дней после завершения работ на бумажном носителе в одном экземпляре и в электронном виде.</w:t>
      </w:r>
    </w:p>
    <w:p w14:paraId="6531ECAF">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8.3.</w:t>
      </w:r>
      <w:r>
        <w:rPr>
          <w:rFonts w:ascii="Times New Roman" w:hAnsi="Times New Roman" w:eastAsia="Times New Roman" w:cs="Times New Roman"/>
          <w:lang w:eastAsia="ru-RU"/>
        </w:rPr>
        <w:t xml:space="preserve"> Исполнительная документация включает:</w:t>
      </w:r>
    </w:p>
    <w:p w14:paraId="7B02A9B5">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топологию оптической сети;</w:t>
      </w:r>
    </w:p>
    <w:p w14:paraId="0F6B7BF3">
      <w:pPr>
        <w:spacing w:after="0" w:line="240" w:lineRule="auto"/>
        <w:ind w:left="426" w:hanging="142"/>
        <w:jc w:val="both"/>
        <w:rPr>
          <w:rFonts w:ascii="Times New Roman" w:hAnsi="Times New Roman" w:eastAsia="Times New Roman" w:cs="Times New Roman"/>
          <w:lang w:eastAsia="ru-RU"/>
        </w:rPr>
      </w:pPr>
      <w:r>
        <w:rPr>
          <w:rFonts w:ascii="Times New Roman" w:hAnsi="Times New Roman" w:eastAsia="Times New Roman" w:cs="Times New Roman"/>
          <w:lang w:eastAsia="ru-RU"/>
        </w:rPr>
        <w:t>• поэтажные исполнительные планы с указанием проложенных трасс, номеров помещений, фактическим местом установки шкафов;</w:t>
      </w:r>
    </w:p>
    <w:p w14:paraId="372E3037">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структурную схему локальной вычислительной сети;</w:t>
      </w:r>
    </w:p>
    <w:p w14:paraId="010DBA2F">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описание настроек;</w:t>
      </w:r>
    </w:p>
    <w:p w14:paraId="70FC24E4">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схему соединений;</w:t>
      </w:r>
    </w:p>
    <w:p w14:paraId="5C79E877">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таблицы коммутации;</w:t>
      </w:r>
    </w:p>
    <w:p w14:paraId="5EBBE2D4">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схемы размещения оборудования в телекоммуникационных шкафах;</w:t>
      </w:r>
    </w:p>
    <w:p w14:paraId="203A6B85">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спецификации;</w:t>
      </w:r>
    </w:p>
    <w:p w14:paraId="2AC43C3E">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результаты тестирования смонтированной кабельной системы;</w:t>
      </w:r>
    </w:p>
    <w:p w14:paraId="3EA374E3">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сертификаты на оборудование и материалы Исполнителя.</w:t>
      </w:r>
    </w:p>
    <w:p w14:paraId="3864649F">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8.4.</w:t>
      </w:r>
      <w:r>
        <w:rPr>
          <w:rFonts w:ascii="Times New Roman" w:hAnsi="Times New Roman" w:eastAsia="Times New Roman" w:cs="Times New Roman"/>
          <w:lang w:eastAsia="ru-RU"/>
        </w:rPr>
        <w:t xml:space="preserve"> Приемка работ Исполнителя в соответствии с Программой и методиками приемо-сдаточных испытаний (ПМИ) осуществляется комиссией, назначаемой Заказчиком. В состав комиссии включается не менее одного представителя Исполнителя. Процесс проведения и итоги приемо-сдаточных испытаний оформляются в виде протокола приемо-сдаточных испытаний.</w:t>
      </w:r>
    </w:p>
    <w:p w14:paraId="3DEEF9B4">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8.5.</w:t>
      </w:r>
      <w:r>
        <w:rPr>
          <w:rFonts w:ascii="Times New Roman" w:hAnsi="Times New Roman" w:eastAsia="Times New Roman" w:cs="Times New Roman"/>
          <w:lang w:eastAsia="ru-RU"/>
        </w:rPr>
        <w:t xml:space="preserve"> ПМИ разрабатывает Исполнитель и предоставляет для согласования Заказчику совместно с исполнительной документацией. ПМИ должна содержать следующие обязательные разделы: комплектность оборудования и документации, способы и критерии проверки оборудования и выполненных настроек, а также методики проверки принятых политик безопасности, сетевой доступности ресурсов (в том числе – существующей ЛВС ПГУПС на примере нескольких служб или сервисов, которые определит Заказчик) и отказоустойчивости системы с формализованными ожидаемыми результатами успешных испытаний.</w:t>
      </w:r>
    </w:p>
    <w:p w14:paraId="7BC20807">
      <w:pPr>
        <w:spacing w:after="0" w:line="240" w:lineRule="auto"/>
        <w:ind w:firstLine="11"/>
        <w:jc w:val="both"/>
        <w:rPr>
          <w:rFonts w:ascii="Times New Roman" w:hAnsi="Times New Roman" w:eastAsia="Times New Roman" w:cs="Times New Roman"/>
          <w:lang w:eastAsia="ru-RU"/>
        </w:rPr>
      </w:pPr>
    </w:p>
    <w:p w14:paraId="475267B4">
      <w:pPr>
        <w:spacing w:after="0" w:line="240" w:lineRule="auto"/>
        <w:ind w:firstLine="11"/>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9. Гарантийные обязательства на работы и требования к Исполнителю и технической под</w:t>
      </w:r>
      <w:r>
        <w:rPr>
          <w:rFonts w:ascii="Times New Roman" w:hAnsi="Times New Roman" w:eastAsia="Times New Roman" w:cs="Times New Roman"/>
          <w:b/>
          <w:lang w:eastAsia="ru-RU"/>
        </w:rPr>
        <w:softHyphen/>
      </w:r>
      <w:r>
        <w:rPr>
          <w:rFonts w:ascii="Times New Roman" w:hAnsi="Times New Roman" w:eastAsia="Times New Roman" w:cs="Times New Roman"/>
          <w:b/>
          <w:lang w:eastAsia="ru-RU"/>
        </w:rPr>
        <w:t>держке:</w:t>
      </w:r>
    </w:p>
    <w:p w14:paraId="72B8DDEB">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9.1.</w:t>
      </w:r>
      <w:r>
        <w:rPr>
          <w:rFonts w:ascii="Times New Roman" w:hAnsi="Times New Roman" w:eastAsia="Times New Roman" w:cs="Times New Roman"/>
          <w:lang w:eastAsia="ru-RU"/>
        </w:rPr>
        <w:t xml:space="preserve"> Исполнитель должен обеспечить гарантийное обслуживание результатов выполненных работ в течение гарантийного срока, установленного договором и настоящим Техническим заданием.</w:t>
      </w:r>
    </w:p>
    <w:p w14:paraId="44FBE8CB">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9.2.</w:t>
      </w:r>
      <w:r>
        <w:rPr>
          <w:rFonts w:ascii="Times New Roman" w:hAnsi="Times New Roman" w:eastAsia="Times New Roman" w:cs="Times New Roman"/>
          <w:lang w:eastAsia="ru-RU"/>
        </w:rPr>
        <w:t xml:space="preserve"> Исполнитель обязан обеспечить прием и регистрацию обращений Заказчика по вопросам гарантийного обслуживания и технической поддержки круглосуточно, 7 дней в неделю, не менее чем по двум каналам связи, включая телефон и электронную почту. Все обращения подлежат обязательной регистрации с фиксацией даты и времени поступления. </w:t>
      </w:r>
    </w:p>
    <w:p w14:paraId="700C7BE8">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ab/>
      </w:r>
      <w:r>
        <w:rPr>
          <w:rFonts w:ascii="Times New Roman" w:hAnsi="Times New Roman" w:eastAsia="Times New Roman" w:cs="Times New Roman"/>
          <w:lang w:eastAsia="ru-RU"/>
        </w:rPr>
        <w:t xml:space="preserve">Начало работ по устранению неисправности должно быть обеспечено не позднее следующего рабочего дня после получения обращения Заказчика, а при необходимости выезд специалиста на объект Заказчика осуществляется в рабочее время по рабочим дням в сроки, установленные договором и настоящим Техническим заданием. </w:t>
      </w:r>
    </w:p>
    <w:p w14:paraId="3E16556F">
      <w:pPr>
        <w:spacing w:after="0" w:line="240" w:lineRule="auto"/>
        <w:ind w:firstLine="708"/>
        <w:jc w:val="both"/>
        <w:rPr>
          <w:rFonts w:ascii="Times New Roman" w:hAnsi="Times New Roman" w:eastAsia="Times New Roman" w:cs="Times New Roman"/>
          <w:lang w:eastAsia="ru-RU"/>
        </w:rPr>
      </w:pPr>
      <w:r>
        <w:rPr>
          <w:rFonts w:ascii="Times New Roman" w:hAnsi="Times New Roman" w:eastAsia="Times New Roman" w:cs="Times New Roman"/>
          <w:lang w:eastAsia="ru-RU"/>
        </w:rPr>
        <w:t>Срок устранения неисправности не должен превышать более 21 рабочего дня с момента регистрации обращения Заказчика, если иные сроки не обусловлены необходимостью замены оборудования, предоставления запасных частей, получения доступа к обновлениям микропрограммного обеспечения либо иными обстоятельствами, зависящими от действий Заказчика.</w:t>
      </w:r>
    </w:p>
    <w:p w14:paraId="532DF84D">
      <w:pPr>
        <w:spacing w:after="0" w:line="240" w:lineRule="auto"/>
        <w:ind w:firstLine="11"/>
        <w:jc w:val="both"/>
        <w:rPr>
          <w:rFonts w:ascii="Times New Roman" w:hAnsi="Times New Roman" w:eastAsia="Times New Roman" w:cs="Calibri"/>
          <w:lang w:eastAsia="ru-RU"/>
        </w:rPr>
      </w:pPr>
      <w:r>
        <w:rPr>
          <w:rFonts w:ascii="Times New Roman" w:hAnsi="Times New Roman" w:eastAsia="Times New Roman" w:cs="Times New Roman"/>
          <w:lang w:eastAsia="ru-RU"/>
        </w:rPr>
        <w:t>Исполнитель вправе обеспечивать исполнение указанных обязательств собственными силами, через обособленное подразделение, сервисного партнера либо иным не запрещенным законодательством способом при условии соблюдения установленных сроков реагирования, выезда и устранения неисправностей.</w:t>
      </w:r>
    </w:p>
    <w:p w14:paraId="7902C72A">
      <w:pPr>
        <w:spacing w:after="0" w:line="240" w:lineRule="auto"/>
        <w:ind w:firstLine="11"/>
        <w:rPr>
          <w:rFonts w:ascii="Times New Roman" w:hAnsi="Times New Roman" w:eastAsia="Times New Roman" w:cs="Calibri"/>
          <w:lang w:eastAsia="ru-RU"/>
        </w:rPr>
      </w:pPr>
      <w:r>
        <w:rPr>
          <w:rFonts w:ascii="Times New Roman" w:hAnsi="Times New Roman" w:eastAsia="Times New Roman" w:cs="Times New Roman"/>
          <w:b/>
          <w:lang w:eastAsia="ru-RU"/>
        </w:rPr>
        <w:t>9.3.</w:t>
      </w:r>
      <w:r>
        <w:rPr>
          <w:rFonts w:ascii="Times New Roman" w:hAnsi="Times New Roman" w:eastAsia="Times New Roman" w:cs="Times New Roman"/>
          <w:lang w:eastAsia="ru-RU"/>
        </w:rPr>
        <w:t xml:space="preserve"> </w:t>
      </w:r>
      <w:r>
        <w:rPr>
          <w:rFonts w:ascii="Times New Roman" w:hAnsi="Times New Roman" w:eastAsia="Times New Roman" w:cs="Calibri"/>
          <w:lang w:eastAsia="ru-RU"/>
        </w:rPr>
        <w:t>Гарантийные обязательства на работы Исполнителя</w:t>
      </w:r>
    </w:p>
    <w:tbl>
      <w:tblPr>
        <w:tblStyle w:val="41"/>
        <w:tblW w:w="9514"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5"/>
        <w:gridCol w:w="4699"/>
      </w:tblGrid>
      <w:tr w14:paraId="02D5F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15" w:type="dxa"/>
            <w:shd w:val="clear" w:color="auto" w:fill="auto"/>
          </w:tcPr>
          <w:p w14:paraId="206AC32D">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Срок гарантийных обязательств</w:t>
            </w:r>
          </w:p>
        </w:tc>
        <w:tc>
          <w:tcPr>
            <w:tcW w:w="4699" w:type="dxa"/>
            <w:shd w:val="clear" w:color="auto" w:fill="auto"/>
          </w:tcPr>
          <w:p w14:paraId="7D6A146B">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12 месяцев с момента приемки работ Заказчиком</w:t>
            </w:r>
          </w:p>
        </w:tc>
      </w:tr>
      <w:tr w14:paraId="6DCB6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15" w:type="dxa"/>
            <w:shd w:val="clear" w:color="auto" w:fill="auto"/>
          </w:tcPr>
          <w:p w14:paraId="6C05B0C3">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Время приема заявок</w:t>
            </w:r>
          </w:p>
        </w:tc>
        <w:tc>
          <w:tcPr>
            <w:tcW w:w="4699" w:type="dxa"/>
            <w:shd w:val="clear" w:color="auto" w:fill="auto"/>
          </w:tcPr>
          <w:p w14:paraId="38323D24">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Круглосуточно, 7 дней в неделю</w:t>
            </w:r>
          </w:p>
        </w:tc>
      </w:tr>
      <w:tr w14:paraId="26E05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15" w:type="dxa"/>
            <w:shd w:val="clear" w:color="auto" w:fill="auto"/>
          </w:tcPr>
          <w:p w14:paraId="318390EE">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Начало работ по устранению неисправности</w:t>
            </w:r>
          </w:p>
        </w:tc>
        <w:tc>
          <w:tcPr>
            <w:tcW w:w="4699" w:type="dxa"/>
            <w:shd w:val="clear" w:color="auto" w:fill="auto"/>
            <w:vAlign w:val="center"/>
          </w:tcPr>
          <w:p w14:paraId="40A6AB68">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 xml:space="preserve">На следующий рабочий день после получения заявки </w:t>
            </w:r>
          </w:p>
        </w:tc>
      </w:tr>
      <w:tr w14:paraId="53A47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15" w:type="dxa"/>
            <w:shd w:val="clear" w:color="auto" w:fill="auto"/>
            <w:vAlign w:val="center"/>
          </w:tcPr>
          <w:p w14:paraId="1D5F15CB">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Выезд к Заказчику</w:t>
            </w:r>
          </w:p>
        </w:tc>
        <w:tc>
          <w:tcPr>
            <w:tcW w:w="4699" w:type="dxa"/>
            <w:shd w:val="clear" w:color="auto" w:fill="auto"/>
            <w:vAlign w:val="center"/>
          </w:tcPr>
          <w:p w14:paraId="24AECE90">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При необходимости, в рабочее время по рабочим дням</w:t>
            </w:r>
          </w:p>
        </w:tc>
      </w:tr>
      <w:tr w14:paraId="2AD5A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15" w:type="dxa"/>
            <w:shd w:val="clear" w:color="auto" w:fill="auto"/>
          </w:tcPr>
          <w:p w14:paraId="5C2FEF83">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Консультации заказчика по замене запасных частей в рамках ремонта поставленного оборудования</w:t>
            </w:r>
          </w:p>
        </w:tc>
        <w:tc>
          <w:tcPr>
            <w:tcW w:w="4699" w:type="dxa"/>
            <w:shd w:val="clear" w:color="auto" w:fill="auto"/>
            <w:vAlign w:val="center"/>
          </w:tcPr>
          <w:p w14:paraId="24A7A7A2">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Осуществляются Исполнителем, по рабочим дням</w:t>
            </w:r>
          </w:p>
        </w:tc>
      </w:tr>
      <w:tr w14:paraId="58C73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15" w:type="dxa"/>
            <w:shd w:val="clear" w:color="auto" w:fill="auto"/>
          </w:tcPr>
          <w:p w14:paraId="568CE14D">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Окончание работ по устранению неисправности*</w:t>
            </w:r>
          </w:p>
        </w:tc>
        <w:tc>
          <w:tcPr>
            <w:tcW w:w="4699" w:type="dxa"/>
            <w:shd w:val="clear" w:color="auto" w:fill="auto"/>
            <w:vAlign w:val="center"/>
          </w:tcPr>
          <w:p w14:paraId="21B57202">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Не более 21 рабочего дня с момента обращения Заказчика в техническую поддержку.</w:t>
            </w:r>
          </w:p>
        </w:tc>
      </w:tr>
    </w:tbl>
    <w:p w14:paraId="04D12420">
      <w:pPr>
        <w:autoSpaceDE w:val="0"/>
        <w:autoSpaceDN w:val="0"/>
        <w:adjustRightInd w:val="0"/>
        <w:spacing w:after="0" w:line="240" w:lineRule="auto"/>
        <w:ind w:left="284"/>
        <w:jc w:val="both"/>
        <w:outlineLvl w:val="0"/>
        <w:rPr>
          <w:rFonts w:ascii="Times New Roman" w:hAnsi="Times New Roman" w:eastAsia="Calibri" w:cs="Calibri"/>
          <w:i/>
          <w:sz w:val="20"/>
          <w:szCs w:val="20"/>
        </w:rPr>
      </w:pPr>
      <w:r>
        <w:rPr>
          <w:rFonts w:ascii="Times New Roman" w:hAnsi="Times New Roman" w:eastAsia="Calibri" w:cs="Calibri"/>
          <w:i/>
          <w:sz w:val="20"/>
          <w:szCs w:val="20"/>
        </w:rPr>
        <w:t>* - при необходимости, для устранения неисправности, замены единиц(ы) оборудования, запасных частей, обновления микрокодов оборудования, предоставлен</w:t>
      </w:r>
      <w:r>
        <w:rPr>
          <w:rFonts w:ascii="Times New Roman" w:hAnsi="Times New Roman" w:eastAsia="Calibri" w:cs="Calibri"/>
          <w:i/>
          <w:sz w:val="20"/>
          <w:szCs w:val="20"/>
        </w:rPr>
        <w:softHyphen/>
      </w:r>
      <w:r>
        <w:rPr>
          <w:rFonts w:ascii="Times New Roman" w:hAnsi="Times New Roman" w:eastAsia="Calibri" w:cs="Calibri"/>
          <w:i/>
          <w:sz w:val="20"/>
          <w:szCs w:val="20"/>
        </w:rPr>
        <w:t>ного Заказчиком: не более 14 дней с момента предоставления Заказчиком единиц(ы) оборудования на замену неисправной (неисправных), запасных частей, доступа к микрокодам на сайте производителя оборудования.</w:t>
      </w:r>
    </w:p>
    <w:p w14:paraId="6ACA9961">
      <w:pPr>
        <w:autoSpaceDE w:val="0"/>
        <w:autoSpaceDN w:val="0"/>
        <w:adjustRightInd w:val="0"/>
        <w:spacing w:after="0" w:line="240" w:lineRule="auto"/>
        <w:ind w:left="284"/>
        <w:jc w:val="both"/>
        <w:outlineLvl w:val="0"/>
        <w:rPr>
          <w:rFonts w:ascii="Times New Roman" w:hAnsi="Times New Roman" w:eastAsia="Calibri" w:cs="Calibri"/>
          <w:i/>
          <w:sz w:val="20"/>
          <w:szCs w:val="20"/>
        </w:rPr>
      </w:pPr>
    </w:p>
    <w:p w14:paraId="499AF472">
      <w:pPr>
        <w:spacing w:after="0" w:line="240" w:lineRule="auto"/>
        <w:ind w:firstLine="11"/>
        <w:jc w:val="both"/>
        <w:rPr>
          <w:rFonts w:ascii="Times New Roman" w:hAnsi="Times New Roman" w:eastAsia="Times New Roman" w:cs="Times New Roman"/>
          <w:b/>
          <w:lang w:eastAsia="ru-RU"/>
        </w:rPr>
      </w:pPr>
    </w:p>
    <w:p w14:paraId="60F4B81F">
      <w:pPr>
        <w:spacing w:after="0" w:line="240" w:lineRule="auto"/>
        <w:ind w:firstLine="11"/>
        <w:jc w:val="both"/>
        <w:rPr>
          <w:rFonts w:ascii="Times New Roman" w:hAnsi="Times New Roman" w:eastAsia="Times New Roman" w:cs="Times New Roman"/>
          <w:lang w:eastAsia="ru-RU"/>
        </w:rPr>
      </w:pPr>
    </w:p>
    <w:p w14:paraId="7459FBAA">
      <w:pPr>
        <w:spacing w:after="0" w:line="240" w:lineRule="auto"/>
        <w:ind w:firstLine="11"/>
        <w:jc w:val="both"/>
        <w:rPr>
          <w:rFonts w:ascii="Times New Roman" w:hAnsi="Times New Roman" w:eastAsia="Times New Roman" w:cs="Times New Roman"/>
          <w:b/>
          <w:lang w:eastAsia="ru-RU"/>
        </w:rPr>
      </w:pPr>
    </w:p>
    <w:p w14:paraId="40955B3D">
      <w:pPr>
        <w:spacing w:after="0" w:line="240" w:lineRule="auto"/>
        <w:ind w:firstLine="11"/>
        <w:jc w:val="both"/>
        <w:rPr>
          <w:rFonts w:ascii="Times New Roman" w:hAnsi="Times New Roman" w:eastAsia="Times New Roman" w:cs="Times New Roman"/>
          <w:b/>
          <w:lang w:eastAsia="ru-RU"/>
        </w:rPr>
      </w:pPr>
    </w:p>
    <w:p w14:paraId="2E399580">
      <w:pPr>
        <w:spacing w:after="0" w:line="240" w:lineRule="auto"/>
        <w:ind w:firstLine="11"/>
        <w:jc w:val="both"/>
        <w:rPr>
          <w:rFonts w:ascii="Times New Roman" w:hAnsi="Times New Roman" w:eastAsia="Times New Roman" w:cs="Times New Roman"/>
          <w:b/>
          <w:lang w:eastAsia="ru-RU"/>
        </w:rPr>
      </w:pPr>
    </w:p>
    <w:p w14:paraId="2291E516">
      <w:pPr>
        <w:jc w:val="right"/>
        <w:rPr>
          <w:rFonts w:ascii="Times New Roman" w:hAnsi="Times New Roman" w:eastAsia="Times New Roman" w:cs="Times New Roman"/>
          <w:b/>
          <w:caps/>
          <w:color w:val="000000" w:themeColor="text1"/>
          <w:spacing w:val="20"/>
          <w:lang w:eastAsia="ru-RU"/>
          <w14:textFill>
            <w14:solidFill>
              <w14:schemeClr w14:val="tx1"/>
            </w14:solidFill>
          </w14:textFill>
        </w:rPr>
      </w:pPr>
      <w:r>
        <w:rPr>
          <w:rFonts w:ascii="Times New Roman" w:hAnsi="Times New Roman" w:eastAsia="Times New Roman" w:cs="Times New Roman"/>
          <w:b/>
          <w:lang w:eastAsia="ru-RU"/>
        </w:rPr>
        <w:br w:type="page"/>
      </w:r>
      <w:r>
        <w:rPr>
          <w:rFonts w:ascii="Times New Roman" w:hAnsi="Times New Roman" w:eastAsia="Times New Roman" w:cs="Times New Roman"/>
          <w:b/>
          <w:caps/>
          <w:color w:val="000000" w:themeColor="text1"/>
          <w:spacing w:val="20"/>
          <w:lang w:eastAsia="ru-RU"/>
          <w14:textFill>
            <w14:solidFill>
              <w14:schemeClr w14:val="tx1"/>
            </w14:solidFill>
          </w14:textFill>
        </w:rPr>
        <w:t xml:space="preserve"> </w:t>
      </w:r>
    </w:p>
    <w:p w14:paraId="3F08E2EA">
      <w:pPr>
        <w:jc w:val="center"/>
        <w:rPr>
          <w:rFonts w:ascii="Times New Roman" w:hAnsi="Times New Roman" w:eastAsia="Times New Roman" w:cs="Times New Roman"/>
          <w:b/>
          <w:caps/>
          <w:color w:val="000000" w:themeColor="text1"/>
          <w:spacing w:val="20"/>
          <w:lang w:eastAsia="ru-RU"/>
          <w14:textFill>
            <w14:solidFill>
              <w14:schemeClr w14:val="tx1"/>
            </w14:solidFill>
          </w14:textFill>
        </w:rPr>
      </w:pPr>
      <w:r>
        <w:rPr>
          <w:rFonts w:ascii="Times New Roman" w:hAnsi="Times New Roman" w:eastAsia="Times New Roman" w:cs="Times New Roman"/>
          <w:b/>
          <w:caps/>
          <w:color w:val="000000" w:themeColor="text1"/>
          <w:spacing w:val="20"/>
          <w:lang w:eastAsia="ru-RU"/>
          <w14:textFill>
            <w14:solidFill>
              <w14:schemeClr w14:val="tx1"/>
            </w14:solidFill>
          </w14:textFill>
        </w:rPr>
        <w:t xml:space="preserve">Часть </w:t>
      </w:r>
      <w:r>
        <w:rPr>
          <w:rFonts w:ascii="Times New Roman" w:hAnsi="Times New Roman" w:eastAsia="Times New Roman" w:cs="Times New Roman"/>
          <w:b/>
          <w:caps/>
          <w:color w:val="000000" w:themeColor="text1"/>
          <w:spacing w:val="20"/>
          <w:lang w:val="en-US" w:eastAsia="ru-RU"/>
          <w14:textFill>
            <w14:solidFill>
              <w14:schemeClr w14:val="tx1"/>
            </w14:solidFill>
          </w14:textFill>
        </w:rPr>
        <w:t>III</w:t>
      </w:r>
      <w:r>
        <w:rPr>
          <w:rFonts w:ascii="Times New Roman" w:hAnsi="Times New Roman" w:eastAsia="Times New Roman" w:cs="Times New Roman"/>
          <w:b/>
          <w:caps/>
          <w:color w:val="000000" w:themeColor="text1"/>
          <w:spacing w:val="20"/>
          <w:lang w:eastAsia="ru-RU"/>
          <w14:textFill>
            <w14:solidFill>
              <w14:schemeClr w14:val="tx1"/>
            </w14:solidFill>
          </w14:textFill>
        </w:rPr>
        <w:t>. Проект договора</w:t>
      </w:r>
    </w:p>
    <w:p w14:paraId="23DCAF72">
      <w:pPr>
        <w:tabs>
          <w:tab w:val="left" w:pos="960"/>
        </w:tabs>
        <w:spacing w:after="0" w:line="240" w:lineRule="auto"/>
        <w:ind w:firstLine="567"/>
        <w:jc w:val="both"/>
        <w:rPr>
          <w:rFonts w:ascii="Times New Roman" w:hAnsi="Times New Roman" w:eastAsia="Times New Roman" w:cs="Times New Roman"/>
          <w:bCs/>
          <w:color w:val="000000" w:themeColor="text1"/>
          <w:lang w:eastAsia="ru-RU"/>
          <w14:textFill>
            <w14:solidFill>
              <w14:schemeClr w14:val="tx1"/>
            </w14:solidFill>
          </w14:textFill>
        </w:rPr>
      </w:pPr>
    </w:p>
    <w:p w14:paraId="65D9EBAA">
      <w:pPr>
        <w:tabs>
          <w:tab w:val="left" w:pos="960"/>
        </w:tabs>
        <w:spacing w:after="0" w:line="240" w:lineRule="auto"/>
        <w:ind w:firstLine="567"/>
        <w:jc w:val="both"/>
        <w:rPr>
          <w:rFonts w:ascii="Times New Roman" w:hAnsi="Times New Roman" w:eastAsia="Times New Roman" w:cs="Times New Roman"/>
          <w:bCs/>
          <w:color w:val="000000" w:themeColor="text1"/>
          <w:lang w:eastAsia="ru-RU"/>
          <w14:textFill>
            <w14:solidFill>
              <w14:schemeClr w14:val="tx1"/>
            </w14:solidFill>
          </w14:textFill>
        </w:rPr>
      </w:pPr>
    </w:p>
    <w:bookmarkEnd w:id="85"/>
    <w:bookmarkEnd w:id="86"/>
    <w:p w14:paraId="39F88079">
      <w:pPr>
        <w:widowControl w:val="0"/>
        <w:autoSpaceDE w:val="0"/>
        <w:autoSpaceDN w:val="0"/>
        <w:adjustRightInd w:val="0"/>
        <w:spacing w:after="0" w:line="240" w:lineRule="auto"/>
        <w:ind w:firstLine="11"/>
        <w:jc w:val="center"/>
        <w:rPr>
          <w:rFonts w:ascii="Times New Roman" w:hAnsi="Times New Roman" w:eastAsia="Times New Roman" w:cs="Times New Roman"/>
          <w:b/>
          <w:color w:val="000000" w:themeColor="text1"/>
          <w:lang w:eastAsia="ru-RU"/>
          <w14:textFill>
            <w14:solidFill>
              <w14:schemeClr w14:val="tx1"/>
            </w14:solidFill>
          </w14:textFill>
        </w:rPr>
      </w:pPr>
      <w:r>
        <w:rPr>
          <w:rFonts w:ascii="Times New Roman" w:hAnsi="Times New Roman" w:eastAsia="Times New Roman" w:cs="Times New Roman"/>
          <w:b/>
          <w:color w:val="000000" w:themeColor="text1"/>
          <w:lang w:eastAsia="ru-RU"/>
          <w14:textFill>
            <w14:solidFill>
              <w14:schemeClr w14:val="tx1"/>
            </w14:solidFill>
          </w14:textFill>
        </w:rPr>
        <w:t>Договор   №</w:t>
      </w:r>
    </w:p>
    <w:p w14:paraId="1B94E49C">
      <w:pPr>
        <w:spacing w:after="0" w:line="240" w:lineRule="auto"/>
        <w:ind w:firstLine="11"/>
        <w:jc w:val="both"/>
        <w:rPr>
          <w:rFonts w:ascii="Times New Roman" w:hAnsi="Times New Roman" w:eastAsia="Times New Roman" w:cs="Times New Roman"/>
          <w:b/>
          <w:color w:val="000000" w:themeColor="text1"/>
          <w:lang w:eastAsia="ru-RU"/>
          <w14:textFill>
            <w14:solidFill>
              <w14:schemeClr w14:val="tx1"/>
            </w14:solidFill>
          </w14:textFill>
        </w:rPr>
      </w:pPr>
    </w:p>
    <w:p w14:paraId="190829B8">
      <w:pPr>
        <w:tabs>
          <w:tab w:val="left" w:pos="3374"/>
        </w:tabs>
        <w:spacing w:after="0" w:line="240" w:lineRule="auto"/>
        <w:ind w:firstLine="11"/>
        <w:jc w:val="both"/>
        <w:rPr>
          <w:rFonts w:ascii="Times New Roman" w:hAnsi="Times New Roman" w:eastAsia="Times New Roman" w:cs="Times New Roman"/>
          <w:b/>
          <w:i/>
          <w:color w:val="000000" w:themeColor="text1"/>
          <w:lang w:eastAsia="ru-RU"/>
          <w14:textFill>
            <w14:solidFill>
              <w14:schemeClr w14:val="tx1"/>
            </w14:solidFill>
          </w14:textFill>
        </w:rPr>
      </w:pPr>
      <w:r>
        <w:rPr>
          <w:rFonts w:ascii="Times New Roman" w:hAnsi="Times New Roman" w:eastAsia="Times New Roman" w:cs="Times New Roman"/>
          <w:b/>
          <w:i/>
          <w:color w:val="000000" w:themeColor="text1"/>
          <w:lang w:eastAsia="ru-RU"/>
          <w14:textFill>
            <w14:solidFill>
              <w14:schemeClr w14:val="tx1"/>
            </w14:solidFill>
          </w14:textFill>
        </w:rPr>
        <w:t>г. Санкт-Петербург</w:t>
      </w:r>
      <w:r>
        <w:rPr>
          <w:rFonts w:ascii="Times New Roman" w:hAnsi="Times New Roman" w:eastAsia="Times New Roman" w:cs="Times New Roman"/>
          <w:b/>
          <w:i/>
          <w:color w:val="000000" w:themeColor="text1"/>
          <w:lang w:eastAsia="ru-RU"/>
          <w14:textFill>
            <w14:solidFill>
              <w14:schemeClr w14:val="tx1"/>
            </w14:solidFill>
          </w14:textFill>
        </w:rPr>
        <w:tab/>
      </w:r>
      <w:r>
        <w:rPr>
          <w:rFonts w:ascii="Times New Roman" w:hAnsi="Times New Roman" w:eastAsia="Times New Roman" w:cs="Times New Roman"/>
          <w:b/>
          <w:i/>
          <w:color w:val="000000" w:themeColor="text1"/>
          <w:lang w:eastAsia="ru-RU"/>
          <w14:textFill>
            <w14:solidFill>
              <w14:schemeClr w14:val="tx1"/>
            </w14:solidFill>
          </w14:textFill>
        </w:rPr>
        <w:tab/>
      </w:r>
      <w:r>
        <w:rPr>
          <w:rFonts w:ascii="Times New Roman" w:hAnsi="Times New Roman" w:eastAsia="Times New Roman" w:cs="Times New Roman"/>
          <w:b/>
          <w:i/>
          <w:color w:val="000000" w:themeColor="text1"/>
          <w:lang w:eastAsia="ru-RU"/>
          <w14:textFill>
            <w14:solidFill>
              <w14:schemeClr w14:val="tx1"/>
            </w14:solidFill>
          </w14:textFill>
        </w:rPr>
        <w:tab/>
      </w:r>
      <w:r>
        <w:rPr>
          <w:rFonts w:ascii="Times New Roman" w:hAnsi="Times New Roman" w:eastAsia="Times New Roman" w:cs="Times New Roman"/>
          <w:b/>
          <w:i/>
          <w:color w:val="000000" w:themeColor="text1"/>
          <w:lang w:eastAsia="ru-RU"/>
          <w14:textFill>
            <w14:solidFill>
              <w14:schemeClr w14:val="tx1"/>
            </w14:solidFill>
          </w14:textFill>
        </w:rPr>
        <w:t xml:space="preserve">             </w:t>
      </w:r>
      <w:r>
        <w:rPr>
          <w:rFonts w:ascii="Times New Roman" w:hAnsi="Times New Roman" w:eastAsia="Times New Roman" w:cs="Times New Roman"/>
          <w:b/>
          <w:i/>
          <w:color w:val="000000" w:themeColor="text1"/>
          <w:lang w:eastAsia="ru-RU"/>
          <w14:textFill>
            <w14:solidFill>
              <w14:schemeClr w14:val="tx1"/>
            </w14:solidFill>
          </w14:textFill>
        </w:rPr>
        <w:tab/>
      </w:r>
      <w:r>
        <w:rPr>
          <w:rFonts w:ascii="Times New Roman" w:hAnsi="Times New Roman" w:eastAsia="Times New Roman" w:cs="Times New Roman"/>
          <w:b/>
          <w:i/>
          <w:color w:val="000000" w:themeColor="text1"/>
          <w:lang w:eastAsia="ru-RU"/>
          <w14:textFill>
            <w14:solidFill>
              <w14:schemeClr w14:val="tx1"/>
            </w14:solidFill>
          </w14:textFill>
        </w:rPr>
        <w:t xml:space="preserve">                         “___“ _____________ 20__г.</w:t>
      </w:r>
    </w:p>
    <w:p w14:paraId="28D76ED1">
      <w:pPr>
        <w:tabs>
          <w:tab w:val="left" w:pos="3374"/>
        </w:tabs>
        <w:spacing w:after="0" w:line="240" w:lineRule="auto"/>
        <w:ind w:firstLine="11"/>
        <w:jc w:val="both"/>
        <w:rPr>
          <w:rFonts w:ascii="Times New Roman" w:hAnsi="Times New Roman" w:eastAsia="Times New Roman" w:cs="Times New Roman"/>
          <w:b/>
          <w:i/>
          <w:color w:val="000000" w:themeColor="text1"/>
          <w:lang w:eastAsia="ru-RU"/>
          <w14:textFill>
            <w14:solidFill>
              <w14:schemeClr w14:val="tx1"/>
            </w14:solidFill>
          </w14:textFill>
        </w:rPr>
      </w:pPr>
    </w:p>
    <w:p w14:paraId="21D57B5F">
      <w:pPr>
        <w:tabs>
          <w:tab w:val="center" w:pos="4677"/>
          <w:tab w:val="right" w:pos="9355"/>
        </w:tab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Федеральное государственное бюджетное образовательное учреждение высшего образования «Петербургский государственный университет путей сообщения Императора Александра I» в лице ________________________________, действующего на основании ____________________________, именуемое в дальнейшем «Заказчик», с одной стороны,  и ____________________________________ в лице _______________________________, действующего на основании ________________________, именуемое в дальнейшем «Подрядчик», признанное победителем аукциона в электронной форме на Выполнение работ по модернизации фрагмента локальной вычислительной сети (СКС в корпусах: 1,2,3,4,5,6,7,8,9,10 и 14) по адресу: г. Санкт-Петербург, Московский пр., д.9, лит А, набережная реки Фонтанки, д. 113, лит А (протокол подведения итогов аукциона №______________________ от «__» ___________ 20__ г., извещение о проведении аукциона размещено на официальном сайте www.zakupki.gov.ru «__» __________ 20__ г.), с другой стороны, заключили настоящий договор (далее – Договор) о нижеследующем:</w:t>
      </w:r>
    </w:p>
    <w:p w14:paraId="66C74BB2">
      <w:pPr>
        <w:spacing w:after="0" w:line="240" w:lineRule="auto"/>
        <w:ind w:firstLine="11"/>
        <w:jc w:val="center"/>
        <w:rPr>
          <w:rFonts w:ascii="Times New Roman" w:hAnsi="Times New Roman" w:eastAsia="Times New Roman" w:cs="Times New Roman"/>
          <w:color w:val="000000" w:themeColor="text1"/>
          <w:lang w:eastAsia="ru-RU"/>
          <w14:textFill>
            <w14:solidFill>
              <w14:schemeClr w14:val="tx1"/>
            </w14:solidFill>
          </w14:textFill>
        </w:rPr>
      </w:pPr>
    </w:p>
    <w:p w14:paraId="63F152B4">
      <w:pPr>
        <w:suppressAutoHyphens/>
        <w:spacing w:after="0" w:line="240" w:lineRule="auto"/>
        <w:ind w:firstLine="11"/>
        <w:jc w:val="center"/>
        <w:rPr>
          <w:rFonts w:ascii="Times New Roman" w:hAnsi="Times New Roman" w:eastAsia="Times New Roman" w:cs="Times New Roman"/>
          <w:b/>
          <w:color w:val="000000" w:themeColor="text1"/>
          <w:lang w:eastAsia="ru-RU"/>
          <w14:textFill>
            <w14:solidFill>
              <w14:schemeClr w14:val="tx1"/>
            </w14:solidFill>
          </w14:textFill>
        </w:rPr>
      </w:pPr>
      <w:r>
        <w:rPr>
          <w:rFonts w:ascii="Times New Roman" w:hAnsi="Times New Roman" w:eastAsia="Times New Roman" w:cs="Times New Roman"/>
          <w:b/>
          <w:color w:val="000000" w:themeColor="text1"/>
          <w:lang w:eastAsia="ru-RU"/>
          <w14:textFill>
            <w14:solidFill>
              <w14:schemeClr w14:val="tx1"/>
            </w14:solidFill>
          </w14:textFill>
        </w:rPr>
        <w:t>1. ПРЕДМЕТ ДОГОВОРА</w:t>
      </w:r>
    </w:p>
    <w:p w14:paraId="57CDA713">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1.1 Заказчик заказывает, а Подрядчик выполняет </w:t>
      </w:r>
      <w:r>
        <w:rPr>
          <w:rFonts w:ascii="Times New Roman" w:hAnsi="Times New Roman" w:eastAsia="Times New Roman" w:cs="Times New Roman"/>
          <w:color w:val="000000" w:themeColor="text1"/>
          <w:shd w:val="clear" w:color="auto" w:fill="FFFFFF"/>
          <w:lang w:eastAsia="ru-RU"/>
          <w14:textFill>
            <w14:solidFill>
              <w14:schemeClr w14:val="tx1"/>
            </w14:solidFill>
          </w14:textFill>
        </w:rPr>
        <w:t>работы по модернизации фрагмента локальной вычислительной сети (СКС в корпусах: 1, 2, 3, 6 и 7) по адресу: г. Санкт-Петербург, Московский пр., д.9, лит. А, Набережная реки Фонтанки, д. 113, лит. А</w:t>
      </w:r>
      <w:r>
        <w:rPr>
          <w:rFonts w:ascii="Times New Roman" w:hAnsi="Times New Roman" w:eastAsia="Times New Roman" w:cs="Times New Roman"/>
          <w:color w:val="000000" w:themeColor="text1"/>
          <w:lang w:eastAsia="ru-RU"/>
          <w14:textFill>
            <w14:solidFill>
              <w14:schemeClr w14:val="tx1"/>
            </w14:solidFill>
          </w14:textFill>
        </w:rPr>
        <w:t>. (далее Объект).</w:t>
      </w:r>
    </w:p>
    <w:p w14:paraId="6E82A91F">
      <w:pPr>
        <w:tabs>
          <w:tab w:val="left" w:pos="1276"/>
        </w:tabs>
        <w:spacing w:before="120" w:after="0" w:line="240" w:lineRule="auto"/>
        <w:ind w:firstLine="11"/>
        <w:jc w:val="both"/>
        <w:rPr>
          <w:rFonts w:ascii="Times New Roman" w:hAnsi="Times New Roman" w:eastAsia="Times New Roman" w:cs="Times New Roman"/>
          <w:color w:val="000000" w:themeColor="text1"/>
          <w:szCs w:val="24"/>
          <w:lang w:eastAsia="ru-RU"/>
          <w14:textFill>
            <w14:solidFill>
              <w14:schemeClr w14:val="tx1"/>
            </w14:solidFill>
          </w14:textFill>
        </w:rPr>
      </w:pPr>
      <w:r>
        <w:rPr>
          <w:rFonts w:ascii="Times New Roman" w:hAnsi="Times New Roman" w:eastAsia="Times New Roman" w:cs="Times New Roman"/>
          <w:color w:val="000000" w:themeColor="text1"/>
          <w:szCs w:val="24"/>
          <w:lang w:eastAsia="ru-RU"/>
          <w14:textFill>
            <w14:solidFill>
              <w14:schemeClr w14:val="tx1"/>
            </w14:solidFill>
          </w14:textFill>
        </w:rPr>
        <w:t>2.  </w:t>
      </w:r>
      <w:r>
        <w:rPr>
          <w:rFonts w:ascii="Times New Roman" w:hAnsi="Times New Roman" w:eastAsia="Times New Roman" w:cs="Times New Roman"/>
          <w:color w:val="000000" w:themeColor="text1"/>
          <w:lang w:eastAsia="ru-RU"/>
          <w14:textFill>
            <w14:solidFill>
              <w14:schemeClr w14:val="tx1"/>
            </w14:solidFill>
          </w14:textFill>
        </w:rPr>
        <w:t>Подрядчик</w:t>
      </w:r>
      <w:r>
        <w:rPr>
          <w:rFonts w:ascii="Times New Roman" w:hAnsi="Times New Roman" w:eastAsia="Times New Roman" w:cs="Times New Roman"/>
          <w:color w:val="000000" w:themeColor="text1"/>
          <w:szCs w:val="24"/>
          <w:lang w:eastAsia="ru-RU"/>
          <w14:textFill>
            <w14:solidFill>
              <w14:schemeClr w14:val="tx1"/>
            </w14:solidFill>
          </w14:textFill>
        </w:rPr>
        <w:t xml:space="preserve"> выполняет Работы в соответствии с Техническим заданием (Приложение № 1 к настоящему Договору), определяющим содержание работ и другие, предъявляемые к ним требования, а также в соответствии с утвержденным Локальным сметным расчетом (Приложение № 2 настоящему Договору) - определяющим стоимость работ.</w:t>
      </w:r>
    </w:p>
    <w:p w14:paraId="7381AD41">
      <w:pPr>
        <w:spacing w:before="120" w:after="0" w:line="240" w:lineRule="auto"/>
        <w:ind w:firstLine="11"/>
        <w:jc w:val="both"/>
        <w:rPr>
          <w:rFonts w:ascii="Times New Roman" w:hAnsi="Times New Roman" w:eastAsia="Times New Roman" w:cs="Times New Roman"/>
          <w:color w:val="000000" w:themeColor="text1"/>
          <w:szCs w:val="24"/>
          <w:lang w:eastAsia="ru-RU"/>
          <w14:textFill>
            <w14:solidFill>
              <w14:schemeClr w14:val="tx1"/>
            </w14:solidFill>
          </w14:textFill>
        </w:rPr>
      </w:pPr>
      <w:r>
        <w:rPr>
          <w:rFonts w:ascii="Times New Roman" w:hAnsi="Times New Roman" w:eastAsia="Times New Roman" w:cs="Times New Roman"/>
          <w:color w:val="000000" w:themeColor="text1"/>
          <w:szCs w:val="24"/>
          <w:lang w:eastAsia="ru-RU"/>
          <w14:textFill>
            <w14:solidFill>
              <w14:schemeClr w14:val="tx1"/>
            </w14:solidFill>
          </w14:textFill>
        </w:rPr>
        <w:t xml:space="preserve">1.3. Работы выполняются иждивением </w:t>
      </w:r>
      <w:r>
        <w:rPr>
          <w:rFonts w:ascii="Times New Roman" w:hAnsi="Times New Roman" w:eastAsia="Times New Roman" w:cs="Times New Roman"/>
          <w:color w:val="000000" w:themeColor="text1"/>
          <w:lang w:eastAsia="ru-RU"/>
          <w14:textFill>
            <w14:solidFill>
              <w14:schemeClr w14:val="tx1"/>
            </w14:solidFill>
          </w14:textFill>
        </w:rPr>
        <w:t xml:space="preserve">Подрядчика </w:t>
      </w:r>
      <w:r>
        <w:rPr>
          <w:rFonts w:ascii="Times New Roman" w:hAnsi="Times New Roman" w:eastAsia="Times New Roman" w:cs="Times New Roman"/>
          <w:color w:val="000000" w:themeColor="text1"/>
          <w:szCs w:val="24"/>
          <w:lang w:eastAsia="ru-RU"/>
          <w14:textFill>
            <w14:solidFill>
              <w14:schemeClr w14:val="tx1"/>
            </w14:solidFill>
          </w14:textFill>
        </w:rPr>
        <w:t>из его материалов, его силами и средствами.</w:t>
      </w:r>
    </w:p>
    <w:p w14:paraId="04EB38DA">
      <w:pPr>
        <w:spacing w:after="0" w:line="240" w:lineRule="auto"/>
        <w:ind w:firstLine="11"/>
        <w:jc w:val="both"/>
        <w:rPr>
          <w:rFonts w:ascii="Times New Roman" w:hAnsi="Times New Roman" w:eastAsia="Times New Roman" w:cs="Times New Roman"/>
          <w:b/>
          <w:color w:val="000000" w:themeColor="text1"/>
          <w:lang w:eastAsia="ru-RU"/>
          <w14:textFill>
            <w14:solidFill>
              <w14:schemeClr w14:val="tx1"/>
            </w14:solidFill>
          </w14:textFill>
        </w:rPr>
      </w:pPr>
    </w:p>
    <w:p w14:paraId="62C5CC4D">
      <w:pPr>
        <w:spacing w:after="0" w:line="240" w:lineRule="auto"/>
        <w:ind w:firstLine="11"/>
        <w:jc w:val="center"/>
        <w:rPr>
          <w:rFonts w:ascii="Times New Roman" w:hAnsi="Times New Roman" w:eastAsia="Times New Roman" w:cs="Times New Roman"/>
          <w:b/>
          <w:color w:val="000000" w:themeColor="text1"/>
          <w:lang w:eastAsia="ru-RU"/>
          <w14:textFill>
            <w14:solidFill>
              <w14:schemeClr w14:val="tx1"/>
            </w14:solidFill>
          </w14:textFill>
        </w:rPr>
      </w:pPr>
      <w:r>
        <w:rPr>
          <w:rFonts w:ascii="Times New Roman" w:hAnsi="Times New Roman" w:eastAsia="Times New Roman" w:cs="Times New Roman"/>
          <w:b/>
          <w:color w:val="000000" w:themeColor="text1"/>
          <w:lang w:eastAsia="ru-RU"/>
          <w14:textFill>
            <w14:solidFill>
              <w14:schemeClr w14:val="tx1"/>
            </w14:solidFill>
          </w14:textFill>
        </w:rPr>
        <w:t xml:space="preserve">2. ЦЕНА </w:t>
      </w:r>
      <w:r>
        <w:rPr>
          <w:rFonts w:ascii="Times New Roman" w:hAnsi="Times New Roman" w:eastAsia="Times New Roman" w:cs="Times New Roman"/>
          <w:b/>
          <w:caps/>
          <w:color w:val="000000" w:themeColor="text1"/>
          <w:lang w:eastAsia="ru-RU"/>
          <w14:textFill>
            <w14:solidFill>
              <w14:schemeClr w14:val="tx1"/>
            </w14:solidFill>
          </w14:textFill>
        </w:rPr>
        <w:t>ДОГОВОР</w:t>
      </w:r>
      <w:r>
        <w:rPr>
          <w:rFonts w:ascii="Times New Roman" w:hAnsi="Times New Roman" w:eastAsia="Times New Roman" w:cs="Times New Roman"/>
          <w:b/>
          <w:color w:val="000000" w:themeColor="text1"/>
          <w:lang w:eastAsia="ru-RU"/>
          <w14:textFill>
            <w14:solidFill>
              <w14:schemeClr w14:val="tx1"/>
            </w14:solidFill>
          </w14:textFill>
        </w:rPr>
        <w:t>А И УСЛОВИЯ ПЛАТЕЖА</w:t>
      </w:r>
    </w:p>
    <w:p w14:paraId="2FBCCEE1">
      <w:pPr>
        <w:spacing w:after="0" w:line="240" w:lineRule="auto"/>
        <w:ind w:firstLine="11"/>
        <w:jc w:val="both"/>
        <w:rPr>
          <w:rFonts w:ascii="Times New Roman" w:hAnsi="Times New Roman" w:eastAsia="Times New Roman" w:cs="Times New Roman"/>
          <w:color w:val="000000" w:themeColor="text1"/>
          <w:szCs w:val="24"/>
          <w:lang w:eastAsia="ru-RU"/>
          <w14:textFill>
            <w14:solidFill>
              <w14:schemeClr w14:val="tx1"/>
            </w14:solidFill>
          </w14:textFill>
        </w:rPr>
      </w:pPr>
      <w:r>
        <w:rPr>
          <w:rFonts w:ascii="Times New Roman" w:hAnsi="Times New Roman" w:eastAsia="Times New Roman" w:cs="Times New Roman"/>
          <w:color w:val="000000" w:themeColor="text1"/>
          <w:szCs w:val="24"/>
          <w:lang w:eastAsia="ru-RU"/>
          <w14:textFill>
            <w14:solidFill>
              <w14:schemeClr w14:val="tx1"/>
            </w14:solidFill>
          </w14:textFill>
        </w:rPr>
        <w:t>2.1. Общая цена выполняемых Работ составляет ___________ (________________) руб., в том числе НДС. Цена Договора является твердой и определяется на весь срок исполнения Договора.</w:t>
      </w:r>
    </w:p>
    <w:p w14:paraId="1C4C5AE7">
      <w:pPr>
        <w:spacing w:after="0" w:line="240" w:lineRule="auto"/>
        <w:ind w:firstLine="11"/>
        <w:jc w:val="both"/>
        <w:rPr>
          <w:rFonts w:ascii="Times New Roman" w:hAnsi="Times New Roman" w:eastAsia="Times New Roman" w:cs="Times New Roman"/>
          <w:color w:val="000000" w:themeColor="text1"/>
          <w:szCs w:val="24"/>
          <w:lang w:eastAsia="ru-RU"/>
          <w14:textFill>
            <w14:solidFill>
              <w14:schemeClr w14:val="tx1"/>
            </w14:solidFill>
          </w14:textFill>
        </w:rPr>
      </w:pPr>
      <w:r>
        <w:rPr>
          <w:rFonts w:ascii="Times New Roman" w:hAnsi="Times New Roman" w:eastAsia="Times New Roman" w:cs="Times New Roman"/>
          <w:color w:val="000000" w:themeColor="text1"/>
          <w:szCs w:val="24"/>
          <w:lang w:eastAsia="ru-RU"/>
          <w14:textFill>
            <w14:solidFill>
              <w14:schemeClr w14:val="tx1"/>
            </w14:solidFill>
          </w14:textFill>
        </w:rPr>
        <w:t>2.2. Цена Договора может быть снижена по соглашению сторон без изменения предусмотренных Договором объема и качества выполняемых работ, а также иных условий Договора.</w:t>
      </w:r>
    </w:p>
    <w:p w14:paraId="3A20018B">
      <w:pPr>
        <w:suppressAutoHyphens/>
        <w:spacing w:after="0" w:line="240" w:lineRule="auto"/>
        <w:ind w:firstLine="11"/>
        <w:jc w:val="both"/>
        <w:rPr>
          <w:rFonts w:ascii="Times New Roman" w:hAnsi="Times New Roman" w:eastAsia="Times New Roman" w:cs="Times New Roman"/>
          <w:color w:val="000000" w:themeColor="text1"/>
          <w:szCs w:val="24"/>
          <w:lang w:eastAsia="ru-RU"/>
          <w14:textFill>
            <w14:solidFill>
              <w14:schemeClr w14:val="tx1"/>
            </w14:solidFill>
          </w14:textFill>
        </w:rPr>
      </w:pPr>
      <w:r>
        <w:rPr>
          <w:rFonts w:ascii="Times New Roman" w:hAnsi="Times New Roman" w:eastAsia="Times New Roman" w:cs="Times New Roman"/>
          <w:color w:val="000000" w:themeColor="text1"/>
          <w:szCs w:val="24"/>
          <w:lang w:eastAsia="ru-RU"/>
          <w14:textFill>
            <w14:solidFill>
              <w14:schemeClr w14:val="tx1"/>
            </w14:solidFill>
          </w14:textFill>
        </w:rPr>
        <w:t xml:space="preserve">2.3. Цена Договора включает </w:t>
      </w:r>
      <w:r>
        <w:rPr>
          <w:rFonts w:ascii="Times New Roman" w:hAnsi="Times New Roman" w:eastAsia="Times New Roman" w:cs="Times New Roman"/>
          <w:color w:val="000000" w:themeColor="text1"/>
          <w:lang w:eastAsia="ru-RU"/>
          <w14:textFill>
            <w14:solidFill>
              <w14:schemeClr w14:val="tx1"/>
            </w14:solidFill>
          </w14:textFill>
        </w:rPr>
        <w:t xml:space="preserve">оплату выполняемых Подрядчиком работ по Договору, компенсацию Подрядчику издержек (покупка запасных частей (расходных материалов, оборудования, и т.д.), аренда оборудования, транспортные расходы и т.п.), а также налоги, сборы, пошлины и другие обязательные платежи, взимаемые с Подрядчика в связи с </w:t>
      </w:r>
      <w:r>
        <w:rPr>
          <w:rFonts w:ascii="Times New Roman" w:hAnsi="Times New Roman" w:eastAsia="Times New Roman" w:cs="Times New Roman"/>
          <w:color w:val="000000" w:themeColor="text1"/>
          <w:szCs w:val="24"/>
          <w:lang w:eastAsia="ru-RU"/>
          <w14:textFill>
            <w14:solidFill>
              <w14:schemeClr w14:val="tx1"/>
            </w14:solidFill>
          </w14:textFill>
        </w:rPr>
        <w:t>исполнением настоящего Договора.</w:t>
      </w:r>
    </w:p>
    <w:p w14:paraId="208A47B9">
      <w:pPr>
        <w:shd w:val="clear" w:color="auto" w:fill="FFFFFF"/>
        <w:tabs>
          <w:tab w:val="left" w:pos="715"/>
        </w:tabs>
        <w:spacing w:after="0" w:line="240" w:lineRule="auto"/>
        <w:ind w:firstLine="11"/>
        <w:jc w:val="both"/>
        <w:rPr>
          <w:rFonts w:ascii="Times New Roman" w:hAnsi="Times New Roman" w:eastAsia="Times New Roman" w:cs="Times New Roman"/>
          <w:color w:val="000000" w:themeColor="text1"/>
          <w:szCs w:val="24"/>
          <w:lang w:eastAsia="ru-RU"/>
          <w14:textFill>
            <w14:solidFill>
              <w14:schemeClr w14:val="tx1"/>
            </w14:solidFill>
          </w14:textFill>
        </w:rPr>
      </w:pPr>
      <w:r>
        <w:rPr>
          <w:rFonts w:ascii="Times New Roman" w:hAnsi="Times New Roman" w:eastAsia="Times New Roman" w:cs="Times New Roman"/>
          <w:color w:val="000000" w:themeColor="text1"/>
          <w:szCs w:val="24"/>
          <w:lang w:eastAsia="ru-RU"/>
          <w14:textFill>
            <w14:solidFill>
              <w14:schemeClr w14:val="tx1"/>
            </w14:solidFill>
          </w14:textFill>
        </w:rPr>
        <w:t>2.4. Оплата производится Заказчиком за счет средств бюджетного учреждения: средств, полученных от приносящей доход деятельности.</w:t>
      </w:r>
    </w:p>
    <w:p w14:paraId="68399C02">
      <w:pPr>
        <w:suppressAutoHyphens/>
        <w:spacing w:after="0" w:line="240" w:lineRule="auto"/>
        <w:ind w:firstLine="11"/>
        <w:jc w:val="both"/>
        <w:rPr>
          <w:rFonts w:ascii="Times New Roman" w:hAnsi="Times New Roman" w:eastAsia="Times New Roman" w:cs="Times New Roman"/>
          <w:color w:val="000000" w:themeColor="text1"/>
          <w:szCs w:val="24"/>
          <w:lang w:eastAsia="ru-RU"/>
          <w14:textFill>
            <w14:solidFill>
              <w14:schemeClr w14:val="tx1"/>
            </w14:solidFill>
          </w14:textFill>
        </w:rPr>
      </w:pPr>
      <w:r>
        <w:rPr>
          <w:rFonts w:ascii="Times New Roman" w:hAnsi="Times New Roman" w:eastAsia="Times New Roman" w:cs="Times New Roman"/>
          <w:color w:val="000000" w:themeColor="text1"/>
          <w:szCs w:val="24"/>
          <w:lang w:eastAsia="ru-RU"/>
          <w14:textFill>
            <w14:solidFill>
              <w14:schemeClr w14:val="tx1"/>
            </w14:solidFill>
          </w14:textFill>
        </w:rPr>
        <w:t xml:space="preserve">2.5. Заказчик производит оплату по факту выполнения работ течение 7 рабочих дней со дня подписания Заказчиком акта выполненных работ на основании счета, счет фактуры, при условии предсотавления Заказчику исполнительной документации  и протокола приемо-сдаточных испытаний, предусмотренных Приложением № 1 к Договору.  </w:t>
      </w:r>
    </w:p>
    <w:p w14:paraId="2D7C0AD7">
      <w:pPr>
        <w:suppressAutoHyphens/>
        <w:spacing w:after="0" w:line="240" w:lineRule="auto"/>
        <w:ind w:firstLine="11"/>
        <w:jc w:val="both"/>
        <w:rPr>
          <w:rFonts w:ascii="Times New Roman" w:hAnsi="Times New Roman" w:eastAsia="Times New Roman" w:cs="Times New Roman"/>
          <w:color w:val="000000" w:themeColor="text1"/>
          <w:szCs w:val="24"/>
          <w:lang w:eastAsia="ru-RU"/>
          <w14:textFill>
            <w14:solidFill>
              <w14:schemeClr w14:val="tx1"/>
            </w14:solidFill>
          </w14:textFill>
        </w:rPr>
      </w:pPr>
      <w:r>
        <w:rPr>
          <w:rFonts w:ascii="Times New Roman" w:hAnsi="Times New Roman" w:eastAsia="Times New Roman" w:cs="Times New Roman"/>
          <w:color w:val="000000" w:themeColor="text1"/>
          <w:szCs w:val="24"/>
          <w:lang w:eastAsia="ru-RU"/>
          <w14:textFill>
            <w14:solidFill>
              <w14:schemeClr w14:val="tx1"/>
            </w14:solidFill>
          </w14:textFill>
        </w:rPr>
        <w:t>2.6. Работы, выполненные Подрядчиком с отклонениями от условий настоящего Договора, не подлежат приемке и оплате Заказчиком до устранения выявленных отклонений. Моментом оплаты считается списание денежных средств с расчетного счета Заказчика.</w:t>
      </w:r>
    </w:p>
    <w:p w14:paraId="1B120A82">
      <w:pPr>
        <w:suppressAutoHyphens/>
        <w:spacing w:after="0" w:line="240" w:lineRule="auto"/>
        <w:ind w:firstLine="11"/>
        <w:jc w:val="both"/>
        <w:rPr>
          <w:rFonts w:ascii="Times New Roman" w:hAnsi="Times New Roman" w:eastAsia="Times New Roman" w:cs="Times New Roman"/>
          <w:color w:val="000000" w:themeColor="text1"/>
          <w:szCs w:val="24"/>
          <w:lang w:eastAsia="ru-RU"/>
          <w14:textFill>
            <w14:solidFill>
              <w14:schemeClr w14:val="tx1"/>
            </w14:solidFill>
          </w14:textFill>
        </w:rPr>
      </w:pPr>
    </w:p>
    <w:p w14:paraId="4582CE7D">
      <w:pPr>
        <w:suppressAutoHyphens/>
        <w:spacing w:after="0" w:line="240" w:lineRule="auto"/>
        <w:rPr>
          <w:rFonts w:ascii="Times New Roman" w:hAnsi="Times New Roman" w:eastAsia="Times New Roman" w:cs="Times New Roman"/>
          <w:b/>
          <w:color w:val="000000" w:themeColor="text1"/>
          <w:lang w:eastAsia="ru-RU"/>
          <w14:textFill>
            <w14:solidFill>
              <w14:schemeClr w14:val="tx1"/>
            </w14:solidFill>
          </w14:textFill>
        </w:rPr>
      </w:pPr>
    </w:p>
    <w:p w14:paraId="766E1BE5">
      <w:pPr>
        <w:suppressAutoHyphens/>
        <w:spacing w:after="0" w:line="240" w:lineRule="auto"/>
        <w:ind w:firstLine="11"/>
        <w:jc w:val="center"/>
        <w:rPr>
          <w:rFonts w:ascii="Times New Roman" w:hAnsi="Times New Roman" w:eastAsia="Times New Roman" w:cs="Times New Roman"/>
          <w:b/>
          <w:color w:val="000000" w:themeColor="text1"/>
          <w:lang w:eastAsia="ru-RU"/>
          <w14:textFill>
            <w14:solidFill>
              <w14:schemeClr w14:val="tx1"/>
            </w14:solidFill>
          </w14:textFill>
        </w:rPr>
      </w:pPr>
      <w:r>
        <w:rPr>
          <w:rFonts w:ascii="Times New Roman" w:hAnsi="Times New Roman" w:eastAsia="Times New Roman" w:cs="Times New Roman"/>
          <w:b/>
          <w:color w:val="000000" w:themeColor="text1"/>
          <w:lang w:eastAsia="ru-RU"/>
          <w14:textFill>
            <w14:solidFill>
              <w14:schemeClr w14:val="tx1"/>
            </w14:solidFill>
          </w14:textFill>
        </w:rPr>
        <w:t>3. СРОКИ ВЫПОЛНЕНИЯ РАБОТ</w:t>
      </w:r>
    </w:p>
    <w:p w14:paraId="1C50BB4B">
      <w:pPr>
        <w:suppressAutoHyphens/>
        <w:spacing w:after="0" w:line="240" w:lineRule="auto"/>
        <w:ind w:firstLine="11"/>
        <w:jc w:val="both"/>
        <w:rPr>
          <w:rFonts w:ascii="Times New Roman" w:hAnsi="Times New Roman" w:eastAsia="MS Mincho" w:cs="Times New Roman"/>
          <w:color w:val="000000" w:themeColor="text1"/>
          <w:lang w:eastAsia="ru-RU"/>
          <w14:textFill>
            <w14:solidFill>
              <w14:schemeClr w14:val="tx1"/>
            </w14:solidFill>
          </w14:textFill>
        </w:rPr>
      </w:pPr>
      <w:r>
        <w:rPr>
          <w:rFonts w:ascii="Times New Roman" w:hAnsi="Times New Roman" w:eastAsia="MS Mincho" w:cs="Times New Roman"/>
          <w:color w:val="000000" w:themeColor="text1"/>
          <w:lang w:eastAsia="ru-RU"/>
          <w14:textFill>
            <w14:solidFill>
              <w14:schemeClr w14:val="tx1"/>
            </w14:solidFill>
          </w14:textFill>
        </w:rPr>
        <w:t>3.1. Сроки выполнения работ по настоящему Договору:</w:t>
      </w:r>
    </w:p>
    <w:p w14:paraId="4BF06D16">
      <w:pPr>
        <w:spacing w:after="0" w:line="240" w:lineRule="auto"/>
        <w:contextualSpacing/>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Начало выполнения работ – со дня заключения Договора;</w:t>
      </w:r>
    </w:p>
    <w:p w14:paraId="4F51085B">
      <w:pPr>
        <w:spacing w:after="0" w:line="240" w:lineRule="auto"/>
        <w:contextualSpacing/>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Окончание выполнения работ – через 100 (Сто) рабочих дней со дня заключения Договора.</w:t>
      </w:r>
    </w:p>
    <w:p w14:paraId="6C9B6875">
      <w:pPr>
        <w:spacing w:after="0" w:line="240" w:lineRule="auto"/>
        <w:contextualSpacing/>
        <w:jc w:val="both"/>
        <w:rPr>
          <w:rFonts w:ascii="Times New Roman" w:hAnsi="Times New Roman" w:eastAsia="Times New Roman" w:cs="Times New Roman"/>
          <w:color w:val="000000" w:themeColor="text1"/>
          <w:lang w:eastAsia="ru-RU"/>
          <w14:textFill>
            <w14:solidFill>
              <w14:schemeClr w14:val="tx1"/>
            </w14:solidFill>
          </w14:textFill>
        </w:rPr>
      </w:pPr>
    </w:p>
    <w:p w14:paraId="522ABCE4">
      <w:pPr>
        <w:suppressAutoHyphens/>
        <w:spacing w:after="0" w:line="240" w:lineRule="auto"/>
        <w:ind w:firstLine="11"/>
        <w:jc w:val="center"/>
        <w:rPr>
          <w:rFonts w:ascii="Times New Roman" w:hAnsi="Times New Roman" w:eastAsia="Times New Roman" w:cs="Times New Roman"/>
          <w:b/>
          <w:caps/>
          <w:color w:val="000000" w:themeColor="text1"/>
          <w:lang w:eastAsia="ru-RU"/>
          <w14:textFill>
            <w14:solidFill>
              <w14:schemeClr w14:val="tx1"/>
            </w14:solidFill>
          </w14:textFill>
        </w:rPr>
      </w:pPr>
      <w:r>
        <w:rPr>
          <w:rFonts w:ascii="Times New Roman" w:hAnsi="Times New Roman" w:eastAsia="Times New Roman" w:cs="Times New Roman"/>
          <w:b/>
          <w:caps/>
          <w:color w:val="000000" w:themeColor="text1"/>
          <w:lang w:eastAsia="ru-RU"/>
          <w14:textFill>
            <w14:solidFill>
              <w14:schemeClr w14:val="tx1"/>
            </w14:solidFill>
          </w14:textFill>
        </w:rPr>
        <w:t>4. Права и обязанности сторон</w:t>
      </w:r>
    </w:p>
    <w:p w14:paraId="195505D0">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4.1. Заказчик вправе:</w:t>
      </w:r>
    </w:p>
    <w:p w14:paraId="633049A5">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4.1.1. Получать от Подрядчика информацию, касающуюся хода работ, которые ведет Подрядчик в соответствии с условиями настоящего Договора.</w:t>
      </w:r>
    </w:p>
    <w:p w14:paraId="7DCF81C9">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4.1.2. Предъявлять мотивированные требования Подрядчику о замене работников Подрядчика, непосредственно занятых выполнением Работ, в том числе имеет право не допускать работников Подрядчика на объект в случае несоблюдения последним требований, предъявляемых к квалификации персонала, выполняющего Работы по настоящему Договору, к используемым материалам, технологиям или оборудованию (сертификаты соответствия и т.п.), в случае нарушения Подрядчиком пропускного режима, внутреннего распорядка Заказчика и т.п.</w:t>
      </w:r>
    </w:p>
    <w:p w14:paraId="76F2B335">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4.1.3. Проверять ход и качество выполняемых Подрядчиком Работ, не вмешиваясь в его деятельность. Для проверки качества выполняемых Работ по настоящему Договору (их соответствию требованиям настоящего Договору, объему и т.п.) Заказчик вправе привлекать независимых экспертов. В случае если по результатам проведенной ими экспертизы будет установлено несоответствие выполняемых Работ условиям настоящего Договора, расходы по проведению указанной экспертизы несет Подрядчик. </w:t>
      </w:r>
    </w:p>
    <w:p w14:paraId="311C05D3">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4.1.4. Сообщать в письменной форме Подрядчику о недостатках, обнаруженных в ходе выполнения Работ в течение 5 (пяти) рабочих дней после обнаружения таких недостатков, с указанием срока устранения таких недостатков, предварительно согласованных Сторонами.</w:t>
      </w:r>
    </w:p>
    <w:p w14:paraId="2DC6E673">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4.1.5. Письменно уведомив Подрядчика, приостановить все платежи по Договору, если Подрядчик не выполняет своих обязательств (или их части), при условии, что такое уведомление о приостановлении платежей определяет характер невыполнения обязательств и содержит требование того, чтобы Подрядчик исправил положение в течение периода времени, не превышающего 30 (Тридцати) календарных дней после получения Подрядчиком такого уведомления.</w:t>
      </w:r>
    </w:p>
    <w:p w14:paraId="6D24B157">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4.2. Заказчик обязан:</w:t>
      </w:r>
    </w:p>
    <w:p w14:paraId="66DC98C2">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4.2.1. Принять Работы в соответствии с разделом 5 настоящего Договора, в случае отсутствия претензий относительно их объема, качества и соблюдения сроков их выполнения.</w:t>
      </w:r>
    </w:p>
    <w:p w14:paraId="34804A2B">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4.2.2. Оплатить Работы в размерах и в сроки, предусмотренные разделом 2 Договора.</w:t>
      </w:r>
    </w:p>
    <w:p w14:paraId="209081B3">
      <w:pPr>
        <w:suppressAutoHyphens/>
        <w:spacing w:after="0" w:line="240" w:lineRule="auto"/>
        <w:ind w:firstLine="11"/>
        <w:jc w:val="both"/>
        <w:rPr>
          <w:rFonts w:ascii="Times New Roman" w:hAnsi="Times New Roman" w:eastAsia="MS Mincho"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4.2.3. </w:t>
      </w:r>
      <w:r>
        <w:rPr>
          <w:rFonts w:ascii="Times New Roman" w:hAnsi="Times New Roman" w:eastAsia="MS Mincho" w:cs="Times New Roman"/>
          <w:color w:val="000000" w:themeColor="text1"/>
          <w:lang w:eastAsia="ru-RU"/>
          <w14:textFill>
            <w14:solidFill>
              <w14:schemeClr w14:val="tx1"/>
            </w14:solidFill>
          </w14:textFill>
        </w:rPr>
        <w:t xml:space="preserve">Предоставить возможность подключать оборудование </w:t>
      </w:r>
      <w:r>
        <w:rPr>
          <w:rFonts w:ascii="Times New Roman" w:hAnsi="Times New Roman" w:eastAsia="Times New Roman" w:cs="Times New Roman"/>
          <w:color w:val="000000" w:themeColor="text1"/>
          <w:lang w:eastAsia="ru-RU"/>
          <w14:textFill>
            <w14:solidFill>
              <w14:schemeClr w14:val="tx1"/>
            </w14:solidFill>
          </w14:textFill>
        </w:rPr>
        <w:t>Подрядчика</w:t>
      </w:r>
      <w:r>
        <w:rPr>
          <w:rFonts w:ascii="Times New Roman" w:hAnsi="Times New Roman" w:eastAsia="MS Mincho" w:cs="Times New Roman"/>
          <w:color w:val="000000" w:themeColor="text1"/>
          <w:lang w:eastAsia="ru-RU"/>
          <w14:textFill>
            <w14:solidFill>
              <w14:schemeClr w14:val="tx1"/>
            </w14:solidFill>
          </w14:textFill>
        </w:rPr>
        <w:t xml:space="preserve"> к инженерным сетям и коммуникациям Заказчика для осуществления деятельности, предусмотренной настоящим Договором, а также помещения для работников </w:t>
      </w:r>
      <w:r>
        <w:rPr>
          <w:rFonts w:ascii="Times New Roman" w:hAnsi="Times New Roman" w:eastAsia="Times New Roman" w:cs="Times New Roman"/>
          <w:color w:val="000000" w:themeColor="text1"/>
          <w:lang w:eastAsia="ru-RU"/>
          <w14:textFill>
            <w14:solidFill>
              <w14:schemeClr w14:val="tx1"/>
            </w14:solidFill>
          </w14:textFill>
        </w:rPr>
        <w:t>Подрядчика</w:t>
      </w:r>
      <w:r>
        <w:rPr>
          <w:rFonts w:ascii="Times New Roman" w:hAnsi="Times New Roman" w:eastAsia="MS Mincho" w:cs="Times New Roman"/>
          <w:color w:val="000000" w:themeColor="text1"/>
          <w:lang w:eastAsia="ru-RU"/>
          <w14:textFill>
            <w14:solidFill>
              <w14:schemeClr w14:val="tx1"/>
            </w14:solidFill>
          </w14:textFill>
        </w:rPr>
        <w:t>.</w:t>
      </w:r>
    </w:p>
    <w:p w14:paraId="7607E590">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4.2.4. Своевременно уведомлять Подрядчика о проведении работ, которые могут</w:t>
      </w:r>
      <w:r>
        <w:rPr>
          <w:rFonts w:ascii="Times New Roman" w:hAnsi="Times New Roman" w:eastAsia="Times New Roman" w:cs="Times New Roman"/>
          <w:color w:val="000000" w:themeColor="text1"/>
          <w:lang w:eastAsia="ru-RU"/>
          <w14:textFill>
            <w14:solidFill>
              <w14:schemeClr w14:val="tx1"/>
            </w14:solidFill>
          </w14:textFill>
        </w:rPr>
        <w:br w:type="textWrapping"/>
      </w:r>
      <w:r>
        <w:rPr>
          <w:rFonts w:ascii="Times New Roman" w:hAnsi="Times New Roman" w:eastAsia="Times New Roman" w:cs="Times New Roman"/>
          <w:color w:val="000000" w:themeColor="text1"/>
          <w:lang w:eastAsia="ru-RU"/>
          <w14:textFill>
            <w14:solidFill>
              <w14:schemeClr w14:val="tx1"/>
            </w14:solidFill>
          </w14:textFill>
        </w:rPr>
        <w:t>повлиять на выполнение Работ.</w:t>
      </w:r>
    </w:p>
    <w:p w14:paraId="3A54B26D">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4.3. Подрядчик вправе:</w:t>
      </w:r>
    </w:p>
    <w:p w14:paraId="3967E0FC">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4.3.1. Требовать оплаты Работ в соответствии с разделом 2 Договора.</w:t>
      </w:r>
    </w:p>
    <w:p w14:paraId="652B8A26">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4.3.2. Самостоятельно определять способы выполнения Договора.</w:t>
      </w:r>
    </w:p>
    <w:p w14:paraId="7769C833">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4.4. Подрядчик обязан:</w:t>
      </w:r>
    </w:p>
    <w:p w14:paraId="02A6C671">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4.4.1. В течение трех рабочих дней после заключения Договора представить на согласование Заказчику График производства работ.</w:t>
      </w:r>
    </w:p>
    <w:p w14:paraId="10EE3B87">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4.4.2. Своевременно и надлежащим образом выполнять Работы в соответствии с Техническим заданием с использованием своих материалов и технических средств, собственными силами и средствами.</w:t>
      </w:r>
    </w:p>
    <w:p w14:paraId="6EC0462A">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4.4.3. Выполнять Работы и иные обязанности в точном соответствии с настоящим Договором, на высоком профессиональном уровне и на наиболее выгодных для Заказчика условиях, а также применять передовые технологии и безопасные и эффективные оборудование, технику, материалы и методы.</w:t>
      </w:r>
    </w:p>
    <w:p w14:paraId="605D5C28">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4.4.4. Информировать Заказчика о ходе исполнения Договора, в том числе о выполняемых Работах.</w:t>
      </w:r>
    </w:p>
    <w:p w14:paraId="0C31A63B">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4.4.5. В течение одного рабочего дня с момента заключения настоящего Договора предоставить Заказчику списки работников, привлекаемых для выполнения Работ по настоящему Договору. В случае внесения Подрядчиком изменений в списки работников, привлекаемых для выполнения Работ по настоящему Договору, предоставленных в соответствии с настоящим пунктом, Подрядчик заблаговременно (не менее чем за 2 рабочих дня) представляет Заказчику исправленные списки работников.</w:t>
      </w:r>
    </w:p>
    <w:p w14:paraId="7DC95A2C">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4.4.6. Обеспечить замену работника Подрядчика, занятого выполнением Работ, на другого работника Подрядчика в случае мотивированного заявления Заказчика, в том числе в случаях, указанных в п. 4.1.2. настоящего Договора.</w:t>
      </w:r>
    </w:p>
    <w:p w14:paraId="2D8E59CE">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4.4.7. Предупреждать Заказчика о событиях или обстоятельствах, которые могут негативно повлиять на качество Работ. </w:t>
      </w:r>
    </w:p>
    <w:p w14:paraId="3B04C5A7">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4.4.8. Соблюдать права и законные интересы Заказчика в отношении любого вопроса, связанного с Договором, на всех этапах исполнения Договора.</w:t>
      </w:r>
    </w:p>
    <w:p w14:paraId="523DCC87">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4.4.9. Своими силами и за свой счет устранять недостатки в выполненных Работах.</w:t>
      </w:r>
    </w:p>
    <w:p w14:paraId="04A25916">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4.4.10. Не использовать территорию Заказчика для осуществления иной деятельности, кроме той, что предусмотрена настоящим Договором либо иным соглашением Сторон.</w:t>
      </w:r>
    </w:p>
    <w:p w14:paraId="3B2F43CF">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4.4.11. Неукоснительно соблюдать правила техники безопасности, производственной санитарии, противопожарной безопасности, охраны окружающей среды, выполнять в полном объеме все предписания пожарного надзора, Роспотребнадзора и других правовых инспекций по вопросам, связанным с осуществлением своей деятельности на территории Заказчика.</w:t>
      </w:r>
    </w:p>
    <w:p w14:paraId="213D9B15">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4.4.12. Не передавать свои права и обязанности по настоящему Договору, полностью или частично, другому лицу без предварительного письменного согласия Заказчика.</w:t>
      </w:r>
    </w:p>
    <w:p w14:paraId="098321ED">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4.4.13. В течение срока действия Договора и в течение трех лет после его окончания не раскрывать перед третьими лицами информацию, имеющую конфиденциальный характер, связанную с Договором, уставной деятельностью Заказчика и т.д., без предварительного его письменного согласия.</w:t>
      </w:r>
    </w:p>
    <w:p w14:paraId="00BE6D4A">
      <w:pPr>
        <w:spacing w:before="120" w:after="0" w:line="240" w:lineRule="auto"/>
        <w:ind w:hanging="360"/>
        <w:jc w:val="center"/>
        <w:rPr>
          <w:rFonts w:ascii="Times New Roman" w:hAnsi="Times New Roman" w:eastAsia="Times New Roman" w:cs="Times New Roman"/>
          <w:b/>
          <w:bCs/>
          <w:caps/>
          <w:color w:val="000000" w:themeColor="text1"/>
          <w:lang w:eastAsia="ru-RU"/>
          <w14:textFill>
            <w14:solidFill>
              <w14:schemeClr w14:val="tx1"/>
            </w14:solidFill>
          </w14:textFill>
        </w:rPr>
      </w:pPr>
      <w:r>
        <w:rPr>
          <w:rFonts w:ascii="Times New Roman" w:hAnsi="Times New Roman" w:eastAsia="Times New Roman" w:cs="Times New Roman"/>
          <w:b/>
          <w:bCs/>
          <w:caps/>
          <w:color w:val="000000" w:themeColor="text1"/>
          <w:lang w:eastAsia="ru-RU"/>
          <w14:textFill>
            <w14:solidFill>
              <w14:schemeClr w14:val="tx1"/>
            </w14:solidFill>
          </w14:textFill>
        </w:rPr>
        <w:t>5. Порядок сдачи-приемки РАБОТ</w:t>
      </w:r>
    </w:p>
    <w:p w14:paraId="05C3AECE">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5.1. Подрядчик обязан письменно уведомить Заказчика о завершении работ по настоящему Договору и готовности объекта к сдаче. Заказчик, получивший сообщение Подрядчика, назначает проведение рабочей (приемочной) комиссии и приступает к приемке результата выполненных работ.</w:t>
      </w:r>
    </w:p>
    <w:p w14:paraId="01E9E57B">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5.2. Подрядчик в течение 5 рабочих дней после окончания выполнения работ предсотавляет Заказчику исполнительную документацию, протокол  приемо-сдаточных испытаний, предусмотренных Приложением № 1 к Договору и направляет Заказчику для подписания акт выполненных работ.</w:t>
      </w:r>
    </w:p>
    <w:p w14:paraId="2167F02D">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5.3. Заказчик в течение 5 рабочих дней после получения от Подрядчика актов, указанных в пункте 5.2 настоящего Договора, обязан при отсутствии претензий осуществить приемку результата работ и подписать представленные акты выполненных работ либо направить Подрядчику мотивированный отказ от их подписания.</w:t>
      </w:r>
    </w:p>
    <w:p w14:paraId="36CB15BE">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5.4. При обнаружении Заказчиком в ходе приемки работ недостатков в выполненной работе сторонами незамедлительно составляется об этом акт, в котором фиксируется перечень дефектов (недоделок) и сроки их устранения Подрядчиком, предварительно согласованных Сторонами. В случае отказа (уклонения) Подрядчиком от подписания такого акта, на акте делается пометка об этом, и акт подписывается Заказчиком. Подрядчик обязан устранить все обнаруженные недостатки своими силами и за свой счет в сроки, указанные в таком акте, обеспечив при этом сохранность объекта. </w:t>
      </w:r>
    </w:p>
    <w:p w14:paraId="3C53E9F2">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5.5. Заказчик, принявший работу без проверки, не лишается права ссылаться на недостатки работы, которые могли быть установлены при приемке.</w:t>
      </w:r>
    </w:p>
    <w:p w14:paraId="7D5403CA">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5.6. Заказчик вправе отказаться от приемки объекта в случае обнаружения недостатков, которые исключают его эксплуатацию и не могут быть устранены Подрядчиком или Заказчиком.</w:t>
      </w:r>
    </w:p>
    <w:p w14:paraId="5A3A2D5B">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5.7. Работы на объекте считаются принятыми со дня предсотавления Заказчику исполнительную документацию, протокола  приемо-сдаточных испытаний, предусмотренных Приложением № 1 к Договору и  подписания сторонами акта выполненных работ. После этого Подрядчик освобождается от ответственности за его сохранность. Акт сдачи-приемки выполненных работ подписывается Заказчиком не ранее устранения всех недостатков. </w:t>
      </w:r>
    </w:p>
    <w:p w14:paraId="3141D6AD">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5.8. Для проверки результата выполненных работ Заказчик вправе провести экспертизу за свой счет своими силами или с привлечением экспертов, экспертных организаций. </w:t>
      </w:r>
    </w:p>
    <w:p w14:paraId="5CABB41C">
      <w:pPr>
        <w:suppressAutoHyphens/>
        <w:spacing w:before="120" w:after="0" w:line="240" w:lineRule="auto"/>
        <w:ind w:firstLine="11"/>
        <w:jc w:val="center"/>
        <w:rPr>
          <w:rFonts w:ascii="Times New Roman" w:hAnsi="Times New Roman" w:eastAsia="Times New Roman" w:cs="Times New Roman"/>
          <w:b/>
          <w:bCs/>
          <w:color w:val="000000" w:themeColor="text1"/>
          <w:lang w:eastAsia="ru-RU"/>
          <w14:textFill>
            <w14:solidFill>
              <w14:schemeClr w14:val="tx1"/>
            </w14:solidFill>
          </w14:textFill>
        </w:rPr>
      </w:pPr>
    </w:p>
    <w:p w14:paraId="7E0E4FD1">
      <w:pPr>
        <w:suppressAutoHyphens/>
        <w:spacing w:before="120" w:after="0" w:line="240" w:lineRule="auto"/>
        <w:ind w:firstLine="11"/>
        <w:jc w:val="center"/>
        <w:rPr>
          <w:rFonts w:ascii="Times New Roman" w:hAnsi="Times New Roman" w:eastAsia="Times New Roman" w:cs="Times New Roman"/>
          <w:b/>
          <w:bCs/>
          <w:color w:val="000000" w:themeColor="text1"/>
          <w:lang w:eastAsia="ru-RU"/>
          <w14:textFill>
            <w14:solidFill>
              <w14:schemeClr w14:val="tx1"/>
            </w14:solidFill>
          </w14:textFill>
        </w:rPr>
      </w:pPr>
      <w:r>
        <w:rPr>
          <w:rFonts w:ascii="Times New Roman" w:hAnsi="Times New Roman" w:eastAsia="Times New Roman" w:cs="Times New Roman"/>
          <w:b/>
          <w:bCs/>
          <w:color w:val="000000" w:themeColor="text1"/>
          <w:lang w:eastAsia="ru-RU"/>
          <w14:textFill>
            <w14:solidFill>
              <w14:schemeClr w14:val="tx1"/>
            </w14:solidFill>
          </w14:textFill>
        </w:rPr>
        <w:t>6. ГАРАНТИИ КАЧЕСТВА</w:t>
      </w:r>
    </w:p>
    <w:p w14:paraId="09650EE4">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6.1.  Подрядчик предоставляет гарантию качества на выполненные Работы не менее 3 (трех) лет с момента подписания акта сдачи-приемки объекта в эксплуатацию. </w:t>
      </w:r>
    </w:p>
    <w:p w14:paraId="69B5E914">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6.2. Подрядчик гарантирует, что поставляемые запасные части (расходные материалы, оборудование), используемые при выполнении Работ, являются новыми, изготовлены в соответствии со стандартами и техническими условиями, не имеют дефектов, связанных с конструкцией, материалами или функционированием, при штатном их использовании.</w:t>
      </w:r>
    </w:p>
    <w:p w14:paraId="2E77C376">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6.3. Гарантийные обязательства на установленные запасные части (расходные материалы, оборудование) должны соответствовать или превосходить по срокам и объемам гарантийные обязательства, установленные заводом-изготовителем.</w:t>
      </w:r>
    </w:p>
    <w:p w14:paraId="11627055">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6.4. В течение гарантийного срока Подрядчик обеспечивает бесплатное устранение недостатков выполненных Работ и замену некачественных запасных частей (расходных материалов).</w:t>
      </w:r>
    </w:p>
    <w:p w14:paraId="21BCE361">
      <w:pPr>
        <w:suppressAutoHyphens/>
        <w:spacing w:before="120" w:after="0" w:line="240" w:lineRule="auto"/>
        <w:ind w:firstLine="11"/>
        <w:jc w:val="center"/>
        <w:rPr>
          <w:rFonts w:ascii="Times New Roman" w:hAnsi="Times New Roman" w:eastAsia="MS Mincho" w:cs="Times New Roman"/>
          <w:b/>
          <w:bCs/>
          <w:color w:val="000000" w:themeColor="text1"/>
          <w:lang w:eastAsia="ru-RU"/>
          <w14:textFill>
            <w14:solidFill>
              <w14:schemeClr w14:val="tx1"/>
            </w14:solidFill>
          </w14:textFill>
        </w:rPr>
      </w:pPr>
    </w:p>
    <w:p w14:paraId="728C8B94">
      <w:pPr>
        <w:suppressAutoHyphens/>
        <w:spacing w:before="120" w:after="0" w:line="240" w:lineRule="auto"/>
        <w:ind w:firstLine="11"/>
        <w:jc w:val="center"/>
        <w:rPr>
          <w:rFonts w:ascii="Times New Roman" w:hAnsi="Times New Roman" w:eastAsia="MS Mincho" w:cs="Times New Roman"/>
          <w:b/>
          <w:bCs/>
          <w:color w:val="000000" w:themeColor="text1"/>
          <w:lang w:eastAsia="ru-RU"/>
          <w14:textFill>
            <w14:solidFill>
              <w14:schemeClr w14:val="tx1"/>
            </w14:solidFill>
          </w14:textFill>
        </w:rPr>
      </w:pPr>
      <w:r>
        <w:rPr>
          <w:rFonts w:ascii="Times New Roman" w:hAnsi="Times New Roman" w:eastAsia="MS Mincho" w:cs="Times New Roman"/>
          <w:b/>
          <w:bCs/>
          <w:color w:val="000000" w:themeColor="text1"/>
          <w:lang w:eastAsia="ru-RU"/>
          <w14:textFill>
            <w14:solidFill>
              <w14:schemeClr w14:val="tx1"/>
            </w14:solidFill>
          </w14:textFill>
        </w:rPr>
        <w:t>7. ОБСТОЯТЕЛЬСТВА НЕПРЕОДОЛИМОЙ СИЛЫ</w:t>
      </w:r>
    </w:p>
    <w:p w14:paraId="740B19D4">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7.1. Стороны освобождаются от ответственности за полное или частичное неисполнение обязательств по Договору в случае, если оно явилось следствием обстоятельств непреодолимой силы, имеющих место на территории всей страны или отдельных ее местностях, а именно: наводнений, эпидемий, землетрясения, диверсии, военных действий, эмбарго, блокады, восстаний, массовых беспорядков, саботажа, забастовок, локаутов, чрезвычайного или военного положения, враждебных действий какого-либо другого государства, изменений законодательства, препятствующих надлежащему исполнению настоящего Договора,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и которые Стороны были не в состоянии предвидеть или предотвратить.</w:t>
      </w:r>
    </w:p>
    <w:p w14:paraId="12DC473F">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7.2. Сторона, которая по причине обстоятельств непреодолимой силы не может исполнить обязательства по настоящему Договору, обязана немедленно уведомить другую Сторону о возникновении, виде и возможной продолжительности действия указанных обстоятельств. Данное уведомление должно быть подтверждено компетентным органом территории, где данное обстоятельство имело место. </w:t>
      </w:r>
    </w:p>
    <w:p w14:paraId="7383D690">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7.3. Если такого уведомления не будет сделано в возможно более короткий срок, Сторона, подвергшаяся действию обстоятельств непреодолимой силы, лишается права ссылаться на них в свое оправдание, если только само обстоятельство не давало возможности послать уведомление.</w:t>
      </w:r>
    </w:p>
    <w:p w14:paraId="340D76D5">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7.4. Возникновение обстоятельств непреодолимой силы, предусмотренных пунктом 7.1. Договора, при условии соблюдения требований пункта 7.2. Договора, продлевает срок исполнения обязательств по Договору на период, который в целом соответствует сроку действия наступившего обстоятельства.</w:t>
      </w:r>
    </w:p>
    <w:p w14:paraId="0D5CCBB3">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7.5. Если обстоятельства непреодолимой силы будут продолжаться свыше 1 месяца и указанные обстоятельства повлекут за собой невозможность исполнения Договора соответствующей Стороной, то каждая из Сторон вправе отказаться от исполнения настоящего Договора. В этом случае Сторона не вправе требовать от другой Стороны возмещения убытков.</w:t>
      </w:r>
    </w:p>
    <w:p w14:paraId="0FF167DA">
      <w:pPr>
        <w:suppressAutoHyphens/>
        <w:spacing w:before="120" w:after="0" w:line="240" w:lineRule="auto"/>
        <w:ind w:firstLine="11"/>
        <w:jc w:val="both"/>
        <w:rPr>
          <w:rFonts w:ascii="Times New Roman" w:hAnsi="Times New Roman" w:eastAsia="MS Mincho" w:cs="Times New Roman"/>
          <w:b/>
          <w:color w:val="000000" w:themeColor="text1"/>
          <w:lang w:eastAsia="ru-RU"/>
          <w14:textFill>
            <w14:solidFill>
              <w14:schemeClr w14:val="tx1"/>
            </w14:solidFill>
          </w14:textFill>
        </w:rPr>
      </w:pPr>
    </w:p>
    <w:p w14:paraId="48273FE3">
      <w:pPr>
        <w:spacing w:before="120" w:after="0" w:line="240" w:lineRule="auto"/>
        <w:ind w:firstLine="11"/>
        <w:jc w:val="center"/>
        <w:rPr>
          <w:rFonts w:ascii="Times New Roman" w:hAnsi="Times New Roman" w:eastAsia="MS Mincho" w:cs="Times New Roman"/>
          <w:b/>
          <w:caps/>
          <w:color w:val="000000" w:themeColor="text1"/>
          <w:lang w:eastAsia="ru-RU"/>
          <w14:textFill>
            <w14:solidFill>
              <w14:schemeClr w14:val="tx1"/>
            </w14:solidFill>
          </w14:textFill>
        </w:rPr>
      </w:pPr>
      <w:r>
        <w:rPr>
          <w:rFonts w:ascii="Times New Roman" w:hAnsi="Times New Roman" w:eastAsia="MS Mincho" w:cs="Times New Roman"/>
          <w:b/>
          <w:color w:val="000000" w:themeColor="text1"/>
          <w:lang w:eastAsia="ru-RU"/>
          <w14:textFill>
            <w14:solidFill>
              <w14:schemeClr w14:val="tx1"/>
            </w14:solidFill>
          </w14:textFill>
        </w:rPr>
        <w:t xml:space="preserve">8. </w:t>
      </w:r>
      <w:r>
        <w:rPr>
          <w:rFonts w:ascii="Times New Roman" w:hAnsi="Times New Roman" w:eastAsia="MS Mincho" w:cs="Times New Roman"/>
          <w:b/>
          <w:caps/>
          <w:color w:val="000000" w:themeColor="text1"/>
          <w:lang w:eastAsia="ru-RU"/>
          <w14:textFill>
            <w14:solidFill>
              <w14:schemeClr w14:val="tx1"/>
            </w14:solidFill>
          </w14:textFill>
        </w:rPr>
        <w:t>Ответственность сторон</w:t>
      </w:r>
    </w:p>
    <w:p w14:paraId="147B9E7D">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8.1. В случае неисполнения или ненадлежащего исполнения одной Стороной своих обязанностей, вытекающих из настоящего Договора, последняя обязана возместить другой Стороне причиненные в результате этого убытки. </w:t>
      </w:r>
    </w:p>
    <w:p w14:paraId="57A8D026">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8.2. За нарушение установленных настоящим Договором начального и конечного сроков выполнения Работ Подрядчик уплачивает Заказчику неустойку в размере 0,1% от Цены выполняемых Работ за каждый день просрочки. </w:t>
      </w:r>
    </w:p>
    <w:p w14:paraId="7312B671">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8.3. В случае нарушения установленных Заказчиком сроков устранения обнаруженных им недостатков Работ Подрядчик уплачивает Заказчику неустойку в размере 0,1% от Цены выполняемых Работ за каждый день просрочки.</w:t>
      </w:r>
    </w:p>
    <w:p w14:paraId="4E2642A2">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8.4. Заказчик имеет право удержать неустойку из очередной суммы платежа причитающегося Подрядчику по настоящему Договру..</w:t>
      </w:r>
    </w:p>
    <w:p w14:paraId="2DE8BAF4">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8.5. Заказчик вправе отказаться от исполнения настоящего Договора и потребовать полного возмещения причиненных убытков, если отступления от условий Договора или иные недостатки Работ в установленные Заказчиком сроки не были устранены Подрядчиком либо являются существенными и неустранимыми.</w:t>
      </w:r>
    </w:p>
    <w:p w14:paraId="7D395B0F">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8.6. Заказчик вправе взыскать с Подрядчика убытки, причиненные неисполнением или ненадлежащим исполнением настоящего Договора, сверх суммы неустойки.</w:t>
      </w:r>
    </w:p>
    <w:p w14:paraId="5AD9E863">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8.7. Подрядчик несет ответственность по настоящему Договору за действия привлекаемых соисполнителей как за свои собственные.</w:t>
      </w:r>
    </w:p>
    <w:p w14:paraId="57BA1792">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8.8. В случае просрочки оплаты выполненных Работ Заказчик выплачивает по требованию Подрядчика неустойку (пени) в размере 1/300 действующей на день уплаты неустойки ключевой ставки Банка России от просроченного платежа за каждый день просрочки. Общий размер неустойки по настоящему пункту не может превышать 15% от просроченного платежа.</w:t>
      </w:r>
    </w:p>
    <w:p w14:paraId="6739FA78">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8.9. Уплата неустойки (процентов) не освобождает Стороны от выполнения своих обязательств в натуре.</w:t>
      </w:r>
    </w:p>
    <w:p w14:paraId="6ECB478B">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8.10. Все убытки, которые подлежат возмещению Сторонами в рамках настоящего Договора, возмещаются в размере, не превышающем документально подтвержденного прямого реального ущерба, исключая упущенную выгоду. Ни одна из Сторон не несет ответственности перед другой Стороной за упущенную выгоду</w:t>
      </w:r>
    </w:p>
    <w:p w14:paraId="77471986">
      <w:pPr>
        <w:spacing w:before="120" w:after="0" w:line="240" w:lineRule="auto"/>
        <w:ind w:firstLine="11"/>
        <w:jc w:val="both"/>
        <w:rPr>
          <w:rFonts w:ascii="Times New Roman" w:hAnsi="Times New Roman" w:eastAsia="Times New Roman" w:cs="Times New Roman"/>
          <w:b/>
          <w:color w:val="000000" w:themeColor="text1"/>
          <w:lang w:eastAsia="ru-RU"/>
          <w14:textFill>
            <w14:solidFill>
              <w14:schemeClr w14:val="tx1"/>
            </w14:solidFill>
          </w14:textFill>
        </w:rPr>
      </w:pPr>
    </w:p>
    <w:p w14:paraId="1CFDE8CD">
      <w:pPr>
        <w:spacing w:before="120" w:after="0" w:line="240" w:lineRule="auto"/>
        <w:ind w:firstLine="11"/>
        <w:jc w:val="center"/>
        <w:outlineLvl w:val="0"/>
        <w:rPr>
          <w:rFonts w:ascii="Times New Roman" w:hAnsi="Times New Roman" w:eastAsia="Times New Roman" w:cs="Times New Roman"/>
          <w:b/>
          <w:color w:val="000000" w:themeColor="text1"/>
          <w:lang w:eastAsia="ru-RU"/>
          <w14:textFill>
            <w14:solidFill>
              <w14:schemeClr w14:val="tx1"/>
            </w14:solidFill>
          </w14:textFill>
        </w:rPr>
      </w:pPr>
      <w:r>
        <w:rPr>
          <w:rFonts w:ascii="Times New Roman" w:hAnsi="Times New Roman" w:eastAsia="Times New Roman" w:cs="Times New Roman"/>
          <w:b/>
          <w:color w:val="000000" w:themeColor="text1"/>
          <w:lang w:eastAsia="ru-RU"/>
          <w14:textFill>
            <w14:solidFill>
              <w14:schemeClr w14:val="tx1"/>
            </w14:solidFill>
          </w14:textFill>
        </w:rPr>
        <w:t>9. ИЗМЕНЕНИЕ, РАСТОРЖЕНИЕ ДОГОВОРА</w:t>
      </w:r>
    </w:p>
    <w:p w14:paraId="31943D44">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9.1. Настоящий Договор может быть расторгнут по основаниям, предусмотренным законодательством и настоящим Договором.</w:t>
      </w:r>
    </w:p>
    <w:p w14:paraId="4BC6BA6D">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9.2. Досрочное расторжение Договора допускается по соглашению Сторон, по решению суда или в связи с односторонним отказом Стороны Договора от исполнения Договора в соответствии с действующим гражданским законодательством Российской Федерации.</w:t>
      </w:r>
    </w:p>
    <w:p w14:paraId="7806B19A">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9.3. При расторжении Договора по соглашению Стороны определяют и производят взаиморасчеты по возмещению понесенных затрат и убытков по предмету Договора, выплат неустоек.</w:t>
      </w:r>
    </w:p>
    <w:p w14:paraId="2EFCB7E4">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9.4. По требованию одной из Сторон Договор может быть расторгнут по решению суда при существенном нарушении Договора другой Стороной.</w:t>
      </w:r>
    </w:p>
    <w:p w14:paraId="0E2C56EC">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9.5. При расторжении Договора по совместному решению Заказчика и Подрядчика, Заказчик оплачивает Подрядчику стоимость фактически выполненных работ.</w:t>
      </w:r>
    </w:p>
    <w:p w14:paraId="03744F68">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9.6. Все уведомления в рамках настоящего Договора должны посылаться Сторонами в письменном виде или по телеграфу, или телексу/факсу, или по электронной почте с последующим отправлением по почте (заказным письмом с уведомлением о вручении).</w:t>
      </w:r>
    </w:p>
    <w:p w14:paraId="185615E4">
      <w:pPr>
        <w:spacing w:after="0" w:line="240" w:lineRule="auto"/>
        <w:ind w:firstLine="11"/>
        <w:jc w:val="both"/>
        <w:rPr>
          <w:rFonts w:ascii="Times New Roman" w:hAnsi="Times New Roman" w:eastAsia="Times New Roman" w:cs="Times New Roman"/>
          <w:b/>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9.7. Днем получения уведомления по настоящему Договору считается день доставки уведомления другой Стороне. </w:t>
      </w:r>
    </w:p>
    <w:p w14:paraId="64D50C40">
      <w:pPr>
        <w:spacing w:before="120" w:after="0" w:line="240" w:lineRule="auto"/>
        <w:ind w:firstLine="11"/>
        <w:jc w:val="center"/>
        <w:rPr>
          <w:rFonts w:ascii="Times New Roman" w:hAnsi="Times New Roman" w:eastAsia="Times New Roman" w:cs="Times New Roman"/>
          <w:b/>
          <w:color w:val="000000" w:themeColor="text1"/>
          <w:lang w:eastAsia="ru-RU"/>
          <w14:textFill>
            <w14:solidFill>
              <w14:schemeClr w14:val="tx1"/>
            </w14:solidFill>
          </w14:textFill>
        </w:rPr>
      </w:pPr>
      <w:r>
        <w:rPr>
          <w:rFonts w:ascii="Times New Roman" w:hAnsi="Times New Roman" w:eastAsia="Times New Roman" w:cs="Times New Roman"/>
          <w:b/>
          <w:color w:val="000000" w:themeColor="text1"/>
          <w:lang w:eastAsia="ru-RU"/>
          <w14:textFill>
            <w14:solidFill>
              <w14:schemeClr w14:val="tx1"/>
            </w14:solidFill>
          </w14:textFill>
        </w:rPr>
        <w:t>10.</w:t>
      </w:r>
      <w:r>
        <w:rPr>
          <w:rFonts w:ascii="Times New Roman" w:hAnsi="Times New Roman" w:eastAsia="Times New Roman" w:cs="Times New Roman"/>
          <w:b/>
          <w:color w:val="000000" w:themeColor="text1"/>
          <w:lang w:val="en-US" w:eastAsia="ru-RU"/>
          <w14:textFill>
            <w14:solidFill>
              <w14:schemeClr w14:val="tx1"/>
            </w14:solidFill>
          </w14:textFill>
        </w:rPr>
        <w:t> </w:t>
      </w:r>
      <w:r>
        <w:rPr>
          <w:rFonts w:ascii="Times New Roman" w:hAnsi="Times New Roman" w:eastAsia="Times New Roman" w:cs="Times New Roman"/>
          <w:b/>
          <w:color w:val="000000" w:themeColor="text1"/>
          <w:lang w:eastAsia="ru-RU"/>
          <w14:textFill>
            <w14:solidFill>
              <w14:schemeClr w14:val="tx1"/>
            </w14:solidFill>
          </w14:textFill>
        </w:rPr>
        <w:t>ПОРЯДОК УРЕГУЛИРОВАНИЯ СПОРОВ</w:t>
      </w:r>
    </w:p>
    <w:p w14:paraId="1B9DF561">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10.1. Заказчик и Подрядчик должны приложить все усилия, чтобы разрешить путем прямых переговоров все противоречия или спорные вопросы, возникающие между ними в рамках настоящего Договора или в связи с ним.</w:t>
      </w:r>
    </w:p>
    <w:p w14:paraId="2D4425D7">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10.2. Если в течение тридцати календарных дней после начала таких переговоров Заказчик и Подрядчик не смогут решить спорный вопрос по настоящему Договору к обоюдному удовлетворению Сторон, любая Сторона может потребовать разрешения этого вопроса в Арбитражном суде г. Санкт-Петербурга и Ленинградской области.</w:t>
      </w:r>
    </w:p>
    <w:p w14:paraId="53134FCE">
      <w:pPr>
        <w:spacing w:before="120" w:after="0" w:line="240" w:lineRule="auto"/>
        <w:ind w:firstLine="11"/>
        <w:jc w:val="both"/>
        <w:rPr>
          <w:rFonts w:ascii="Times New Roman" w:hAnsi="Times New Roman" w:eastAsia="Times New Roman" w:cs="Times New Roman"/>
          <w:b/>
          <w:color w:val="000000" w:themeColor="text1"/>
          <w:lang w:eastAsia="ru-RU"/>
          <w14:textFill>
            <w14:solidFill>
              <w14:schemeClr w14:val="tx1"/>
            </w14:solidFill>
          </w14:textFill>
        </w:rPr>
      </w:pPr>
    </w:p>
    <w:p w14:paraId="594BFB76">
      <w:pPr>
        <w:spacing w:before="120" w:after="0" w:line="240" w:lineRule="auto"/>
        <w:ind w:firstLine="11"/>
        <w:jc w:val="center"/>
        <w:rPr>
          <w:rFonts w:ascii="Times New Roman" w:hAnsi="Times New Roman" w:eastAsia="Times New Roman" w:cs="Times New Roman"/>
          <w:b/>
          <w:color w:val="000000" w:themeColor="text1"/>
          <w:lang w:eastAsia="ru-RU"/>
          <w14:textFill>
            <w14:solidFill>
              <w14:schemeClr w14:val="tx1"/>
            </w14:solidFill>
          </w14:textFill>
        </w:rPr>
      </w:pPr>
      <w:r>
        <w:rPr>
          <w:rFonts w:ascii="Times New Roman" w:hAnsi="Times New Roman" w:eastAsia="Times New Roman" w:cs="Times New Roman"/>
          <w:b/>
          <w:color w:val="000000" w:themeColor="text1"/>
          <w:lang w:eastAsia="ru-RU"/>
          <w14:textFill>
            <w14:solidFill>
              <w14:schemeClr w14:val="tx1"/>
            </w14:solidFill>
          </w14:textFill>
        </w:rPr>
        <w:t>11.</w:t>
      </w:r>
      <w:r>
        <w:rPr>
          <w:rFonts w:ascii="Times New Roman" w:hAnsi="Times New Roman" w:eastAsia="Times New Roman" w:cs="Times New Roman"/>
          <w:b/>
          <w:color w:val="000000" w:themeColor="text1"/>
          <w:lang w:val="en-US" w:eastAsia="ru-RU"/>
          <w14:textFill>
            <w14:solidFill>
              <w14:schemeClr w14:val="tx1"/>
            </w14:solidFill>
          </w14:textFill>
        </w:rPr>
        <w:t> </w:t>
      </w:r>
      <w:r>
        <w:rPr>
          <w:rFonts w:ascii="Times New Roman" w:hAnsi="Times New Roman" w:eastAsia="Times New Roman" w:cs="Times New Roman"/>
          <w:b/>
          <w:color w:val="000000" w:themeColor="text1"/>
          <w:lang w:eastAsia="ru-RU"/>
          <w14:textFill>
            <w14:solidFill>
              <w14:schemeClr w14:val="tx1"/>
            </w14:solidFill>
          </w14:textFill>
        </w:rPr>
        <w:t>ПРОЧИЕ УСЛОВИЯ</w:t>
      </w:r>
    </w:p>
    <w:p w14:paraId="645E9A76">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11.1. Все изменения и дополнения к настоящему Договору считаются действительными, если они оформлены в письменной форме и подписаны обеими Сторонами. Все приложения к настоящему Договору являются его неотъемлемой частью.</w:t>
      </w:r>
    </w:p>
    <w:p w14:paraId="4DC00938">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11.2. В случае изменения адреса либо иных реквизитов Стороны обязаны уведомить об этом друг друга в недельный срок со дня таких изменений.</w:t>
      </w:r>
    </w:p>
    <w:p w14:paraId="1CF1B952">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11.3. Настоящий Договор составлен в 2-х экземплярах, имеющих равную юридическую силу, которые хранятся каждой из Сторон.</w:t>
      </w:r>
    </w:p>
    <w:p w14:paraId="34B6F393">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11.4. Во всем остальном, не оговоренном настоящим Договором, Стороны руководствуются действующим законодательством.</w:t>
      </w:r>
    </w:p>
    <w:p w14:paraId="52B73948">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11.5. По письменному запросу Заказчика Подрядчик предоставляет информацию о составе владельцев Подрядчика, включая конечных бенефициаров, и (или) исполнительных органах Подрядчика.</w:t>
      </w:r>
    </w:p>
    <w:p w14:paraId="790ACD11">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11.6. Заказчик вправе расторгнуть настоящий Договор в порядке, установленном законодательством Российской Федерации, в случае непредставления Подрядчиком по письменному запросу сведений, указанных в п. 11.5 настоящего Договора.</w:t>
      </w:r>
    </w:p>
    <w:p w14:paraId="708922B9">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11.7. Настоящий Договор вступает в силу с даты подписания сторонами, действует до 30.03.2027 и до полного исполнения Сторонами обязательств по Договору </w:t>
      </w:r>
    </w:p>
    <w:p w14:paraId="22C2E0DF">
      <w:pPr>
        <w:spacing w:before="120" w:after="0" w:line="240" w:lineRule="auto"/>
        <w:ind w:firstLine="11"/>
        <w:jc w:val="both"/>
        <w:rPr>
          <w:rFonts w:ascii="Times New Roman" w:hAnsi="Times New Roman" w:eastAsia="Times New Roman" w:cs="Times New Roman"/>
          <w:b/>
          <w:color w:val="000000" w:themeColor="text1"/>
          <w:lang w:eastAsia="ru-RU"/>
          <w14:textFill>
            <w14:solidFill>
              <w14:schemeClr w14:val="tx1"/>
            </w14:solidFill>
          </w14:textFill>
        </w:rPr>
      </w:pPr>
    </w:p>
    <w:p w14:paraId="11DD274B">
      <w:pPr>
        <w:spacing w:before="120" w:after="0" w:line="240" w:lineRule="auto"/>
        <w:ind w:firstLine="11"/>
        <w:jc w:val="center"/>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b/>
          <w:color w:val="000000" w:themeColor="text1"/>
          <w:lang w:eastAsia="ru-RU"/>
          <w14:textFill>
            <w14:solidFill>
              <w14:schemeClr w14:val="tx1"/>
            </w14:solidFill>
          </w14:textFill>
        </w:rPr>
        <w:t>12. ОБЕСПЕЧЕНИЕ ИСПОЛНЕНИЯ ДОГОВОРА</w:t>
      </w:r>
    </w:p>
    <w:p w14:paraId="1D0C6540">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12.1. Договор заключается только после предоставления Подрядчиком обеспечения исполнения договора в размере _____________ руб.</w:t>
      </w:r>
    </w:p>
    <w:p w14:paraId="03405DBB">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12.2. Исполнение договора может обеспечиваться следующими способами: предоставлением безотзывной банковской гарантии, выданной банком и соответствующей требованиям действующего законодательства Российской Федерации,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
    <w:p w14:paraId="3215B2FF">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12.3. Если Подрядчиком является государственное или муниципальное казенное либо бюджетное учреждение, предоставление обеспечения исполнения договора не требуется.</w:t>
      </w:r>
    </w:p>
    <w:p w14:paraId="2C9C6ED7">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12.4. В ходе исполнения договора Подрядчик по согласованию с Заказчиком вправе изменить способ обеспечения исполнения договора.</w:t>
      </w:r>
    </w:p>
    <w:p w14:paraId="6E6B75F4">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12.5. Денежные средства, вносимые Подрядчиком в качестве обеспечения исполнения договора, возвращаются Подрядчику при условии надлежащего исполнения им всех своих обязательств по договору в течение 10 (десяти) банковских дней со дня получения Заказчиком соответствующего письменного требования. Денежные средства возвращаются на банковский счет, указанный Подрядчиком в этом письменном требовании.</w:t>
      </w:r>
    </w:p>
    <w:p w14:paraId="19854C49">
      <w:pPr>
        <w:spacing w:before="120" w:after="0" w:line="240" w:lineRule="auto"/>
        <w:ind w:firstLine="11"/>
        <w:jc w:val="center"/>
        <w:rPr>
          <w:rFonts w:ascii="Times New Roman" w:hAnsi="Times New Roman" w:eastAsia="Times New Roman" w:cs="Times New Roman"/>
          <w:b/>
          <w:color w:val="000000" w:themeColor="text1"/>
          <w:lang w:eastAsia="ru-RU"/>
          <w14:textFill>
            <w14:solidFill>
              <w14:schemeClr w14:val="tx1"/>
            </w14:solidFill>
          </w14:textFill>
        </w:rPr>
      </w:pPr>
    </w:p>
    <w:p w14:paraId="4BAADCFB">
      <w:pPr>
        <w:spacing w:before="120" w:after="0" w:line="240" w:lineRule="auto"/>
        <w:ind w:firstLine="11"/>
        <w:jc w:val="center"/>
        <w:rPr>
          <w:rFonts w:ascii="Times New Roman" w:hAnsi="Times New Roman" w:eastAsia="Times New Roman" w:cs="Times New Roman"/>
          <w:b/>
          <w:color w:val="000000" w:themeColor="text1"/>
          <w:lang w:eastAsia="ru-RU"/>
          <w14:textFill>
            <w14:solidFill>
              <w14:schemeClr w14:val="tx1"/>
            </w14:solidFill>
          </w14:textFill>
        </w:rPr>
      </w:pPr>
      <w:r>
        <w:rPr>
          <w:rFonts w:ascii="Times New Roman" w:hAnsi="Times New Roman" w:eastAsia="Times New Roman" w:cs="Times New Roman"/>
          <w:b/>
          <w:color w:val="000000" w:themeColor="text1"/>
          <w:lang w:eastAsia="ru-RU"/>
          <w14:textFill>
            <w14:solidFill>
              <w14:schemeClr w14:val="tx1"/>
            </w14:solidFill>
          </w14:textFill>
        </w:rPr>
        <w:t>13.</w:t>
      </w:r>
      <w:r>
        <w:rPr>
          <w:rFonts w:ascii="Times New Roman" w:hAnsi="Times New Roman" w:eastAsia="Times New Roman" w:cs="Times New Roman"/>
          <w:b/>
          <w:color w:val="000000" w:themeColor="text1"/>
          <w:lang w:val="en-US" w:eastAsia="ru-RU"/>
          <w14:textFill>
            <w14:solidFill>
              <w14:schemeClr w14:val="tx1"/>
            </w14:solidFill>
          </w14:textFill>
        </w:rPr>
        <w:t> </w:t>
      </w:r>
      <w:r>
        <w:rPr>
          <w:rFonts w:ascii="Times New Roman" w:hAnsi="Times New Roman" w:eastAsia="Times New Roman" w:cs="Times New Roman"/>
          <w:b/>
          <w:color w:val="000000" w:themeColor="text1"/>
          <w:lang w:eastAsia="ru-RU"/>
          <w14:textFill>
            <w14:solidFill>
              <w14:schemeClr w14:val="tx1"/>
            </w14:solidFill>
          </w14:textFill>
        </w:rPr>
        <w:t>ПРИЛОЖЕНИЯ</w:t>
      </w:r>
    </w:p>
    <w:p w14:paraId="62912CDA">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13.1. Приложения, являющиеся неотъемлемой частью настоящего Договора: </w:t>
      </w:r>
    </w:p>
    <w:p w14:paraId="5DAD3AC0">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13.1.1. Приложение № 1 – Техническое задание;</w:t>
      </w:r>
    </w:p>
    <w:p w14:paraId="279447BD">
      <w:pPr>
        <w:spacing w:after="0" w:line="240" w:lineRule="auto"/>
        <w:ind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13.1.2. Приложение № 2 – Локальный сметный расчет.</w:t>
      </w:r>
      <w:r>
        <w:rPr>
          <w:rFonts w:ascii="Times New Roman" w:hAnsi="Times New Roman" w:eastAsia="Times New Roman" w:cs="Times New Roman"/>
          <w:color w:val="000000" w:themeColor="text1"/>
          <w:sz w:val="24"/>
          <w:szCs w:val="24"/>
          <w:lang w:eastAsia="ru-RU"/>
          <w14:textFill>
            <w14:solidFill>
              <w14:schemeClr w14:val="tx1"/>
            </w14:solidFill>
          </w14:textFill>
        </w:rPr>
        <w:t xml:space="preserve"> </w:t>
      </w:r>
    </w:p>
    <w:p w14:paraId="49773A1F">
      <w:pPr>
        <w:spacing w:after="0" w:line="240" w:lineRule="auto"/>
        <w:jc w:val="center"/>
        <w:rPr>
          <w:rFonts w:ascii="Times New Roman" w:hAnsi="Times New Roman" w:eastAsia="Times New Roman" w:cs="Times New Roman"/>
          <w:b/>
          <w:color w:val="000000" w:themeColor="text1"/>
          <w:lang w:eastAsia="ru-RU"/>
          <w14:textFill>
            <w14:solidFill>
              <w14:schemeClr w14:val="tx1"/>
            </w14:solidFill>
          </w14:textFill>
        </w:rPr>
      </w:pPr>
    </w:p>
    <w:p w14:paraId="084FC5AE">
      <w:pPr>
        <w:spacing w:after="0" w:line="240" w:lineRule="auto"/>
        <w:ind w:firstLine="11"/>
        <w:jc w:val="center"/>
        <w:outlineLvl w:val="0"/>
        <w:rPr>
          <w:rFonts w:ascii="Times New Roman" w:hAnsi="Times New Roman" w:eastAsia="MS Mincho" w:cs="Times New Roman"/>
          <w:b/>
          <w:caps/>
          <w:color w:val="000000" w:themeColor="text1"/>
          <w:lang w:eastAsia="ru-RU"/>
          <w14:textFill>
            <w14:solidFill>
              <w14:schemeClr w14:val="tx1"/>
            </w14:solidFill>
          </w14:textFill>
        </w:rPr>
      </w:pPr>
    </w:p>
    <w:p w14:paraId="138867C4">
      <w:pPr>
        <w:spacing w:after="0" w:line="240" w:lineRule="auto"/>
        <w:ind w:firstLine="11"/>
        <w:jc w:val="center"/>
        <w:outlineLvl w:val="0"/>
        <w:rPr>
          <w:rFonts w:ascii="Times New Roman" w:hAnsi="Times New Roman" w:eastAsia="MS Mincho" w:cs="Times New Roman"/>
          <w:b/>
          <w:caps/>
          <w:color w:val="000000" w:themeColor="text1"/>
          <w:lang w:eastAsia="ru-RU"/>
          <w14:textFill>
            <w14:solidFill>
              <w14:schemeClr w14:val="tx1"/>
            </w14:solidFill>
          </w14:textFill>
        </w:rPr>
      </w:pPr>
      <w:r>
        <w:rPr>
          <w:rFonts w:ascii="Times New Roman" w:hAnsi="Times New Roman" w:eastAsia="MS Mincho" w:cs="Times New Roman"/>
          <w:b/>
          <w:caps/>
          <w:color w:val="000000" w:themeColor="text1"/>
          <w:lang w:eastAsia="ru-RU"/>
          <w14:textFill>
            <w14:solidFill>
              <w14:schemeClr w14:val="tx1"/>
            </w14:solidFill>
          </w14:textFill>
        </w:rPr>
        <w:t>13. реквизиты сторон</w:t>
      </w:r>
    </w:p>
    <w:p w14:paraId="5D45C24F">
      <w:pPr>
        <w:tabs>
          <w:tab w:val="left" w:pos="4111"/>
          <w:tab w:val="left" w:pos="4253"/>
          <w:tab w:val="left" w:pos="4962"/>
          <w:tab w:val="left" w:pos="5103"/>
        </w:tabs>
        <w:autoSpaceDE w:val="0"/>
        <w:autoSpaceDN w:val="0"/>
        <w:spacing w:after="0" w:line="240" w:lineRule="auto"/>
        <w:jc w:val="both"/>
        <w:outlineLvl w:val="0"/>
        <w:rPr>
          <w:rFonts w:ascii="Times New Roman" w:hAnsi="Times New Roman" w:eastAsia="Times New Roman" w:cs="Times New Roman"/>
          <w:b/>
          <w:bCs/>
          <w:color w:val="000000" w:themeColor="text1"/>
          <w:lang w:eastAsia="ru-RU"/>
          <w14:textFill>
            <w14:solidFill>
              <w14:schemeClr w14:val="tx1"/>
            </w14:solidFill>
          </w14:textFill>
        </w:rPr>
      </w:pPr>
      <w:bookmarkStart w:id="88" w:name="_Toc201641613"/>
      <w:r>
        <w:rPr>
          <w:rFonts w:ascii="Times New Roman" w:hAnsi="Times New Roman" w:eastAsia="Times New Roman" w:cs="Times New Roman"/>
          <w:b/>
          <w:bCs/>
          <w:color w:val="000000" w:themeColor="text1"/>
          <w:lang w:eastAsia="ru-RU"/>
          <w14:textFill>
            <w14:solidFill>
              <w14:schemeClr w14:val="tx1"/>
            </w14:solidFill>
          </w14:textFill>
        </w:rPr>
        <w:t>Заказчик</w:t>
      </w:r>
      <w:r>
        <w:rPr>
          <w:rFonts w:ascii="Times New Roman" w:hAnsi="Times New Roman" w:eastAsia="Times New Roman" w:cs="Times New Roman"/>
          <w:b/>
          <w:bCs/>
          <w:color w:val="000000" w:themeColor="text1"/>
          <w:lang w:eastAsia="ru-RU"/>
          <w14:textFill>
            <w14:solidFill>
              <w14:schemeClr w14:val="tx1"/>
            </w14:solidFill>
          </w14:textFill>
        </w:rPr>
        <w:tab/>
      </w:r>
      <w:r>
        <w:rPr>
          <w:rFonts w:ascii="Times New Roman" w:hAnsi="Times New Roman" w:eastAsia="Times New Roman" w:cs="Times New Roman"/>
          <w:b/>
          <w:bCs/>
          <w:color w:val="000000" w:themeColor="text1"/>
          <w:lang w:eastAsia="ru-RU"/>
          <w14:textFill>
            <w14:solidFill>
              <w14:schemeClr w14:val="tx1"/>
            </w14:solidFill>
          </w14:textFill>
        </w:rPr>
        <w:tab/>
      </w:r>
      <w:r>
        <w:rPr>
          <w:rFonts w:ascii="Times New Roman" w:hAnsi="Times New Roman" w:eastAsia="Times New Roman" w:cs="Times New Roman"/>
          <w:b/>
          <w:bCs/>
          <w:color w:val="000000" w:themeColor="text1"/>
          <w:lang w:eastAsia="ru-RU"/>
          <w14:textFill>
            <w14:solidFill>
              <w14:schemeClr w14:val="tx1"/>
            </w14:solidFill>
          </w14:textFill>
        </w:rPr>
        <w:t xml:space="preserve">       </w:t>
      </w:r>
      <w:r>
        <w:rPr>
          <w:rFonts w:ascii="Times New Roman" w:hAnsi="Times New Roman" w:eastAsia="Times New Roman" w:cs="Times New Roman"/>
          <w:b/>
          <w:bCs/>
          <w:color w:val="000000" w:themeColor="text1"/>
          <w:lang w:eastAsia="ru-RU"/>
          <w14:textFill>
            <w14:solidFill>
              <w14:schemeClr w14:val="tx1"/>
            </w14:solidFill>
          </w14:textFill>
        </w:rPr>
        <w:tab/>
      </w:r>
      <w:r>
        <w:rPr>
          <w:rFonts w:ascii="Times New Roman" w:hAnsi="Times New Roman" w:eastAsia="Times New Roman" w:cs="Times New Roman"/>
          <w:b/>
          <w:color w:val="000000" w:themeColor="text1"/>
          <w:lang w:eastAsia="ru-RU"/>
          <w14:textFill>
            <w14:solidFill>
              <w14:schemeClr w14:val="tx1"/>
            </w14:solidFill>
          </w14:textFill>
        </w:rPr>
        <w:t>Подрядчик</w:t>
      </w:r>
    </w:p>
    <w:bookmarkEnd w:id="88"/>
    <w:tbl>
      <w:tblPr>
        <w:tblStyle w:val="14"/>
        <w:tblW w:w="9889" w:type="dxa"/>
        <w:tblInd w:w="0" w:type="dxa"/>
        <w:tblLayout w:type="fixed"/>
        <w:tblCellMar>
          <w:top w:w="0" w:type="dxa"/>
          <w:left w:w="108" w:type="dxa"/>
          <w:bottom w:w="0" w:type="dxa"/>
          <w:right w:w="108" w:type="dxa"/>
        </w:tblCellMar>
      </w:tblPr>
      <w:tblGrid>
        <w:gridCol w:w="5070"/>
        <w:gridCol w:w="4819"/>
      </w:tblGrid>
      <w:tr w14:paraId="4F9EC788">
        <w:tblPrEx>
          <w:tblCellMar>
            <w:top w:w="0" w:type="dxa"/>
            <w:left w:w="108" w:type="dxa"/>
            <w:bottom w:w="0" w:type="dxa"/>
            <w:right w:w="108" w:type="dxa"/>
          </w:tblCellMar>
        </w:tblPrEx>
        <w:tc>
          <w:tcPr>
            <w:tcW w:w="5070" w:type="dxa"/>
          </w:tcPr>
          <w:p w14:paraId="2C88FBCF">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Федеральное государственное бюджетное образовательное учреждение высшего образования «Петербургский государственный университет путей сообщения Императора Александра I»</w:t>
            </w:r>
          </w:p>
          <w:p w14:paraId="2D86934D">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Юридический адрес: 190031, Санкт-Петербург, Московский пр., д.9</w:t>
            </w:r>
          </w:p>
          <w:p w14:paraId="31293059">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ОГРН 1027810241502</w:t>
            </w:r>
          </w:p>
          <w:p w14:paraId="6DFF41B0">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ИНН / КПП 7812009592 / 783801001</w:t>
            </w:r>
          </w:p>
          <w:p w14:paraId="13E543F1">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УФК по Нижегородской области</w:t>
            </w:r>
          </w:p>
          <w:p w14:paraId="390CFC02">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(ФГБОУ ВО ПГУПС л/сч.20726X57890)</w:t>
            </w:r>
          </w:p>
          <w:p w14:paraId="737FAD12">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ОКЦ №1 ВВГУ Банка России//УФК по Нижегородской области, </w:t>
            </w:r>
          </w:p>
          <w:p w14:paraId="5F9F952F">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г Нижний Новгород</w:t>
            </w:r>
          </w:p>
          <w:p w14:paraId="4468239D">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БИК 012202102   </w:t>
            </w:r>
          </w:p>
          <w:p w14:paraId="6933A37F">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Казначейский счет: 03214643000000013225</w:t>
            </w:r>
          </w:p>
          <w:p w14:paraId="52840E44">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Счет в составе ЕКС: 40102810745370000024</w:t>
            </w:r>
          </w:p>
          <w:p w14:paraId="0FB75488">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КБК 00000000000000000130</w:t>
            </w:r>
          </w:p>
          <w:p w14:paraId="0F1F7134">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ОКТМО 40302000</w:t>
            </w:r>
          </w:p>
          <w:p w14:paraId="04855B74">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ОКОНХ 92110</w:t>
            </w:r>
          </w:p>
          <w:p w14:paraId="4EDE101B">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ОКПО 01115840</w:t>
            </w:r>
          </w:p>
          <w:p w14:paraId="674CBE53">
            <w:pPr>
              <w:spacing w:after="0" w:line="240" w:lineRule="auto"/>
              <w:ind w:firstLine="11"/>
              <w:jc w:val="both"/>
              <w:rPr>
                <w:rFonts w:ascii="Times New Roman" w:hAnsi="Times New Roman" w:eastAsia="Times New Roman" w:cs="Times New Roman"/>
                <w:bCs/>
                <w:color w:val="000000" w:themeColor="text1"/>
                <w:sz w:val="24"/>
                <w:szCs w:val="24"/>
                <w:lang w:eastAsia="ru-RU"/>
                <w14:textFill>
                  <w14:solidFill>
                    <w14:schemeClr w14:val="tx1"/>
                  </w14:solidFill>
                </w14:textFill>
              </w:rPr>
            </w:pPr>
          </w:p>
          <w:p w14:paraId="7B2C42C4">
            <w:pPr>
              <w:spacing w:after="0" w:line="240" w:lineRule="auto"/>
              <w:ind w:firstLine="11"/>
              <w:jc w:val="both"/>
              <w:rPr>
                <w:rFonts w:ascii="Times New Roman" w:hAnsi="Times New Roman" w:eastAsia="Times New Roman" w:cs="Times New Roman"/>
                <w:bCs/>
                <w:color w:val="000000" w:themeColor="text1"/>
                <w:sz w:val="24"/>
                <w:szCs w:val="24"/>
                <w:lang w:eastAsia="ru-RU"/>
                <w14:textFill>
                  <w14:solidFill>
                    <w14:schemeClr w14:val="tx1"/>
                  </w14:solidFill>
                </w14:textFill>
              </w:rPr>
            </w:pPr>
            <w:r>
              <w:rPr>
                <w:rFonts w:ascii="Times New Roman" w:hAnsi="Times New Roman" w:eastAsia="Times New Roman" w:cs="Times New Roman"/>
                <w:bCs/>
                <w:color w:val="000000" w:themeColor="text1"/>
                <w:lang w:eastAsia="ru-RU"/>
                <w14:textFill>
                  <w14:solidFill>
                    <w14:schemeClr w14:val="tx1"/>
                  </w14:solidFill>
                </w14:textFill>
              </w:rPr>
              <w:t>__________________/_________________/</w:t>
            </w:r>
          </w:p>
          <w:p w14:paraId="0939CAA7">
            <w:pPr>
              <w:spacing w:after="0" w:line="240" w:lineRule="auto"/>
              <w:ind w:firstLine="11"/>
              <w:jc w:val="both"/>
              <w:rPr>
                <w:rFonts w:ascii="Times New Roman" w:hAnsi="Times New Roman" w:eastAsia="Times New Roman" w:cs="Times New Roman"/>
                <w:bCs/>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«____»___________________202__года</w:t>
            </w:r>
          </w:p>
        </w:tc>
        <w:tc>
          <w:tcPr>
            <w:tcW w:w="4819" w:type="dxa"/>
          </w:tcPr>
          <w:p w14:paraId="7D24B258">
            <w:pPr>
              <w:tabs>
                <w:tab w:val="left" w:pos="1260"/>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Наименование </w:t>
            </w:r>
          </w:p>
          <w:p w14:paraId="6C5249D8">
            <w:pPr>
              <w:tabs>
                <w:tab w:val="left" w:pos="1260"/>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Юридический адрес </w:t>
            </w:r>
          </w:p>
          <w:p w14:paraId="7DF35DCB">
            <w:pPr>
              <w:tabs>
                <w:tab w:val="left" w:pos="1260"/>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Почтовый адрес </w:t>
            </w:r>
          </w:p>
          <w:p w14:paraId="50B0A19F">
            <w:pPr>
              <w:tabs>
                <w:tab w:val="left" w:pos="1260"/>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ИНН </w:t>
            </w:r>
          </w:p>
          <w:p w14:paraId="30427133">
            <w:pPr>
              <w:tabs>
                <w:tab w:val="left" w:pos="1260"/>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КПП</w:t>
            </w:r>
          </w:p>
          <w:p w14:paraId="7E8B8684">
            <w:pPr>
              <w:tabs>
                <w:tab w:val="left" w:pos="1260"/>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ОГРН</w:t>
            </w:r>
          </w:p>
          <w:p w14:paraId="4FC63C94">
            <w:pPr>
              <w:tabs>
                <w:tab w:val="left" w:pos="1260"/>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р/с </w:t>
            </w:r>
          </w:p>
          <w:p w14:paraId="41244AF5">
            <w:pPr>
              <w:tabs>
                <w:tab w:val="left" w:pos="1260"/>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к/с </w:t>
            </w:r>
          </w:p>
          <w:p w14:paraId="4525DCE1">
            <w:pPr>
              <w:tabs>
                <w:tab w:val="left" w:pos="1260"/>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КПП </w:t>
            </w:r>
          </w:p>
          <w:p w14:paraId="3BDF89D1">
            <w:pPr>
              <w:tabs>
                <w:tab w:val="left" w:pos="1260"/>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БИК </w:t>
            </w:r>
          </w:p>
          <w:p w14:paraId="12C8E2C0">
            <w:pPr>
              <w:tabs>
                <w:tab w:val="left" w:pos="1260"/>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ОКПО, ОКВЭД, </w:t>
            </w:r>
          </w:p>
          <w:p w14:paraId="64951FE1">
            <w:pPr>
              <w:tabs>
                <w:tab w:val="left" w:pos="1260"/>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ОКОГУ ОКАТО, </w:t>
            </w:r>
          </w:p>
          <w:p w14:paraId="7AF6A905">
            <w:pPr>
              <w:tabs>
                <w:tab w:val="left" w:pos="1260"/>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ОКФС, ОКОПФ </w:t>
            </w:r>
          </w:p>
          <w:p w14:paraId="413E5A6B">
            <w:pPr>
              <w:tabs>
                <w:tab w:val="left" w:pos="1260"/>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Телефон </w:t>
            </w:r>
          </w:p>
          <w:p w14:paraId="3A803B04">
            <w:pPr>
              <w:tabs>
                <w:tab w:val="left" w:pos="1260"/>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e-mail</w:t>
            </w:r>
          </w:p>
          <w:p w14:paraId="2DC68A18">
            <w:pPr>
              <w:tabs>
                <w:tab w:val="left" w:pos="1260"/>
                <w:tab w:val="left" w:pos="4286"/>
              </w:tabs>
              <w:spacing w:after="0" w:line="240" w:lineRule="auto"/>
              <w:ind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p>
          <w:p w14:paraId="0597DC5F">
            <w:pPr>
              <w:tabs>
                <w:tab w:val="left" w:pos="1260"/>
                <w:tab w:val="left" w:pos="4286"/>
              </w:tabs>
              <w:spacing w:after="0" w:line="240" w:lineRule="auto"/>
              <w:ind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p>
          <w:p w14:paraId="2BE11FBB">
            <w:pPr>
              <w:tabs>
                <w:tab w:val="left" w:pos="1260"/>
                <w:tab w:val="left" w:pos="4286"/>
              </w:tabs>
              <w:spacing w:after="0" w:line="240" w:lineRule="auto"/>
              <w:ind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p>
          <w:p w14:paraId="0960FC9C">
            <w:pPr>
              <w:tabs>
                <w:tab w:val="left" w:pos="1260"/>
                <w:tab w:val="left" w:pos="4286"/>
              </w:tabs>
              <w:spacing w:after="0" w:line="240" w:lineRule="auto"/>
              <w:ind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p>
          <w:p w14:paraId="58FC7619">
            <w:pPr>
              <w:tabs>
                <w:tab w:val="left" w:pos="1260"/>
                <w:tab w:val="left" w:pos="4286"/>
              </w:tabs>
              <w:spacing w:after="0" w:line="240" w:lineRule="auto"/>
              <w:ind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p>
          <w:p w14:paraId="671C4857">
            <w:pPr>
              <w:tabs>
                <w:tab w:val="right" w:pos="4289"/>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__________________ /_______________/</w:t>
            </w:r>
            <w:r>
              <w:rPr>
                <w:rFonts w:ascii="Times New Roman" w:hAnsi="Times New Roman" w:eastAsia="Times New Roman" w:cs="Times New Roman"/>
                <w:color w:val="000000" w:themeColor="text1"/>
                <w:lang w:eastAsia="ru-RU"/>
                <w14:textFill>
                  <w14:solidFill>
                    <w14:schemeClr w14:val="tx1"/>
                  </w14:solidFill>
                </w14:textFill>
              </w:rPr>
              <w:tab/>
            </w:r>
          </w:p>
          <w:p w14:paraId="112CBED9">
            <w:pPr>
              <w:tabs>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«____»___________________202__года</w:t>
            </w:r>
          </w:p>
        </w:tc>
      </w:tr>
    </w:tbl>
    <w:p w14:paraId="0697A35B">
      <w:pPr>
        <w:spacing w:before="120"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sectPr>
          <w:footerReference r:id="rId7" w:type="first"/>
          <w:headerReference r:id="rId5" w:type="default"/>
          <w:footerReference r:id="rId6" w:type="default"/>
          <w:pgSz w:w="11906" w:h="16838"/>
          <w:pgMar w:top="1134" w:right="737" w:bottom="851" w:left="1418" w:header="0" w:footer="0" w:gutter="0"/>
          <w:cols w:space="708" w:num="1"/>
          <w:titlePg/>
          <w:docGrid w:linePitch="360" w:charSpace="0"/>
        </w:sectPr>
      </w:pPr>
    </w:p>
    <w:p w14:paraId="69FB4608">
      <w:pPr>
        <w:spacing w:after="0" w:line="240" w:lineRule="auto"/>
        <w:ind w:left="6372" w:firstLine="708"/>
        <w:jc w:val="right"/>
        <w:rPr>
          <w:rFonts w:ascii="Times New Roman" w:hAnsi="Times New Roman" w:eastAsia="Times New Roman" w:cs="Times New Roman"/>
          <w:caps/>
          <w:color w:val="000000" w:themeColor="text1"/>
          <w:spacing w:val="28"/>
          <w:lang w:eastAsia="ru-RU"/>
          <w14:textFill>
            <w14:solidFill>
              <w14:schemeClr w14:val="tx1"/>
            </w14:solidFill>
          </w14:textFill>
        </w:rPr>
      </w:pPr>
      <w:r>
        <w:rPr>
          <w:rFonts w:ascii="Times New Roman" w:hAnsi="Times New Roman" w:eastAsia="Times New Roman" w:cs="Times New Roman"/>
          <w:bCs/>
          <w:iCs/>
          <w:color w:val="000000" w:themeColor="text1"/>
          <w:lang w:eastAsia="ru-RU"/>
          <w14:textFill>
            <w14:solidFill>
              <w14:schemeClr w14:val="tx1"/>
            </w14:solidFill>
          </w14:textFill>
        </w:rPr>
        <w:t>Приложение № 1</w:t>
      </w:r>
    </w:p>
    <w:p w14:paraId="1B499713">
      <w:pPr>
        <w:autoSpaceDE w:val="0"/>
        <w:autoSpaceDN w:val="0"/>
        <w:adjustRightInd w:val="0"/>
        <w:spacing w:after="0" w:line="240" w:lineRule="auto"/>
        <w:jc w:val="right"/>
        <w:outlineLvl w:val="0"/>
        <w:rPr>
          <w:rFonts w:ascii="Times New Roman" w:hAnsi="Times New Roman" w:eastAsia="Times New Roman" w:cs="Times New Roman"/>
          <w:bCs/>
          <w:iCs/>
          <w:color w:val="000000" w:themeColor="text1"/>
          <w14:textFill>
            <w14:solidFill>
              <w14:schemeClr w14:val="tx1"/>
            </w14:solidFill>
          </w14:textFill>
        </w:rPr>
      </w:pP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 xml:space="preserve">к </w:t>
      </w:r>
      <w:r>
        <w:rPr>
          <w:rFonts w:ascii="Times New Roman" w:hAnsi="Times New Roman" w:eastAsia="Times New Roman" w:cs="Times New Roman"/>
          <w:color w:val="000000" w:themeColor="text1"/>
          <w14:textFill>
            <w14:solidFill>
              <w14:schemeClr w14:val="tx1"/>
            </w14:solidFill>
          </w14:textFill>
        </w:rPr>
        <w:t>Договор</w:t>
      </w:r>
      <w:r>
        <w:rPr>
          <w:rFonts w:ascii="Times New Roman" w:hAnsi="Times New Roman" w:eastAsia="Times New Roman" w:cs="Times New Roman"/>
          <w:bCs/>
          <w:iCs/>
          <w:color w:val="000000" w:themeColor="text1"/>
          <w14:textFill>
            <w14:solidFill>
              <w14:schemeClr w14:val="tx1"/>
            </w14:solidFill>
          </w14:textFill>
        </w:rPr>
        <w:t>у № _________</w:t>
      </w:r>
    </w:p>
    <w:p w14:paraId="127803FB">
      <w:pPr>
        <w:autoSpaceDE w:val="0"/>
        <w:autoSpaceDN w:val="0"/>
        <w:adjustRightInd w:val="0"/>
        <w:spacing w:after="0" w:line="240" w:lineRule="auto"/>
        <w:jc w:val="right"/>
        <w:outlineLvl w:val="0"/>
        <w:rPr>
          <w:rFonts w:ascii="Times New Roman" w:hAnsi="Times New Roman" w:eastAsia="Times New Roman" w:cs="Times New Roman"/>
          <w:bCs/>
          <w:iCs/>
          <w:color w:val="000000" w:themeColor="text1"/>
          <w14:textFill>
            <w14:solidFill>
              <w14:schemeClr w14:val="tx1"/>
            </w14:solidFill>
          </w14:textFill>
        </w:rPr>
      </w:pP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от «__» __________ 20__ г.</w:t>
      </w:r>
    </w:p>
    <w:p w14:paraId="79143E28">
      <w:pPr>
        <w:autoSpaceDE w:val="0"/>
        <w:autoSpaceDN w:val="0"/>
        <w:adjustRightInd w:val="0"/>
        <w:spacing w:after="0" w:line="240" w:lineRule="auto"/>
        <w:jc w:val="right"/>
        <w:outlineLvl w:val="0"/>
        <w:rPr>
          <w:rFonts w:ascii="Times New Roman" w:hAnsi="Times New Roman" w:eastAsia="Times New Roman" w:cs="Times New Roman"/>
          <w:bCs/>
          <w:iCs/>
          <w:color w:val="000000" w:themeColor="text1"/>
          <w14:textFill>
            <w14:solidFill>
              <w14:schemeClr w14:val="tx1"/>
            </w14:solidFill>
          </w14:textFill>
        </w:rPr>
      </w:pPr>
    </w:p>
    <w:p w14:paraId="0E71724B">
      <w:pPr>
        <w:autoSpaceDE w:val="0"/>
        <w:autoSpaceDN w:val="0"/>
        <w:adjustRightInd w:val="0"/>
        <w:spacing w:after="0" w:line="240" w:lineRule="auto"/>
        <w:jc w:val="right"/>
        <w:outlineLvl w:val="0"/>
        <w:rPr>
          <w:rFonts w:ascii="Times New Roman" w:hAnsi="Times New Roman" w:eastAsia="Times New Roman" w:cs="Times New Roman"/>
          <w:color w:val="000000" w:themeColor="text1"/>
          <w14:textFill>
            <w14:solidFill>
              <w14:schemeClr w14:val="tx1"/>
            </w14:solidFill>
          </w14:textFill>
        </w:rPr>
      </w:pPr>
    </w:p>
    <w:p w14:paraId="5E111ACA">
      <w:pPr>
        <w:pStyle w:val="85"/>
        <w:numPr>
          <w:ilvl w:val="0"/>
          <w:numId w:val="27"/>
        </w:numPr>
        <w:spacing w:before="0"/>
        <w:ind w:left="0" w:firstLine="0"/>
        <w:contextualSpacing/>
        <w:rPr>
          <w:color w:val="1A1A1A"/>
          <w:shd w:val="clear" w:color="auto" w:fill="FFFFFF"/>
        </w:rPr>
      </w:pPr>
      <w:r>
        <w:rPr>
          <w:b/>
        </w:rPr>
        <w:t>Предмет закупки:</w:t>
      </w:r>
      <w:r>
        <w:t xml:space="preserve"> </w:t>
      </w:r>
      <w:r>
        <w:rPr>
          <w:color w:val="1A1A1A"/>
          <w:shd w:val="clear" w:color="auto" w:fill="FFFFFF"/>
        </w:rPr>
        <w:t>Работы по модернизации фрагмента локальной вычислительной сети (СКС в корпусах: 1, 2, 3, 4, 5, 6, 7, 8, 9, 10 и 14).</w:t>
      </w:r>
    </w:p>
    <w:p w14:paraId="4515563C">
      <w:pPr>
        <w:pStyle w:val="85"/>
        <w:ind w:left="371"/>
      </w:pPr>
    </w:p>
    <w:p w14:paraId="3FBC60AC">
      <w:pPr>
        <w:tabs>
          <w:tab w:val="left" w:pos="709"/>
        </w:tabs>
        <w:spacing w:after="0" w:line="240" w:lineRule="auto"/>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2. Сроки выполнения работ: </w:t>
      </w:r>
    </w:p>
    <w:p w14:paraId="4EBC4761">
      <w:pPr>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Начало работ – со дня заключения Договора;</w:t>
      </w:r>
    </w:p>
    <w:p w14:paraId="5EA1A0DC">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Окончание работ –100 (Сто) рабочих дней со дня заключения Договора.</w:t>
      </w:r>
    </w:p>
    <w:p w14:paraId="39F8768F">
      <w:pPr>
        <w:spacing w:after="0" w:line="240" w:lineRule="auto"/>
        <w:ind w:firstLine="11"/>
        <w:jc w:val="both"/>
        <w:rPr>
          <w:rFonts w:ascii="Times New Roman" w:hAnsi="Times New Roman" w:eastAsia="Times New Roman" w:cs="Times New Roman"/>
          <w:lang w:eastAsia="ru-RU"/>
        </w:rPr>
      </w:pPr>
    </w:p>
    <w:p w14:paraId="7838E8B0">
      <w:pPr>
        <w:spacing w:after="0" w:line="240" w:lineRule="auto"/>
        <w:ind w:firstLine="11"/>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3. Место выполнения работ: </w:t>
      </w:r>
    </w:p>
    <w:p w14:paraId="20E57FBA">
      <w:pPr>
        <w:spacing w:after="0" w:line="240" w:lineRule="auto"/>
        <w:ind w:firstLine="11"/>
        <w:jc w:val="both"/>
        <w:rPr>
          <w:rFonts w:ascii="Times New Roman" w:hAnsi="Times New Roman" w:eastAsia="Times New Roman" w:cs="Times New Roman"/>
          <w:lang w:eastAsia="ru-RU"/>
        </w:rPr>
      </w:pPr>
      <w:r>
        <w:rPr>
          <w:rFonts w:ascii="Times New Roman" w:hAnsi="Times New Roman" w:eastAsia="Calibri" w:cs="Times New Roman"/>
          <w:lang w:eastAsia="ru-RU"/>
        </w:rPr>
        <w:t xml:space="preserve">г. Санкт-Петербург, </w:t>
      </w:r>
      <w:r>
        <w:rPr>
          <w:rFonts w:ascii="Times New Roman" w:hAnsi="Times New Roman" w:eastAsia="Times New Roman" w:cs="Times New Roman"/>
          <w:shd w:val="clear" w:color="auto" w:fill="FFFFFF"/>
          <w:lang w:eastAsia="ru-RU"/>
        </w:rPr>
        <w:t>Московский пр., д.9</w:t>
      </w:r>
      <w:r>
        <w:rPr>
          <w:rFonts w:ascii="Times New Roman" w:hAnsi="Times New Roman" w:eastAsia="Times New Roman" w:cs="Times New Roman"/>
          <w:lang w:eastAsia="ru-RU"/>
        </w:rPr>
        <w:t>, лит. А, Набережная реки Фонтанки, д. 113, лит. А.</w:t>
      </w:r>
    </w:p>
    <w:p w14:paraId="0F1D1877">
      <w:pPr>
        <w:spacing w:after="0" w:line="240" w:lineRule="auto"/>
        <w:ind w:firstLine="11"/>
        <w:jc w:val="both"/>
        <w:rPr>
          <w:rFonts w:ascii="Times New Roman" w:hAnsi="Times New Roman" w:eastAsia="Times New Roman" w:cs="Times New Roman"/>
          <w:b/>
          <w:lang w:eastAsia="ru-RU"/>
        </w:rPr>
      </w:pPr>
    </w:p>
    <w:p w14:paraId="61260FBD">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 xml:space="preserve">4. </w:t>
      </w:r>
      <w:r>
        <w:rPr>
          <w:rFonts w:ascii="Times New Roman" w:hAnsi="Times New Roman" w:eastAsia="Times New Roman" w:cs="Times New Roman"/>
          <w:b/>
          <w:bCs/>
          <w:lang w:eastAsia="ru-RU"/>
        </w:rPr>
        <w:t>Требования к содержанию и оформлению технической документации:</w:t>
      </w:r>
      <w:r>
        <w:rPr>
          <w:rFonts w:ascii="Times New Roman" w:hAnsi="Times New Roman" w:eastAsia="Times New Roman" w:cs="Times New Roman"/>
          <w:bCs/>
          <w:lang w:eastAsia="ru-RU"/>
        </w:rPr>
        <w:t xml:space="preserve"> проект, </w:t>
      </w:r>
      <w:r>
        <w:rPr>
          <w:rFonts w:ascii="Times New Roman" w:hAnsi="Times New Roman" w:eastAsia="Times New Roman" w:cs="Times New Roman"/>
          <w:lang w:eastAsia="ru-RU"/>
        </w:rPr>
        <w:t>техническое задание, локальный сметный расчёт.</w:t>
      </w:r>
    </w:p>
    <w:p w14:paraId="54CA8ED0">
      <w:pPr>
        <w:spacing w:after="0" w:line="240" w:lineRule="auto"/>
        <w:ind w:firstLine="11"/>
        <w:jc w:val="center"/>
        <w:rPr>
          <w:rFonts w:ascii="Times New Roman" w:hAnsi="Times New Roman" w:eastAsia="Times New Roman" w:cs="Times New Roman"/>
          <w:lang w:eastAsia="ru-RU"/>
        </w:rPr>
      </w:pPr>
    </w:p>
    <w:p w14:paraId="4773222B">
      <w:pPr>
        <w:spacing w:after="0" w:line="240" w:lineRule="auto"/>
        <w:ind w:firstLine="11"/>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5. Описание и характер работ.</w:t>
      </w:r>
    </w:p>
    <w:p w14:paraId="6C652E48">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5.1</w:t>
      </w:r>
      <w:r>
        <w:rPr>
          <w:rFonts w:ascii="Times New Roman" w:hAnsi="Times New Roman" w:eastAsia="Times New Roman" w:cs="Times New Roman"/>
          <w:lang w:eastAsia="ru-RU"/>
        </w:rPr>
        <w:t xml:space="preserve"> Модернизация информационной инфраструктуры Заказчика – фрагмент локальной вычислительной сети (СКС в корпусах: </w:t>
      </w:r>
      <w:r>
        <w:rPr>
          <w:rFonts w:ascii="Times New Roman" w:hAnsi="Times New Roman" w:eastAsia="Times New Roman" w:cs="Times New Roman"/>
          <w:color w:val="1A1A1A"/>
          <w:shd w:val="clear" w:color="auto" w:fill="FFFFFF"/>
          <w:lang w:eastAsia="ru-RU"/>
        </w:rPr>
        <w:t>1, 2, 3, 4, 5, 6, 7, 8, 9, 10 и 14</w:t>
      </w:r>
      <w:r>
        <w:rPr>
          <w:rFonts w:ascii="Times New Roman" w:hAnsi="Times New Roman" w:eastAsia="Times New Roman" w:cs="Times New Roman"/>
          <w:lang w:eastAsia="ru-RU"/>
        </w:rPr>
        <w:t>), предполагающая работы согласно проектной документации, в следующих помещениях:</w:t>
      </w:r>
    </w:p>
    <w:p w14:paraId="3F816271">
      <w:pPr>
        <w:spacing w:after="0" w:line="240" w:lineRule="auto"/>
        <w:ind w:firstLine="11"/>
        <w:jc w:val="both"/>
        <w:rPr>
          <w:rFonts w:ascii="Times New Roman" w:hAnsi="Times New Roman" w:eastAsia="Times New Roman" w:cs="Times New Roman"/>
          <w:lang w:eastAsia="ru-RU"/>
        </w:rPr>
      </w:pPr>
    </w:p>
    <w:p w14:paraId="17BC8EBC">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1</w:t>
      </w:r>
    </w:p>
    <w:p w14:paraId="48C027BD">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 xml:space="preserve">Шкаф </w:t>
      </w:r>
      <w:r>
        <w:rPr>
          <w:rFonts w:ascii="Times New Roman" w:hAnsi="Times New Roman" w:eastAsia="Times New Roman"/>
          <w:b/>
          <w:lang w:val="en-US" w:eastAsia="ru-RU"/>
        </w:rPr>
        <w:t>M</w:t>
      </w:r>
      <w:r>
        <w:rPr>
          <w:rFonts w:ascii="Times New Roman" w:hAnsi="Times New Roman" w:eastAsia="Times New Roman"/>
          <w:b/>
          <w:lang w:eastAsia="ru-RU"/>
        </w:rPr>
        <w:t>С1.1 (пом. 1-110)</w:t>
      </w:r>
    </w:p>
    <w:p w14:paraId="34CE6AC8">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 и батарейного модуля:</w:t>
      </w:r>
    </w:p>
    <w:p w14:paraId="6CE6C1BA">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3000 ВА – 1шт.;</w:t>
      </w:r>
    </w:p>
    <w:p w14:paraId="37D0BC1F">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3000 ВА – 1шт.</w:t>
      </w:r>
    </w:p>
    <w:p w14:paraId="3841FC51">
      <w:pPr>
        <w:spacing w:after="0" w:line="240" w:lineRule="auto"/>
        <w:ind w:left="109" w:right="71"/>
        <w:contextualSpacing/>
        <w:rPr>
          <w:rFonts w:ascii="Times New Roman" w:hAnsi="Times New Roman" w:eastAsia="Times New Roman"/>
          <w:b/>
          <w:lang w:eastAsia="ru-RU"/>
        </w:rPr>
      </w:pPr>
    </w:p>
    <w:p w14:paraId="692FD440">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НС1.2 (пом. 1-220а)</w:t>
      </w:r>
    </w:p>
    <w:p w14:paraId="4C299429">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помещении 1-114.2 (3 рабочих места (РМ)) и 1-101.11 (2 РМ).</w:t>
      </w:r>
    </w:p>
    <w:p w14:paraId="03D93CE8">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 и батарейного модуля:</w:t>
      </w:r>
    </w:p>
    <w:p w14:paraId="5BA646CC">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3000 ВА – 1шт.;</w:t>
      </w:r>
    </w:p>
    <w:p w14:paraId="07A4F34F">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3000 ВА – 1шт.</w:t>
      </w:r>
    </w:p>
    <w:p w14:paraId="600ED327">
      <w:pPr>
        <w:spacing w:after="0" w:line="240" w:lineRule="auto"/>
        <w:ind w:left="109" w:right="71"/>
        <w:contextualSpacing/>
        <w:rPr>
          <w:rFonts w:ascii="Times New Roman" w:hAnsi="Times New Roman" w:eastAsia="Times New Roman"/>
          <w:b/>
          <w:lang w:eastAsia="ru-RU"/>
        </w:rPr>
      </w:pPr>
    </w:p>
    <w:p w14:paraId="33B6E5E8">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НС1.4 (пом. 1-204)</w:t>
      </w:r>
    </w:p>
    <w:p w14:paraId="66B04A79">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1-204, взамен существующего телекоммуникационного шкафа установить новый телекоммуникационный шкаф НС1.4 42U 600х800 мм. От шкафа НС1.4 (пом. 1-204)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НС1.4 (пом. 1-204) проложить оптический кабель OS2 емкостью 24 волокна до шкафа МС4.2 (пом. 4-108.5). В шкафах НС1.4 (пом. 1-204) и МС4.2 (пом. 4-108.5) проложенные кабели разварить в оптических панелях. Из существующего шкафа (пом. 1-204) перенести все медные подключения в новый шкаф НС1.4. Подвод кабелей к шкафу НС1.4 выполнить в кабель канале 100х60 мм. Подключить рабочие места в помещении 1-310 (1 РМ). Для шкафа НС1.4 (пом. 1-204) выполнить организацию электропитания. В шкаф предусмотреть 10%-й запас патч-кордов RJ-45, UTP cat.5e, разных цветов.</w:t>
      </w:r>
    </w:p>
    <w:p w14:paraId="392525AB">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коммутаторов, ИБП и батарейного модуля:</w:t>
      </w:r>
    </w:p>
    <w:p w14:paraId="366202B6">
      <w:pPr>
        <w:spacing w:before="120" w:after="0" w:line="240" w:lineRule="auto"/>
        <w:ind w:left="109" w:right="71" w:firstLine="11"/>
        <w:contextualSpacing/>
        <w:jc w:val="both"/>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MES2448P – 1</w:t>
      </w:r>
      <w:r>
        <w:rPr>
          <w:rFonts w:ascii="Times New Roman" w:hAnsi="Times New Roman" w:eastAsia="Times New Roman" w:cs="Times New Roman"/>
          <w:lang w:eastAsia="ru-RU"/>
        </w:rPr>
        <w:t>шт</w:t>
      </w:r>
      <w:r>
        <w:rPr>
          <w:rFonts w:ascii="Times New Roman" w:hAnsi="Times New Roman" w:eastAsia="Times New Roman" w:cs="Times New Roman"/>
          <w:lang w:val="en-US" w:eastAsia="ru-RU"/>
        </w:rPr>
        <w:t>. ;</w:t>
      </w:r>
    </w:p>
    <w:p w14:paraId="6E3C71D0">
      <w:pPr>
        <w:spacing w:before="120" w:after="0" w:line="240" w:lineRule="auto"/>
        <w:ind w:left="109" w:right="71" w:firstLine="11"/>
        <w:contextualSpacing/>
        <w:jc w:val="both"/>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MES2448B – 1</w:t>
      </w:r>
      <w:r>
        <w:rPr>
          <w:rFonts w:ascii="Times New Roman" w:hAnsi="Times New Roman" w:eastAsia="Times New Roman" w:cs="Times New Roman"/>
          <w:lang w:eastAsia="ru-RU"/>
        </w:rPr>
        <w:t>шт</w:t>
      </w:r>
      <w:r>
        <w:rPr>
          <w:rFonts w:ascii="Times New Roman" w:hAnsi="Times New Roman" w:eastAsia="Times New Roman" w:cs="Times New Roman"/>
          <w:lang w:val="en-US" w:eastAsia="ru-RU"/>
        </w:rPr>
        <w:t>.;</w:t>
      </w:r>
    </w:p>
    <w:p w14:paraId="00F9CC3E">
      <w:pPr>
        <w:spacing w:before="120" w:after="0" w:line="240" w:lineRule="auto"/>
        <w:ind w:left="109" w:right="71" w:firstLine="11"/>
        <w:contextualSpacing/>
        <w:jc w:val="both"/>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MES2424 – 1</w:t>
      </w:r>
      <w:r>
        <w:rPr>
          <w:rFonts w:ascii="Times New Roman" w:hAnsi="Times New Roman" w:eastAsia="Times New Roman" w:cs="Times New Roman"/>
          <w:lang w:eastAsia="ru-RU"/>
        </w:rPr>
        <w:t>шт</w:t>
      </w:r>
      <w:r>
        <w:rPr>
          <w:rFonts w:ascii="Times New Roman" w:hAnsi="Times New Roman" w:eastAsia="Times New Roman" w:cs="Times New Roman"/>
          <w:lang w:val="en-US" w:eastAsia="ru-RU"/>
        </w:rPr>
        <w:t>.;</w:t>
      </w:r>
    </w:p>
    <w:p w14:paraId="4DD46F9D">
      <w:pPr>
        <w:spacing w:after="0" w:line="240" w:lineRule="auto"/>
        <w:ind w:left="109" w:right="7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24F12703">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1500 ВА – 1шт.</w:t>
      </w:r>
    </w:p>
    <w:p w14:paraId="6E681A05">
      <w:pPr>
        <w:spacing w:after="0" w:line="240" w:lineRule="auto"/>
        <w:ind w:left="109" w:right="71"/>
        <w:contextualSpacing/>
        <w:rPr>
          <w:rFonts w:ascii="Times New Roman" w:hAnsi="Times New Roman" w:eastAsia="Times New Roman"/>
          <w:b/>
          <w:lang w:eastAsia="ru-RU"/>
        </w:rPr>
      </w:pPr>
    </w:p>
    <w:p w14:paraId="5D9790E0">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НС1.5 (пом. 1-411а)</w:t>
      </w:r>
    </w:p>
    <w:p w14:paraId="3EC6045A">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помещениях 1-317 (1 РМ), 1-329 (1 РМ), 1-330 (1 РМ), 1-402 (4 РМ), 1-410 (1 РМ), 1-411 (2 РМ), 1-411а (2 РМ), 1-412 (1 РМ), 1-416.1 (3 РМ), 1-429 (2 РМ), 1-430 (3 РМ), 1-523 (1 РМ), 1-525 (1 РМ), 1-527 (1 РМ), 1-530 (1 РМ), 1-607 (1 РМ), 1-611 (1 РМ) и 1-613 (1 РМ).</w:t>
      </w:r>
    </w:p>
    <w:p w14:paraId="1FFCDFDF">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Для шкафа НС1.5 (пом. 1-411а) выполнить организацию электропитания. В шкаф предусмотреть 10%-й запас патч-кордов RJ-45, UTP cat.5e, разных цветов.</w:t>
      </w:r>
    </w:p>
    <w:p w14:paraId="207A47BC">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6717339C">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357B2CB9">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2</w:t>
      </w:r>
    </w:p>
    <w:p w14:paraId="73523142">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НС2.1 (пом. 36)</w:t>
      </w:r>
    </w:p>
    <w:p w14:paraId="548971E4">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подвальном помещении №2-3-4, в помещениях 2-110 (2 РМ), 2-124.1 (2 РМ), 2-124.2 (1 РМ). Для шкафа НС2.1 (пом. 36) выполнить организацию электропитания. В шкаф предусмотреть 10%-й запас патч-кордов RJ-45, UTP cat.5e, разных цветов.</w:t>
      </w:r>
    </w:p>
    <w:p w14:paraId="06906280">
      <w:pPr>
        <w:spacing w:after="0" w:line="240" w:lineRule="auto"/>
        <w:ind w:left="109" w:right="7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1851E751">
      <w:pPr>
        <w:spacing w:after="0" w:line="240" w:lineRule="auto"/>
        <w:ind w:left="109" w:right="71"/>
        <w:contextualSpacing/>
        <w:jc w:val="both"/>
        <w:rPr>
          <w:rFonts w:ascii="Times New Roman" w:hAnsi="Times New Roman" w:eastAsia="Times New Roman"/>
          <w:b/>
          <w:lang w:eastAsia="ru-RU"/>
        </w:rPr>
      </w:pPr>
      <w:r>
        <w:rPr>
          <w:rFonts w:ascii="Times New Roman" w:hAnsi="Times New Roman" w:eastAsia="Times New Roman" w:cs="Times New Roman"/>
          <w:lang w:eastAsia="ru-RU"/>
        </w:rPr>
        <w:t>- ИБП 1500 ВА – 1шт.</w:t>
      </w:r>
    </w:p>
    <w:p w14:paraId="2B30A15E">
      <w:pPr>
        <w:spacing w:after="0" w:line="240" w:lineRule="auto"/>
        <w:ind w:left="109" w:right="71"/>
        <w:contextualSpacing/>
        <w:rPr>
          <w:rFonts w:ascii="Times New Roman" w:hAnsi="Times New Roman" w:eastAsia="Times New Roman"/>
          <w:b/>
          <w:lang w:eastAsia="ru-RU"/>
        </w:rPr>
      </w:pPr>
    </w:p>
    <w:p w14:paraId="3EECEB07">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НС2.2 (пом. 2-303)</w:t>
      </w:r>
    </w:p>
    <w:p w14:paraId="459C6CF6">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2-303, взамен существующего телекоммуникационного шкафа установить новый телекоммуникационном шкаф НС2.2 36U 600х800 мм. Из существующего шкафа (пом. 2-303) перенести все медные подключения в новый шкаф НС2.2. Подвод кабелей к шкафу НС2.2 выполнить в кабель канале 100х60 мм. Подключить рабочие места в помещениях 2-209 (1 РМ), 2-209.5 (1 РМ), 2-213 (1 РМ) и 2-224 (3 РМ), 2-306 (1 РМ), 2-308 (1 РМ), 2-310 (1 РМ) и 2-409 (1 РМ). Для шкафа НС2.2 (пом. 2-303) выполнить организацию электропитания. В шкаф предусмотреть 10%-й запас патч-кордов RJ-45, UTP cat.5e, разных цветов.</w:t>
      </w:r>
    </w:p>
    <w:p w14:paraId="3D7E34FB">
      <w:pPr>
        <w:spacing w:after="0" w:line="240" w:lineRule="auto"/>
        <w:ind w:left="109" w:right="7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 и батарейного модуля:</w:t>
      </w:r>
    </w:p>
    <w:p w14:paraId="58646B47">
      <w:pPr>
        <w:spacing w:after="0" w:line="240" w:lineRule="auto"/>
        <w:ind w:left="109" w:right="7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3182D890">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1500 ВА – 1шт.</w:t>
      </w:r>
    </w:p>
    <w:p w14:paraId="7294F752">
      <w:pPr>
        <w:spacing w:after="0" w:line="240" w:lineRule="auto"/>
        <w:ind w:left="109" w:right="71"/>
        <w:contextualSpacing/>
        <w:rPr>
          <w:rFonts w:ascii="Times New Roman" w:hAnsi="Times New Roman" w:eastAsia="Times New Roman"/>
          <w:b/>
          <w:lang w:eastAsia="ru-RU"/>
        </w:rPr>
      </w:pPr>
    </w:p>
    <w:p w14:paraId="779EBA23">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НС2.3 (пом. 3-323)</w:t>
      </w:r>
    </w:p>
    <w:p w14:paraId="1018ECBC">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помещении 2-316в (1 РМ).</w:t>
      </w:r>
    </w:p>
    <w:p w14:paraId="1A1AF261">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11BCB90A">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 ИБП 1500 ВА – 1шт.</w:t>
      </w:r>
    </w:p>
    <w:p w14:paraId="6F8372A3">
      <w:pPr>
        <w:spacing w:after="0" w:line="240" w:lineRule="auto"/>
        <w:ind w:left="109" w:right="71"/>
        <w:contextualSpacing/>
        <w:rPr>
          <w:rFonts w:ascii="Times New Roman" w:hAnsi="Times New Roman" w:eastAsia="Times New Roman"/>
          <w:b/>
          <w:lang w:eastAsia="ru-RU"/>
        </w:rPr>
      </w:pPr>
    </w:p>
    <w:p w14:paraId="349DD763">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3</w:t>
      </w:r>
    </w:p>
    <w:p w14:paraId="711AFE86">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НС3.2 (пом. 3-234)</w:t>
      </w:r>
    </w:p>
    <w:p w14:paraId="3CB1790B">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помещениях 3-200а (2 РМ), 3-200б (1 РМ), 3-203 (1 РМ), 3-308а (1 РМ), 3-308в (2 РМ), 3-308г (4 РМ), 3-309 (1 РМ), 3-309б (2 РМ) и 3-311 (1 РМ).</w:t>
      </w:r>
    </w:p>
    <w:p w14:paraId="25CD6315">
      <w:pPr>
        <w:spacing w:after="0" w:line="240" w:lineRule="auto"/>
        <w:ind w:left="109" w:right="7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6C1FEF98">
      <w:pPr>
        <w:spacing w:after="0" w:line="240" w:lineRule="auto"/>
        <w:ind w:left="109" w:right="71"/>
        <w:contextualSpacing/>
        <w:jc w:val="both"/>
        <w:rPr>
          <w:rFonts w:ascii="Times New Roman" w:hAnsi="Times New Roman" w:eastAsia="Times New Roman"/>
          <w:b/>
          <w:lang w:eastAsia="ru-RU"/>
        </w:rPr>
      </w:pPr>
      <w:r>
        <w:rPr>
          <w:rFonts w:ascii="Times New Roman" w:hAnsi="Times New Roman" w:eastAsia="Times New Roman" w:cs="Times New Roman"/>
          <w:lang w:eastAsia="ru-RU"/>
        </w:rPr>
        <w:t>- ИБП 3000 ВА – 1шт.</w:t>
      </w:r>
    </w:p>
    <w:p w14:paraId="0D9F0636">
      <w:pPr>
        <w:spacing w:after="0" w:line="240" w:lineRule="auto"/>
        <w:ind w:left="109" w:right="71"/>
        <w:contextualSpacing/>
        <w:jc w:val="center"/>
        <w:rPr>
          <w:rFonts w:ascii="Times New Roman" w:hAnsi="Times New Roman" w:eastAsia="Times New Roman"/>
          <w:b/>
          <w:u w:val="single"/>
          <w:lang w:eastAsia="ru-RU"/>
        </w:rPr>
      </w:pPr>
    </w:p>
    <w:p w14:paraId="2F671FDC">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4</w:t>
      </w:r>
    </w:p>
    <w:p w14:paraId="20D85EA4">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 xml:space="preserve">Шкаф </w:t>
      </w:r>
      <w:r>
        <w:rPr>
          <w:rFonts w:ascii="Times New Roman" w:hAnsi="Times New Roman" w:eastAsia="Times New Roman"/>
          <w:b/>
          <w:lang w:val="en-US" w:eastAsia="ru-RU"/>
        </w:rPr>
        <w:t>M</w:t>
      </w:r>
      <w:r>
        <w:rPr>
          <w:rFonts w:ascii="Times New Roman" w:hAnsi="Times New Roman" w:eastAsia="Times New Roman"/>
          <w:b/>
          <w:lang w:eastAsia="ru-RU"/>
        </w:rPr>
        <w:t>С4.2 (пом. 4-108.5)</w:t>
      </w:r>
    </w:p>
    <w:p w14:paraId="3C7E959E">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коммутаторов, ИБП и батарейного модуля:</w:t>
      </w:r>
    </w:p>
    <w:p w14:paraId="1CB7C355">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61685782">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B</w:t>
      </w:r>
      <w:r>
        <w:rPr>
          <w:rFonts w:ascii="Times New Roman" w:hAnsi="Times New Roman" w:eastAsia="Times New Roman" w:cs="Times New Roman"/>
          <w:lang w:eastAsia="ru-RU"/>
        </w:rPr>
        <w:t xml:space="preserve"> – 4шт.;</w:t>
      </w:r>
    </w:p>
    <w:p w14:paraId="041544F0">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3000 ВА – 1шт.;</w:t>
      </w:r>
    </w:p>
    <w:p w14:paraId="1D465446">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3000 ВА – 1шт.</w:t>
      </w:r>
    </w:p>
    <w:p w14:paraId="53ED2050">
      <w:pPr>
        <w:spacing w:after="0" w:line="240" w:lineRule="auto"/>
        <w:ind w:left="109" w:right="71"/>
        <w:contextualSpacing/>
        <w:rPr>
          <w:rFonts w:ascii="Times New Roman" w:hAnsi="Times New Roman" w:eastAsia="Times New Roman"/>
          <w:b/>
          <w:lang w:eastAsia="ru-RU"/>
        </w:rPr>
      </w:pPr>
    </w:p>
    <w:p w14:paraId="065528A3">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 xml:space="preserve">Шкаф </w:t>
      </w:r>
      <w:r>
        <w:rPr>
          <w:rFonts w:ascii="Times New Roman" w:hAnsi="Times New Roman" w:eastAsia="Times New Roman"/>
          <w:b/>
          <w:lang w:val="en-US" w:eastAsia="ru-RU"/>
        </w:rPr>
        <w:t>M</w:t>
      </w:r>
      <w:r>
        <w:rPr>
          <w:rFonts w:ascii="Times New Roman" w:hAnsi="Times New Roman" w:eastAsia="Times New Roman"/>
          <w:b/>
          <w:lang w:eastAsia="ru-RU"/>
        </w:rPr>
        <w:t>С4.3 (пом. 4-108.5)</w:t>
      </w:r>
    </w:p>
    <w:p w14:paraId="1FAFF5B3">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363587E3">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40138499">
      <w:pPr>
        <w:spacing w:after="0" w:line="240" w:lineRule="auto"/>
        <w:ind w:left="109" w:right="71"/>
        <w:contextualSpacing/>
        <w:rPr>
          <w:rFonts w:ascii="Times New Roman" w:hAnsi="Times New Roman" w:eastAsia="Times New Roman"/>
          <w:b/>
          <w:lang w:eastAsia="ru-RU"/>
        </w:rPr>
      </w:pPr>
    </w:p>
    <w:p w14:paraId="2B57A4EF">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НС4.6 (пом. 4-309)</w:t>
      </w:r>
    </w:p>
    <w:p w14:paraId="3E08E495">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4-309, взамен существующего телекоммуникационного шкафа установить новый телекоммуникационном шкаф НС4.6. 42U 600х800 мм. От шкафа НС4.6 (пом. 4-309)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НС4.6 (пом. 4-309) проложить оптический кабель OS2 емкостью 24 волокна до шкафа МС4.2 (пом. 4-108.5). В шкафах НС4.6 (пом. 4-309) и МС4.2 (пом. 4-108.5) проложенные кабели разварить в оптических панелях. Из существующего шкафа (пом. 4-309) перенести все медные подключения в новый шкаф НС4.6. Подключить рабочие места в помещениях 4-200 (1 РМ), 4-200.1 (1 РМ), 4-201 (1 РМ) и 4-415 (1 РМ). Подвод кабелей к шкафу НС4.6 выполнить в кабель канале 100х60 мм. Для шкафа НС4.6 (пом. 4-309) выполнить организацию электропитания. В шкаф предусмотреть 10%-й запас патч-кордов RJ-45, UTP cat.5e, разных цветов.</w:t>
      </w:r>
    </w:p>
    <w:p w14:paraId="4B6C11AC">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коммутаторов, ИБП:</w:t>
      </w:r>
    </w:p>
    <w:p w14:paraId="6AEADD86">
      <w:pPr>
        <w:spacing w:before="120" w:after="0" w:line="240" w:lineRule="auto"/>
        <w:ind w:left="109" w:right="71" w:firstLine="11"/>
        <w:contextualSpacing/>
        <w:jc w:val="both"/>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MES2448P – 1</w:t>
      </w:r>
      <w:r>
        <w:rPr>
          <w:rFonts w:ascii="Times New Roman" w:hAnsi="Times New Roman" w:eastAsia="Times New Roman" w:cs="Times New Roman"/>
          <w:lang w:eastAsia="ru-RU"/>
        </w:rPr>
        <w:t>шт</w:t>
      </w:r>
      <w:r>
        <w:rPr>
          <w:rFonts w:ascii="Times New Roman" w:hAnsi="Times New Roman" w:eastAsia="Times New Roman" w:cs="Times New Roman"/>
          <w:lang w:val="en-US" w:eastAsia="ru-RU"/>
        </w:rPr>
        <w:t>.;</w:t>
      </w:r>
    </w:p>
    <w:p w14:paraId="709D9091">
      <w:pPr>
        <w:spacing w:before="120" w:after="0" w:line="240" w:lineRule="auto"/>
        <w:ind w:left="109" w:right="71" w:firstLine="11"/>
        <w:contextualSpacing/>
        <w:jc w:val="both"/>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MES2448B – 2</w:t>
      </w:r>
      <w:r>
        <w:rPr>
          <w:rFonts w:ascii="Times New Roman" w:hAnsi="Times New Roman" w:eastAsia="Times New Roman" w:cs="Times New Roman"/>
          <w:lang w:eastAsia="ru-RU"/>
        </w:rPr>
        <w:t>шт</w:t>
      </w:r>
      <w:r>
        <w:rPr>
          <w:rFonts w:ascii="Times New Roman" w:hAnsi="Times New Roman" w:eastAsia="Times New Roman" w:cs="Times New Roman"/>
          <w:lang w:val="en-US" w:eastAsia="ru-RU"/>
        </w:rPr>
        <w:t>.;</w:t>
      </w:r>
    </w:p>
    <w:p w14:paraId="698C87CA">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val="en-US" w:eastAsia="ru-RU"/>
        </w:rPr>
        <w:t>- MES2424 – 1</w:t>
      </w:r>
      <w:r>
        <w:rPr>
          <w:rFonts w:ascii="Times New Roman" w:hAnsi="Times New Roman" w:eastAsia="Times New Roman" w:cs="Times New Roman"/>
          <w:lang w:eastAsia="ru-RU"/>
        </w:rPr>
        <w:t>шт</w:t>
      </w:r>
      <w:r>
        <w:rPr>
          <w:rFonts w:ascii="Times New Roman" w:hAnsi="Times New Roman" w:eastAsia="Times New Roman" w:cs="Times New Roman"/>
          <w:lang w:val="en-US" w:eastAsia="ru-RU"/>
        </w:rPr>
        <w:t xml:space="preserve">. </w:t>
      </w:r>
      <w:r>
        <w:rPr>
          <w:rFonts w:ascii="Times New Roman" w:hAnsi="Times New Roman" w:eastAsia="Times New Roman" w:cs="Times New Roman"/>
          <w:lang w:eastAsia="ru-RU"/>
        </w:rPr>
        <w:t>(предоставляется Заказчиком);</w:t>
      </w:r>
    </w:p>
    <w:p w14:paraId="015BFEEB">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 ИБП 1500 ВА – 1шт.</w:t>
      </w:r>
    </w:p>
    <w:p w14:paraId="6E77944E">
      <w:pPr>
        <w:spacing w:after="0" w:line="240" w:lineRule="auto"/>
        <w:ind w:left="109" w:right="71"/>
        <w:contextualSpacing/>
        <w:rPr>
          <w:rFonts w:ascii="Times New Roman" w:hAnsi="Times New Roman" w:eastAsia="Times New Roman"/>
          <w:b/>
          <w:lang w:eastAsia="ru-RU"/>
        </w:rPr>
      </w:pPr>
    </w:p>
    <w:p w14:paraId="6E883973">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5</w:t>
      </w:r>
    </w:p>
    <w:p w14:paraId="5BE905BC">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НС5.1 (пом. 5-407)</w:t>
      </w:r>
    </w:p>
    <w:p w14:paraId="3A9DDB26">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помещениях 5-205 (1 РМ), 5-305 (2 РМ), 5-405 (1 РМ), 5-501 (1 РМ), 5-502 (1 РМ), 5-505 (1 РМ), 5-508 (1 РМ) и 5-510 (1 РМ).</w:t>
      </w:r>
    </w:p>
    <w:p w14:paraId="102CDFE5">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11A5CD79">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34D4BCC5">
      <w:pPr>
        <w:spacing w:after="0" w:line="240" w:lineRule="auto"/>
        <w:ind w:left="109" w:right="71"/>
        <w:contextualSpacing/>
        <w:rPr>
          <w:rFonts w:ascii="Times New Roman" w:hAnsi="Times New Roman" w:eastAsia="Times New Roman"/>
          <w:b/>
          <w:lang w:eastAsia="ru-RU"/>
        </w:rPr>
      </w:pPr>
    </w:p>
    <w:p w14:paraId="4D9AED43">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6</w:t>
      </w:r>
    </w:p>
    <w:p w14:paraId="3DD697DE">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НС6.1 (пом. 6-208)</w:t>
      </w:r>
    </w:p>
    <w:p w14:paraId="7722082B">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помещениях 6-103 (6 РМ), 6-110 (11 РМ), 6-108а (1 РМ), 6-204 (1 РМ). 6-208 (2 РМ), 6-301 (2 РМ), 6-303 (1 РМ), 6-306 (2 РМ), 6-307 (1 РМ), 6-308 (2 РМ), 6-311 (4 РМ) и 6-401 (1 РМ). Для шкафа НС6.1 (пом. 6-208) выполнить организацию электропитания. В шкаф предусмотреть 10%-й запас патч-кордов RJ-45, UTP cat.5e, разных цветов.</w:t>
      </w:r>
    </w:p>
    <w:p w14:paraId="0FE22180">
      <w:pPr>
        <w:spacing w:after="0" w:line="240" w:lineRule="auto"/>
        <w:ind w:left="109" w:right="7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3826D4B6">
      <w:pPr>
        <w:spacing w:after="0" w:line="240" w:lineRule="auto"/>
        <w:ind w:left="109" w:right="71"/>
        <w:contextualSpacing/>
        <w:jc w:val="both"/>
        <w:rPr>
          <w:rFonts w:ascii="Times New Roman" w:hAnsi="Times New Roman" w:eastAsia="Times New Roman"/>
          <w:b/>
          <w:lang w:eastAsia="ru-RU"/>
        </w:rPr>
      </w:pPr>
      <w:r>
        <w:rPr>
          <w:rFonts w:ascii="Times New Roman" w:hAnsi="Times New Roman" w:eastAsia="Times New Roman" w:cs="Times New Roman"/>
          <w:lang w:eastAsia="ru-RU"/>
        </w:rPr>
        <w:t>- ИБП 1500 ВА – 1шт.</w:t>
      </w:r>
    </w:p>
    <w:p w14:paraId="72BEC1AA">
      <w:pPr>
        <w:spacing w:after="0" w:line="240" w:lineRule="auto"/>
        <w:ind w:left="109" w:right="71"/>
        <w:contextualSpacing/>
        <w:rPr>
          <w:rFonts w:ascii="Times New Roman" w:hAnsi="Times New Roman" w:eastAsia="Times New Roman"/>
          <w:b/>
          <w:lang w:eastAsia="ru-RU"/>
        </w:rPr>
      </w:pPr>
    </w:p>
    <w:p w14:paraId="2EABFD68">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НС6.2 (пом. 6б-204)</w:t>
      </w:r>
    </w:p>
    <w:p w14:paraId="696B4148">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Для шкафа НС6.2 (пом. 6б-204) выполнить организацию электропитания. В шкаф предусмотреть 10%-й запас патч-кордов RJ-45, UTP cat.5e, разных цветов.</w:t>
      </w:r>
    </w:p>
    <w:p w14:paraId="148FA216">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05D701A8">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 ИБП 1500 ВА – 1шт.</w:t>
      </w:r>
    </w:p>
    <w:p w14:paraId="5B58785B">
      <w:pPr>
        <w:spacing w:after="0" w:line="240" w:lineRule="auto"/>
        <w:ind w:left="109" w:right="71"/>
        <w:contextualSpacing/>
        <w:rPr>
          <w:rFonts w:ascii="Times New Roman" w:hAnsi="Times New Roman" w:eastAsia="Times New Roman"/>
          <w:b/>
          <w:lang w:eastAsia="ru-RU"/>
        </w:rPr>
      </w:pPr>
    </w:p>
    <w:p w14:paraId="2D01B40B">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7</w:t>
      </w:r>
    </w:p>
    <w:p w14:paraId="076CA5F2">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НС7.1 (пом. 7-115)</w:t>
      </w:r>
    </w:p>
    <w:p w14:paraId="1D8A75CB">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lang w:eastAsia="ru-RU"/>
        </w:rPr>
        <w:t>Подключить рабочие места в помещениях 7-104 (1 РМ), 7-105 (1 РМ), 7-116 (2 РМ), 7-119 (1 РМ).</w:t>
      </w:r>
    </w:p>
    <w:p w14:paraId="4D5BEA14">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 и батарейного модуля:</w:t>
      </w:r>
    </w:p>
    <w:p w14:paraId="7B6343A3">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615DB197">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1500 ВА – 1шт.</w:t>
      </w:r>
    </w:p>
    <w:p w14:paraId="6A7EF7ED">
      <w:pPr>
        <w:spacing w:after="0" w:line="240" w:lineRule="auto"/>
        <w:ind w:left="109" w:right="71"/>
        <w:contextualSpacing/>
        <w:rPr>
          <w:rFonts w:ascii="Times New Roman" w:hAnsi="Times New Roman" w:eastAsia="Times New Roman"/>
          <w:b/>
          <w:lang w:eastAsia="ru-RU"/>
        </w:rPr>
      </w:pPr>
    </w:p>
    <w:p w14:paraId="53D30BDD">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НС7.2 (пом. 7-127.1)</w:t>
      </w:r>
    </w:p>
    <w:p w14:paraId="1D9A409B">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lang w:eastAsia="ru-RU"/>
        </w:rPr>
        <w:t>Подключить рабочие места в помещениях 7-121 (2 РМ), 7-123 (1 РМ), 7-128 (1 РМ), 7-127.2 (1 РМ), 7-127.3 (1 РМ), 7-127.4 (1 РМ), 7-127.7 (2 РМ), 7-127.7а (2 РМ), 7-127.7б (1 РМ), 7-127.10 (3 РМ), 7-127.13 (1 РМ).</w:t>
      </w:r>
    </w:p>
    <w:p w14:paraId="771E7366">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01A08782">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024FA041">
      <w:pPr>
        <w:spacing w:after="0" w:line="240" w:lineRule="auto"/>
        <w:ind w:left="109" w:right="71"/>
        <w:contextualSpacing/>
        <w:rPr>
          <w:rFonts w:ascii="Times New Roman" w:hAnsi="Times New Roman" w:eastAsia="Times New Roman"/>
          <w:b/>
          <w:lang w:eastAsia="ru-RU"/>
        </w:rPr>
      </w:pPr>
    </w:p>
    <w:p w14:paraId="7E288114">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НС7.4 (пом. 7-338)</w:t>
      </w:r>
    </w:p>
    <w:p w14:paraId="46F93315">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7-338, взамен существующего телекоммуникационного шкафа установить новый телекоммуникационном шкаф НС7.4. 42U 600х800 мм. От шкафа НС7.4 (пом. 7-338)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НС7.4 (пом. 7-338) проложить оптический кабель OS2 емкостью 24 волокна до шкафа МС4.2 (пом. 4-108.5). В шкафах НС7.4 (пом. 7-338) и МС4.2 (пом. 4-108.5) проложенные кабели разварить в оптических панелях. Из существующего шкафа (пом. 7-338) перенести все медные подключения в новый шкаф НС7.4. Подключить рабочие места в помещениях 7-330.1 (2 РМ), 7-330.2 (5 РМ), 7-332 (1 РМ), 7-334 (1 РМ), 7-336 (1 РМ), 7-338 (1 РМ), 7-340 (1 РМ) и 7-440 (3 РМ). Подвод кабелей к шкафу НС7.4 выполнить в скрытом коробе. Для шкафа НС7.4 (пом. 7-338) выполнить организацию электропитания.  шкаф предусмотреть 10%-й запас патч-кордов RJ-45, UTP cat.5e, разных цветов.</w:t>
      </w:r>
    </w:p>
    <w:p w14:paraId="28EA8583">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Монтаж, подключение, пуско-наладка коммутаторов, ИБП и батарейного модуля: </w:t>
      </w:r>
    </w:p>
    <w:p w14:paraId="79058C8B">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11855213">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B</w:t>
      </w:r>
      <w:r>
        <w:rPr>
          <w:rFonts w:ascii="Times New Roman" w:hAnsi="Times New Roman" w:eastAsia="Times New Roman" w:cs="Times New Roman"/>
          <w:lang w:eastAsia="ru-RU"/>
        </w:rPr>
        <w:t xml:space="preserve"> – 2шт.;</w:t>
      </w:r>
    </w:p>
    <w:p w14:paraId="263D961D">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09E35EFA">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1500 ВА – 1шт.</w:t>
      </w:r>
    </w:p>
    <w:p w14:paraId="745CE1AF">
      <w:pPr>
        <w:spacing w:after="0" w:line="240" w:lineRule="auto"/>
        <w:ind w:left="109" w:right="71"/>
        <w:contextualSpacing/>
        <w:rPr>
          <w:rFonts w:ascii="Times New Roman" w:hAnsi="Times New Roman" w:eastAsia="Times New Roman"/>
          <w:lang w:eastAsia="ru-RU"/>
        </w:rPr>
      </w:pPr>
    </w:p>
    <w:p w14:paraId="0384BA2A">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НС7.5 (пом. 7-313)</w:t>
      </w:r>
    </w:p>
    <w:p w14:paraId="208A8B45">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помещении 7-413 (1 РМ).</w:t>
      </w:r>
    </w:p>
    <w:p w14:paraId="140AC451">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Для шкафа НС7.5 (пом. 7-313) выполнить организацию электропитания.</w:t>
      </w:r>
    </w:p>
    <w:p w14:paraId="2740F1F6">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В шкаф предусмотреть 10%-й запас патч-кордов RJ-45, UTP cat.5e, разных цветов.</w:t>
      </w:r>
    </w:p>
    <w:p w14:paraId="0E818742">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Монтаж, подключение, пуско-наладка ИБП и батарейного модуля:</w:t>
      </w:r>
    </w:p>
    <w:p w14:paraId="48333DBF">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31CDE35A">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1500 ВА – 1шт.</w:t>
      </w:r>
    </w:p>
    <w:p w14:paraId="6FFF1D1E">
      <w:pPr>
        <w:spacing w:after="0" w:line="240" w:lineRule="auto"/>
        <w:ind w:left="109" w:right="71"/>
        <w:contextualSpacing/>
        <w:rPr>
          <w:rFonts w:ascii="Times New Roman" w:hAnsi="Times New Roman" w:eastAsia="Times New Roman"/>
          <w:b/>
          <w:lang w:eastAsia="ru-RU"/>
        </w:rPr>
      </w:pPr>
    </w:p>
    <w:p w14:paraId="1B577D21">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НС7.6 (пом. 7-530)</w:t>
      </w:r>
    </w:p>
    <w:p w14:paraId="03A2B7C2">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7-530, взамен существующего телекоммуникационного шкафа установить новый телекоммуникационном шкаф НС7.6. 42U 600х800 мм. От шкафа НС7.6 (пом. 7-530)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НС7.6 (пом. 7-530) проложить оптический кабель OS2 емкостью 24 волокна до шкафа МС4.2 (пом. 4-108.5). В шкафах НС7.6 (пом. 7-530) и МС4.2 (пом. 4-108.5) проложенные кабели разварить в оптических панелях. Из существующего шкафа (пом. 7-530) перенести все медные подключения в новый шкаф НС7.6.  подключить рабочие места в помещениях 7-511 (1 РМ), 7-514.2 (2 РМ), 7-523 (1 РМ) и 7-538 (20 РМ). Подвод кабелей к шкафу НС7.6 выполнить в кабель канале 100х60 мм. Для шкафа НС7.6 (пом. 7-530) выполнить организацию электропитания. В шкаф предусмотреть 10%-й запас патч-кордов RJ-45, UTP cat.5e, разных цветов.</w:t>
      </w:r>
    </w:p>
    <w:p w14:paraId="2841D265">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Монтаж, подключение, пуско-наладка коммутаторов, ИБП: </w:t>
      </w:r>
    </w:p>
    <w:p w14:paraId="59BE33BB">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2424</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7A77E829">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B</w:t>
      </w:r>
      <w:r>
        <w:rPr>
          <w:rFonts w:ascii="Times New Roman" w:hAnsi="Times New Roman" w:eastAsia="Times New Roman" w:cs="Times New Roman"/>
          <w:lang w:eastAsia="ru-RU"/>
        </w:rPr>
        <w:t xml:space="preserve"> – 1шт.;</w:t>
      </w:r>
    </w:p>
    <w:p w14:paraId="1949A0DD">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6E2ADC86">
      <w:pPr>
        <w:spacing w:after="0" w:line="240" w:lineRule="auto"/>
        <w:ind w:left="109" w:right="71"/>
        <w:contextualSpacing/>
        <w:rPr>
          <w:rFonts w:ascii="Times New Roman" w:hAnsi="Times New Roman" w:eastAsia="Times New Roman"/>
          <w:b/>
          <w:lang w:eastAsia="ru-RU"/>
        </w:rPr>
      </w:pPr>
    </w:p>
    <w:p w14:paraId="31DFC1B4">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НС7.7 (пом. 7-508)</w:t>
      </w:r>
    </w:p>
    <w:p w14:paraId="2DB060F6">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7-508, взамен существующего телекоммуникационного шкафа установить новый телекоммуникационном шкаф НС7.7. 42U 600х800 мм. От шкафа НС7.7 (пом. 7-508)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НС7.7 (пом. 7-508) проложить оптический кабель OS2 емкостью 24 волокна до шкафа МС4.2 (пом. 4-108.5). В шкафах НС7.7 (пом. 7-508) и МС4.2 (пом. 4-108.5) проложенные кабели разварить в оптических панелях. Из существующего шкафа (пом. 7-508) перенести все медные подключения в новый шкаф НС7.7. Подключить рабочие места в помещениях 7-505 (1 РМ), 7-506 (1 РМ), 7-510 (1 РМ) и 7-512 (1 РМ). Подвод кабелей к шкафу НС7.7 выполнить в кабель канале 100х60 мм. Для шкафа НС7.7 (пом. 7-508) выполнить организацию электропитания. В шкаф предусмотреть 10%-й запас патч-кордов RJ-45, UTP cat.5e, разных цветов.</w:t>
      </w:r>
    </w:p>
    <w:p w14:paraId="6518EF72">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Монтаж, подключение, пуско-наладка коммутаторов, ИБП: </w:t>
      </w:r>
    </w:p>
    <w:p w14:paraId="336C7E3B">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2424</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383A7A4D">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B</w:t>
      </w:r>
      <w:r>
        <w:rPr>
          <w:rFonts w:ascii="Times New Roman" w:hAnsi="Times New Roman" w:eastAsia="Times New Roman" w:cs="Times New Roman"/>
          <w:lang w:eastAsia="ru-RU"/>
        </w:rPr>
        <w:t xml:space="preserve"> – 1шт.;</w:t>
      </w:r>
    </w:p>
    <w:p w14:paraId="3BB37338">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 ИБП 1500 ВА – 1шт.</w:t>
      </w:r>
    </w:p>
    <w:p w14:paraId="734115E2">
      <w:pPr>
        <w:spacing w:after="0" w:line="240" w:lineRule="auto"/>
        <w:ind w:left="109" w:right="71"/>
        <w:contextualSpacing/>
        <w:rPr>
          <w:rFonts w:ascii="Times New Roman" w:hAnsi="Times New Roman" w:eastAsia="Times New Roman"/>
          <w:b/>
          <w:lang w:eastAsia="ru-RU"/>
        </w:rPr>
      </w:pPr>
    </w:p>
    <w:p w14:paraId="3C8C70E5">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НС7.8 (пом. 7-308)</w:t>
      </w:r>
    </w:p>
    <w:p w14:paraId="7016FC74">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Для шкафа НС7.8 (пом. 7-308) выполнить организацию электропитания. В шкаф предусмотреть 10%-й запас патч-кордов RJ-45, UTP cat.5e, разных цветов.</w:t>
      </w:r>
    </w:p>
    <w:p w14:paraId="305A445A">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5BC5F32B">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5852ABCA">
      <w:pPr>
        <w:spacing w:after="0" w:line="240" w:lineRule="auto"/>
        <w:ind w:left="109" w:right="71"/>
        <w:contextualSpacing/>
        <w:jc w:val="center"/>
        <w:rPr>
          <w:rFonts w:ascii="Times New Roman" w:hAnsi="Times New Roman" w:eastAsia="Times New Roman"/>
          <w:b/>
          <w:u w:val="single"/>
          <w:lang w:eastAsia="ru-RU"/>
        </w:rPr>
      </w:pPr>
    </w:p>
    <w:p w14:paraId="6CA35DA9">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8</w:t>
      </w:r>
    </w:p>
    <w:p w14:paraId="46011D81">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НС8.1 (пом. 8-109)</w:t>
      </w:r>
    </w:p>
    <w:p w14:paraId="2FE0E942">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8-109, взамен существующего телекоммуникационного шкафа установить новый телекоммуникационном шкаф НС8.1. 42U 600х800 мм. От шкафа НС8.1 (пом. 8-109)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НС8.1 (пом. 8-109) проложить оптический кабель OS2 емкостью 24 волокна до шкафа МС4.2 (пом. 4-108.5). В шкафах НС8.1 (пом. 8-109) и МС4.2 (пом. 4-108.5) проложенные кабели разварить в оптических панелях. Из существующего шкафа (пом. 8-109) перенести все медные подключения в новый шкаф НС8.1. Подключить рабочие места в помещениях 8-001 (3 РМ), 8-003 (3 РМ), 8-102 (1 РМ), 8-103 (1 РМ) и в регистратуре водолечебницы (1 РМ). Подвод кабелей к шкафу НС8.1 выполнить в кабель канале 100х60 мм. Для шкафа НС8.1 (пом. 8-109) выполнить организацию электропитания. В шкаф предусмотреть 10%-й запас патч-кордов RJ-45, UTP cat.5e, разных цветов.</w:t>
      </w:r>
    </w:p>
    <w:p w14:paraId="609FC531">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Монтаж, подключение, пуско-наладка коммутаторов, ИБП: </w:t>
      </w:r>
    </w:p>
    <w:p w14:paraId="109E5243">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3D65C27A">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B</w:t>
      </w:r>
      <w:r>
        <w:rPr>
          <w:rFonts w:ascii="Times New Roman" w:hAnsi="Times New Roman" w:eastAsia="Times New Roman" w:cs="Times New Roman"/>
          <w:lang w:eastAsia="ru-RU"/>
        </w:rPr>
        <w:t xml:space="preserve"> – 3шт.;</w:t>
      </w:r>
    </w:p>
    <w:p w14:paraId="71C25D32">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36265822">
      <w:pPr>
        <w:spacing w:after="0" w:line="240" w:lineRule="auto"/>
        <w:ind w:left="109" w:right="71"/>
        <w:contextualSpacing/>
        <w:rPr>
          <w:rFonts w:ascii="Times New Roman" w:hAnsi="Times New Roman" w:eastAsia="Times New Roman"/>
          <w:b/>
          <w:lang w:eastAsia="ru-RU"/>
        </w:rPr>
      </w:pPr>
    </w:p>
    <w:p w14:paraId="1556C2BE">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9</w:t>
      </w:r>
    </w:p>
    <w:p w14:paraId="75F31AB9">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НС9.1 (пом. 9-115а, лестница)</w:t>
      </w:r>
    </w:p>
    <w:p w14:paraId="6C62B842">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9-115а, взамен существующего телекоммуникационного шкафа установить новый телекоммуникационном шкаф НС9.1. 22U 600х450 мм. От шкафа НС9.1 (пом. 9-115а)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НС9.1 (пом. 9-115а) проложить оптический кабель OS2 емкостью 24 волокна до шкафа МС4.2 (пом. 4-108.5). В шкафах НС9.1 (пом. 9-115а) и МС4.2 (пом. 4-108.5) проложенные кабели разварить в оптических панелях. Из существующего шкафа (пом. 9-115а) перенести все медные подключения в новый шкаф НС9.1.  подключить рабочие места в помещениях 9-101 (1 РМ), 9-103 (1 РМ), 9-106 (1 РМ), 9-112 (1 РМ), 9-113 (1 РМ) и 9-114 (1 РМ). Подвод кабелей к шкафу НС9.1 выполнить в кабель канале 100х60 мм. Для шкафа НС9.1 (пом. 9-115а) выполнить организацию электропитания. В шкаф предусмотреть 10%-й запас патч-кордов RJ-45, UTP cat.5e, разных цветов.</w:t>
      </w:r>
    </w:p>
    <w:p w14:paraId="78DA962B">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коммутаторов, ИБП:</w:t>
      </w:r>
    </w:p>
    <w:p w14:paraId="31870CEF">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059D489C">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B</w:t>
      </w:r>
      <w:r>
        <w:rPr>
          <w:rFonts w:ascii="Times New Roman" w:hAnsi="Times New Roman" w:eastAsia="Times New Roman" w:cs="Times New Roman"/>
          <w:lang w:eastAsia="ru-RU"/>
        </w:rPr>
        <w:t xml:space="preserve"> – 2шт.;</w:t>
      </w:r>
    </w:p>
    <w:p w14:paraId="6026FE3F">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244CD64A">
      <w:pPr>
        <w:spacing w:after="0" w:line="240" w:lineRule="auto"/>
        <w:ind w:left="109" w:right="71"/>
        <w:contextualSpacing/>
        <w:rPr>
          <w:rFonts w:ascii="Times New Roman" w:hAnsi="Times New Roman" w:eastAsia="Times New Roman"/>
          <w:b/>
          <w:lang w:eastAsia="ru-RU"/>
        </w:rPr>
      </w:pPr>
    </w:p>
    <w:p w14:paraId="0C57278B">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НС9.2 (пом. 9-126)</w:t>
      </w:r>
    </w:p>
    <w:p w14:paraId="4F85CF0C">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9-126, взамен существующего телекоммуникационного шкафа установить новый телекоммуникационном шкаф НС9.2. 42U 600х800 мм. От шкафа НС9.2 (пом. 9-126)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НС9.2 (пом. 9-126) проложить оптический кабель OS2 емкостью 24 волокна до шкафа МС4.2 (пом. 4-108.5). В шкафах НС9.2 (пом. 9-126) и МС4.2 (пом. 4-108.5) проложенные кабели разварить в оптических панелях. Из существующего шкафа (пом. 9-126) перенести все медные подключения в новый шкаф НС9.2. Подключить рабочие места в помещениях 9-003 (1 РМ), 9-03 (1 РМ), 9-07 (1 РМ), 9-08 (3 РМ) и 9-127 (3 РМ). Подвод кабелей к шкафу НС9.2 выполнить в кабель канале 100х60 мм. Для шкафа НС9.2 (пом. 9-126) выполнить организацию электропитания. В шкаф предусмотреть 10%-й запас патч-кордов RJ-45, UTP cat.5e, разных цветов.</w:t>
      </w:r>
    </w:p>
    <w:p w14:paraId="6738F866">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коммутаторов, ИБП:</w:t>
      </w:r>
    </w:p>
    <w:p w14:paraId="1849D20A">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568AF536">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B</w:t>
      </w:r>
      <w:r>
        <w:rPr>
          <w:rFonts w:ascii="Times New Roman" w:hAnsi="Times New Roman" w:eastAsia="Times New Roman" w:cs="Times New Roman"/>
          <w:lang w:eastAsia="ru-RU"/>
        </w:rPr>
        <w:t xml:space="preserve"> – 1шт.;</w:t>
      </w:r>
    </w:p>
    <w:p w14:paraId="7B2DFF23">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5A7A4F8D">
      <w:pPr>
        <w:spacing w:after="0" w:line="240" w:lineRule="auto"/>
        <w:ind w:left="109" w:right="71"/>
        <w:contextualSpacing/>
        <w:rPr>
          <w:rFonts w:ascii="Times New Roman" w:hAnsi="Times New Roman" w:eastAsia="Times New Roman"/>
          <w:b/>
          <w:lang w:eastAsia="ru-RU"/>
        </w:rPr>
      </w:pPr>
    </w:p>
    <w:p w14:paraId="41FFC1A4">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НС9.4 (лестница)</w:t>
      </w:r>
    </w:p>
    <w:p w14:paraId="6AFF86EC">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 xml:space="preserve">В лестнице 3 этажа, взамен существующего телекоммуникационного шкафа установить новый телекоммуникационном шкаф НС9.4. 33U 600х800 мм. От шкафа НС9.4 (лестница)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НС9.4 (лестница) проложить оптический кабель OS2 емкостью 24 волокна до шкафа МС4.2 (пом. 4-108.5). В шкафах НС9.4 (лестница) и МС4.2 (пом. 4-108.5) проложенные кабели разварить в оптических панелях. Из существующего шкафа на лестнице 3 этажа перенести все медные подключения в новый шкаф НС9.4. Подключить рабочие места в помещениях 9-305 (12 РМ), 9-308 (8 РМ) и 9-309 (1 РМ). Подвод кабелей к шкафу НС9.4 выполнить в кабель канале 100х60 мм. Для шкафа НС9.4 (лестница) выполнить организацию электропитания. В шкаф предусмотреть 10%-й запас патч-кордов RJ-45, UTP cat.5e, разных цветов. </w:t>
      </w:r>
    </w:p>
    <w:p w14:paraId="40FBA10B">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коммутаторов, ИБП:</w:t>
      </w:r>
    </w:p>
    <w:p w14:paraId="090D0AC3">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2424</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45FFDBE9">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2424 – 1шт. (предоставляется Заказчиком);</w:t>
      </w:r>
    </w:p>
    <w:p w14:paraId="38E2128E">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602F6E20">
      <w:pPr>
        <w:spacing w:after="0" w:line="240" w:lineRule="auto"/>
        <w:ind w:left="109" w:right="71"/>
        <w:contextualSpacing/>
        <w:rPr>
          <w:rFonts w:ascii="Times New Roman" w:hAnsi="Times New Roman" w:eastAsia="Times New Roman"/>
          <w:b/>
          <w:lang w:eastAsia="ru-RU"/>
        </w:rPr>
      </w:pPr>
    </w:p>
    <w:p w14:paraId="75548F9F">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10</w:t>
      </w:r>
    </w:p>
    <w:p w14:paraId="28F3D3BB">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НС10.3 (пом. 17)</w:t>
      </w:r>
    </w:p>
    <w:p w14:paraId="7600C70B">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17, этаж 3, установить новый телекоммуникационном шкаф НС10.3. 42U 600х800 мм. От шкафа НС10.3 (пом. 17)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НС10.3 (пом. 17) проложить оптический кабель OS2 емкостью 24 волокна до шкафа МС4.2 (пом. 4-108.5). В шкафах НС10.3 (пом. 17(10-309.3)) и МС4.2 (пом. 4-108.5) проложенные кабели разварить в оптических панелях. Подключить рабочие места в помещениях 10-215 (1 РМ), 10-308.1 (11 РМ), 10-308.2 (10 РМ), 10-309.1 (6 РМ), 10-309.2 (6 РМ), 10-309.3 (1 РМ), 10-309.4 (3 РМ), 10-411.1 (2 РМ), 10-411.2 (1 РМ), 10-412.1 (1 РМ), 10-412.2 (1 РМ), 10-412.4 (2 РМ), 10-504 (4 РМ), 10-505 (2 РМ), 10-509 (2 РМ), 10-521 (4 РМ), 10-524 (3 РМ) и 10-525 (1 РМ). Подвод кабелей к шкафу НС10.3 выполнить в кабель канале 100х60 мм. Для шкафа НС10.3 (пом. 17) выполнить организацию электропитания. В шкаф предусмотреть 10%-й запас патч-кордов RJ-45, UTP cat.5e, разных цветов.</w:t>
      </w:r>
    </w:p>
    <w:p w14:paraId="61AACF0C">
      <w:pPr>
        <w:spacing w:after="0" w:line="240" w:lineRule="auto"/>
        <w:ind w:left="109" w:right="7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коммутаторов, ИБП:</w:t>
      </w:r>
    </w:p>
    <w:p w14:paraId="05F9ECB5">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 xml:space="preserve">- </w:t>
      </w:r>
      <w:r>
        <w:rPr>
          <w:rFonts w:ascii="Times New Roman" w:hAnsi="Times New Roman" w:eastAsia="Times New Roman"/>
          <w:lang w:val="en-US" w:eastAsia="ru-RU"/>
        </w:rPr>
        <w:t>MES</w:t>
      </w:r>
      <w:r>
        <w:rPr>
          <w:rFonts w:ascii="Times New Roman" w:hAnsi="Times New Roman" w:eastAsia="Times New Roman"/>
          <w:lang w:eastAsia="ru-RU"/>
        </w:rPr>
        <w:t>2424</w:t>
      </w:r>
      <w:r>
        <w:rPr>
          <w:rFonts w:ascii="Times New Roman" w:hAnsi="Times New Roman" w:eastAsia="Times New Roman"/>
          <w:lang w:val="en-US" w:eastAsia="ru-RU"/>
        </w:rPr>
        <w:t>P</w:t>
      </w:r>
      <w:r>
        <w:rPr>
          <w:rFonts w:ascii="Times New Roman" w:hAnsi="Times New Roman" w:eastAsia="Times New Roman"/>
          <w:lang w:eastAsia="ru-RU"/>
        </w:rPr>
        <w:t xml:space="preserve"> – 1шт.;</w:t>
      </w:r>
    </w:p>
    <w:p w14:paraId="3E2CA720">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 xml:space="preserve">- </w:t>
      </w:r>
      <w:r>
        <w:rPr>
          <w:rFonts w:ascii="Times New Roman" w:hAnsi="Times New Roman" w:eastAsia="Times New Roman"/>
          <w:lang w:val="en-US" w:eastAsia="ru-RU"/>
        </w:rPr>
        <w:t>MES</w:t>
      </w:r>
      <w:r>
        <w:rPr>
          <w:rFonts w:ascii="Times New Roman" w:hAnsi="Times New Roman" w:eastAsia="Times New Roman"/>
          <w:lang w:eastAsia="ru-RU"/>
        </w:rPr>
        <w:t>2448</w:t>
      </w:r>
      <w:r>
        <w:rPr>
          <w:rFonts w:ascii="Times New Roman" w:hAnsi="Times New Roman" w:eastAsia="Times New Roman"/>
          <w:lang w:val="en-US" w:eastAsia="ru-RU"/>
        </w:rPr>
        <w:t>B</w:t>
      </w:r>
      <w:r>
        <w:rPr>
          <w:rFonts w:ascii="Times New Roman" w:hAnsi="Times New Roman" w:eastAsia="Times New Roman"/>
          <w:lang w:eastAsia="ru-RU"/>
        </w:rPr>
        <w:t xml:space="preserve"> – 1шт.</w:t>
      </w:r>
    </w:p>
    <w:p w14:paraId="2457E05D">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 ИБП 1500 ВА – 1шт.</w:t>
      </w:r>
    </w:p>
    <w:p w14:paraId="30D9A35E">
      <w:pPr>
        <w:spacing w:after="0" w:line="240" w:lineRule="auto"/>
        <w:ind w:left="109" w:right="71"/>
        <w:contextualSpacing/>
        <w:rPr>
          <w:rFonts w:ascii="Times New Roman" w:hAnsi="Times New Roman" w:eastAsia="Times New Roman"/>
          <w:b/>
          <w:lang w:eastAsia="ru-RU"/>
        </w:rPr>
      </w:pPr>
    </w:p>
    <w:p w14:paraId="4CCF54A6">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14</w:t>
      </w:r>
    </w:p>
    <w:p w14:paraId="355E8EBC">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НС14.1 (пом. 14-308)</w:t>
      </w:r>
    </w:p>
    <w:p w14:paraId="7D85244E">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Для шкафа НС14.1 (пом. 14-308) выполнить организацию электропитания. В шкаф предусмотреть 10%-й запас патч-кордов RJ-45, UTP cat.5e, разных цветов.</w:t>
      </w:r>
    </w:p>
    <w:p w14:paraId="271984E0">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2E11E351">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cs="Times New Roman"/>
          <w:lang w:eastAsia="ru-RU"/>
        </w:rPr>
        <w:t>- ИБП 1500 ВА – 1шт.</w:t>
      </w:r>
    </w:p>
    <w:p w14:paraId="0F9D5584">
      <w:pPr>
        <w:spacing w:after="0" w:line="240" w:lineRule="auto"/>
        <w:ind w:left="109" w:right="71"/>
        <w:contextualSpacing/>
        <w:rPr>
          <w:rFonts w:ascii="Times New Roman" w:hAnsi="Times New Roman" w:eastAsia="Times New Roman"/>
          <w:lang w:eastAsia="ru-RU"/>
        </w:rPr>
      </w:pPr>
    </w:p>
    <w:p w14:paraId="4D7958DA">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5.3.</w:t>
      </w:r>
      <w:r>
        <w:rPr>
          <w:rFonts w:ascii="Times New Roman" w:hAnsi="Times New Roman" w:eastAsia="Times New Roman" w:cs="Times New Roman"/>
          <w:lang w:eastAsia="ru-RU"/>
        </w:rPr>
        <w:t xml:space="preserve"> Работы должны выполняться в условиях действующего здания, без прекращения деятельности ФГБОУ ВО ПГУПС. Во время проведения работ должно быть сохранено бесперебойное электро-, тепло- и водоснабжение Заказчика. Должна быть обеспечена бесперебойная работа существующей телекоммуникационной сети. Все работы должны производиться в соответствии</w:t>
      </w:r>
      <w:r>
        <w:rPr>
          <w:rFonts w:ascii="Times New Roman" w:hAnsi="Times New Roman" w:cs="Times New Roman"/>
        </w:rPr>
        <w:t xml:space="preserve"> с режимом доступа в согласованное с Заказчиком время и только после обеспечения Заказчиком доступа к помещениям и существующей инфраструктуре.</w:t>
      </w:r>
    </w:p>
    <w:p w14:paraId="1F8B4C4B">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5.4.</w:t>
      </w:r>
      <w:r>
        <w:rPr>
          <w:rFonts w:ascii="Times New Roman" w:hAnsi="Times New Roman" w:eastAsia="Times New Roman" w:cs="Times New Roman"/>
          <w:lang w:eastAsia="ru-RU"/>
        </w:rPr>
        <w:t xml:space="preserve"> Разрабатываемые технические решения, размещение коммуникационных шкафов и оборудования в них, траектории прокладки кабелей по каждому помещению, схемы организации связи, логическая конфигурация сети и политики безопасности должны соответствовать проектной документации Университета. </w:t>
      </w:r>
    </w:p>
    <w:p w14:paraId="3193925F">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Ознакомиться с проектной документацией на модернизацию информационной инфраструктуры можно с 10.00 до 17.00 часов по рабочим дням. Контактное лицо представителя ФГБОУ ВО ПГУПС – Полищук Максим Викторович, телефон для связи –  457-80-06. Установление указанного порядка ознакомления обусловлено тем, что вычислительная сеть Заказчика проходит в том числе через помещения с ограниченным режимом доступа и используется при обработке информации, содержащей персональные данные, в связи с чем размещение указанной документации в открытом доступе не осуществляется. При этом, документация о закупке содержит сведения, достаточные для определения предмета закупки и формирования заявки, а предоставление возможности дополнительного ознакомления с документацией и объектом направлено на уточнение условий выполнения работ и минимизацию технологических рисков при исполнении договора.</w:t>
      </w:r>
    </w:p>
    <w:p w14:paraId="52471819">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5.5.</w:t>
      </w:r>
      <w:r>
        <w:rPr>
          <w:rFonts w:ascii="Times New Roman" w:hAnsi="Times New Roman" w:eastAsia="Times New Roman" w:cs="Times New Roman"/>
          <w:lang w:eastAsia="ru-RU"/>
        </w:rPr>
        <w:t xml:space="preserve"> Исполнитель производит следующие пусконаладочные работы с активным сетевым оборудова</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нием:</w:t>
      </w:r>
    </w:p>
    <w:p w14:paraId="7B6E167C">
      <w:pPr>
        <w:spacing w:after="0" w:line="240" w:lineRule="auto"/>
        <w:ind w:left="426" w:hanging="142"/>
        <w:rPr>
          <w:rFonts w:ascii="Times New Roman" w:hAnsi="Times New Roman" w:eastAsia="Times New Roman" w:cs="Times New Roman"/>
          <w:lang w:eastAsia="ru-RU"/>
        </w:rPr>
      </w:pPr>
      <w:r>
        <w:rPr>
          <w:rFonts w:ascii="Times New Roman" w:hAnsi="Times New Roman" w:eastAsia="Times New Roman" w:cs="Times New Roman"/>
          <w:lang w:eastAsia="ru-RU"/>
        </w:rPr>
        <w:t>• установка комплектующих (блоков питания, доп. модулей, трансиверов);</w:t>
      </w:r>
    </w:p>
    <w:p w14:paraId="42DDDAE1">
      <w:pPr>
        <w:spacing w:after="0" w:line="240" w:lineRule="auto"/>
        <w:ind w:left="426" w:hanging="142"/>
        <w:rPr>
          <w:rFonts w:ascii="Times New Roman" w:hAnsi="Times New Roman" w:eastAsia="Times New Roman" w:cs="Times New Roman"/>
          <w:lang w:eastAsia="ru-RU"/>
        </w:rPr>
      </w:pPr>
      <w:r>
        <w:rPr>
          <w:rFonts w:ascii="Times New Roman" w:hAnsi="Times New Roman" w:eastAsia="Times New Roman" w:cs="Times New Roman"/>
          <w:lang w:eastAsia="ru-RU"/>
        </w:rPr>
        <w:t>• обновление микропрограммного обеспечения;</w:t>
      </w:r>
    </w:p>
    <w:p w14:paraId="6D0090BF">
      <w:pPr>
        <w:spacing w:after="0" w:line="240" w:lineRule="auto"/>
        <w:ind w:left="426" w:hanging="142"/>
        <w:rPr>
          <w:rFonts w:ascii="Times New Roman" w:hAnsi="Times New Roman" w:eastAsia="Times New Roman" w:cs="Times New Roman"/>
          <w:lang w:eastAsia="ru-RU"/>
        </w:rPr>
      </w:pPr>
      <w:r>
        <w:rPr>
          <w:rFonts w:ascii="Times New Roman" w:hAnsi="Times New Roman" w:eastAsia="Times New Roman" w:cs="Times New Roman"/>
          <w:lang w:eastAsia="ru-RU"/>
        </w:rPr>
        <w:t>• установка обновлений и лицензий;</w:t>
      </w:r>
    </w:p>
    <w:p w14:paraId="4B1B627B">
      <w:pPr>
        <w:spacing w:after="0" w:line="240" w:lineRule="auto"/>
        <w:ind w:left="426" w:hanging="142"/>
        <w:jc w:val="both"/>
        <w:rPr>
          <w:rFonts w:ascii="Times New Roman" w:hAnsi="Times New Roman" w:eastAsia="Times New Roman" w:cs="Times New Roman"/>
          <w:lang w:eastAsia="ru-RU"/>
        </w:rPr>
      </w:pPr>
      <w:r>
        <w:rPr>
          <w:rFonts w:ascii="Times New Roman" w:hAnsi="Times New Roman" w:eastAsia="Times New Roman" w:cs="Times New Roman"/>
          <w:lang w:eastAsia="ru-RU"/>
        </w:rPr>
        <w:t>• подключение и коммутация;</w:t>
      </w:r>
    </w:p>
    <w:p w14:paraId="26FB785B">
      <w:pPr>
        <w:spacing w:after="0" w:line="240" w:lineRule="auto"/>
        <w:ind w:left="426" w:hanging="142"/>
        <w:jc w:val="both"/>
        <w:rPr>
          <w:rFonts w:ascii="Times New Roman" w:hAnsi="Times New Roman" w:eastAsia="Times New Roman" w:cs="Times New Roman"/>
          <w:lang w:eastAsia="ru-RU"/>
        </w:rPr>
      </w:pPr>
      <w:r>
        <w:rPr>
          <w:rFonts w:ascii="Times New Roman" w:hAnsi="Times New Roman" w:eastAsia="Times New Roman" w:cs="Times New Roman"/>
          <w:lang w:eastAsia="ru-RU"/>
        </w:rPr>
        <w:t>• настройка коммутаторов (ACL, IRF, адресация, VLAN, QoS, агрегация, управление);</w:t>
      </w:r>
    </w:p>
    <w:p w14:paraId="6A7B3CCF">
      <w:pPr>
        <w:spacing w:after="0" w:line="240" w:lineRule="auto"/>
        <w:ind w:left="426" w:hanging="142"/>
        <w:jc w:val="both"/>
        <w:rPr>
          <w:rFonts w:ascii="Times New Roman" w:hAnsi="Times New Roman" w:eastAsia="Times New Roman" w:cs="Times New Roman"/>
          <w:lang w:eastAsia="ru-RU"/>
        </w:rPr>
      </w:pPr>
      <w:r>
        <w:rPr>
          <w:rFonts w:ascii="Times New Roman" w:hAnsi="Times New Roman" w:eastAsia="Times New Roman" w:cs="Times New Roman"/>
          <w:lang w:eastAsia="ru-RU"/>
        </w:rPr>
        <w:t>• настройка групп коммутаторов в стеке (AOC, DAC и т.п.);</w:t>
      </w:r>
    </w:p>
    <w:p w14:paraId="6A2AAC16">
      <w:pPr>
        <w:spacing w:after="0" w:line="240" w:lineRule="auto"/>
        <w:ind w:left="426" w:hanging="142"/>
        <w:jc w:val="both"/>
        <w:rPr>
          <w:rFonts w:ascii="Times New Roman" w:hAnsi="Times New Roman" w:eastAsia="Times New Roman" w:cs="Times New Roman"/>
          <w:lang w:eastAsia="ru-RU"/>
        </w:rPr>
      </w:pPr>
      <w:r>
        <w:rPr>
          <w:rFonts w:ascii="Times New Roman" w:hAnsi="Times New Roman" w:eastAsia="Times New Roman" w:cs="Times New Roman"/>
          <w:lang w:eastAsia="ru-RU"/>
        </w:rPr>
        <w:t>• организация соединения нового сегмента локальной вычислительной сети с существующей сетью ФГБОУ ВО ПГУПС;</w:t>
      </w:r>
    </w:p>
    <w:p w14:paraId="3360146D">
      <w:pPr>
        <w:spacing w:after="0" w:line="240" w:lineRule="auto"/>
        <w:ind w:left="426" w:hanging="142"/>
        <w:jc w:val="both"/>
        <w:rPr>
          <w:rFonts w:ascii="Times New Roman" w:hAnsi="Times New Roman" w:eastAsia="Times New Roman" w:cs="Times New Roman"/>
          <w:lang w:eastAsia="ru-RU"/>
        </w:rPr>
      </w:pPr>
      <w:r>
        <w:rPr>
          <w:rFonts w:ascii="Times New Roman" w:hAnsi="Times New Roman" w:eastAsia="Times New Roman" w:cs="Times New Roman"/>
          <w:lang w:eastAsia="ru-RU"/>
        </w:rPr>
        <w:t>• настройка маршрутизации, включая маршрутизацию между новой локальной вычислительной сетью и существующей сетью ФГБОУ ВО ПГУПС с актуализацией конфигурации кластера МСЭНП UserGate (новые подсети, VLAN, политики безопасности, настройки балансировки и резервирования и т.д.).</w:t>
      </w:r>
    </w:p>
    <w:p w14:paraId="4DE21A52">
      <w:pPr>
        <w:spacing w:after="0" w:line="240" w:lineRule="auto"/>
        <w:ind w:left="284" w:firstLine="11"/>
        <w:jc w:val="both"/>
        <w:rPr>
          <w:rFonts w:ascii="Times New Roman" w:hAnsi="Times New Roman" w:eastAsia="Times New Roman" w:cs="Times New Roman"/>
          <w:lang w:eastAsia="ru-RU"/>
        </w:rPr>
      </w:pPr>
    </w:p>
    <w:p w14:paraId="5A246E01">
      <w:pPr>
        <w:spacing w:after="0" w:line="240" w:lineRule="auto"/>
        <w:ind w:left="284" w:hanging="284"/>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6. Требования к оборудованию, используемого Исполнителем:</w:t>
      </w:r>
    </w:p>
    <w:p w14:paraId="50DE8648">
      <w:pPr>
        <w:spacing w:after="0" w:line="240" w:lineRule="auto"/>
        <w:ind w:left="284" w:hanging="284"/>
        <w:jc w:val="both"/>
        <w:rPr>
          <w:rFonts w:ascii="Times New Roman" w:hAnsi="Times New Roman" w:eastAsia="Times New Roman" w:cs="Times New Roman"/>
          <w:b/>
          <w:lang w:eastAsia="ru-RU"/>
        </w:rPr>
      </w:pPr>
    </w:p>
    <w:p w14:paraId="2BB3EC84">
      <w:pPr>
        <w:spacing w:after="120" w:line="240" w:lineRule="auto"/>
        <w:ind w:left="284" w:hanging="284"/>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6.1.</w:t>
      </w:r>
      <w:r>
        <w:rPr>
          <w:rFonts w:ascii="Times New Roman" w:hAnsi="Times New Roman" w:eastAsia="Times New Roman" w:cs="Times New Roman"/>
          <w:lang w:eastAsia="ru-RU"/>
        </w:rPr>
        <w:t xml:space="preserve"> Требования к техническим показателям оборудования/товара:</w:t>
      </w:r>
    </w:p>
    <w:tbl>
      <w:tblPr>
        <w:tblStyle w:val="14"/>
        <w:tblW w:w="9918" w:type="dxa"/>
        <w:jc w:val="center"/>
        <w:tblLayout w:type="autofit"/>
        <w:tblCellMar>
          <w:top w:w="0" w:type="dxa"/>
          <w:left w:w="10" w:type="dxa"/>
          <w:bottom w:w="0" w:type="dxa"/>
          <w:right w:w="10" w:type="dxa"/>
        </w:tblCellMar>
      </w:tblPr>
      <w:tblGrid>
        <w:gridCol w:w="2689"/>
        <w:gridCol w:w="7229"/>
      </w:tblGrid>
      <w:tr w14:paraId="4D07E0A8">
        <w:tblPrEx>
          <w:tblCellMar>
            <w:top w:w="0" w:type="dxa"/>
            <w:left w:w="10" w:type="dxa"/>
            <w:bottom w:w="0" w:type="dxa"/>
            <w:right w:w="10" w:type="dxa"/>
          </w:tblCellMar>
        </w:tblPrEx>
        <w:trPr>
          <w:trHeight w:val="831"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vAlign w:val="center"/>
          </w:tcPr>
          <w:p w14:paraId="59E2F26F">
            <w:pPr>
              <w:spacing w:after="0" w:line="240" w:lineRule="auto"/>
              <w:ind w:firstLine="11"/>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Наименование товара, </w:t>
            </w:r>
            <w:r>
              <w:rPr>
                <w:rFonts w:ascii="Times New Roman" w:hAnsi="Times New Roman" w:eastAsia="Times New Roman" w:cs="Times New Roman"/>
                <w:b/>
                <w:spacing w:val="-1"/>
                <w:lang w:eastAsia="ru-RU"/>
              </w:rPr>
              <w:t>товарный знак (при наличии)</w:t>
            </w:r>
          </w:p>
        </w:tc>
        <w:tc>
          <w:tcPr>
            <w:tcW w:w="722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vAlign w:val="center"/>
          </w:tcPr>
          <w:p w14:paraId="513C6EF2">
            <w:pPr>
              <w:spacing w:after="0" w:line="240" w:lineRule="auto"/>
              <w:ind w:firstLine="11"/>
              <w:jc w:val="center"/>
              <w:rPr>
                <w:rFonts w:ascii="Times New Roman" w:hAnsi="Times New Roman" w:eastAsia="Times New Roman" w:cs="Times New Roman"/>
                <w:b/>
                <w:lang w:eastAsia="ru-RU"/>
              </w:rPr>
            </w:pPr>
            <w:r>
              <w:rPr>
                <w:rFonts w:ascii="Times New Roman" w:hAnsi="Times New Roman" w:eastAsia="Times New Roman" w:cs="Times New Roman"/>
                <w:b/>
                <w:spacing w:val="-1"/>
                <w:lang w:eastAsia="ru-RU"/>
              </w:rPr>
              <w:t>Конкретные показатели т</w:t>
            </w:r>
            <w:r>
              <w:rPr>
                <w:rFonts w:ascii="Times New Roman" w:hAnsi="Times New Roman" w:eastAsia="Times New Roman" w:cs="Times New Roman"/>
                <w:b/>
                <w:bCs/>
                <w:lang w:eastAsia="ru-RU"/>
              </w:rPr>
              <w:t xml:space="preserve">ехнических (функциональных) и качественных характеристик товаров, необходимых для использования при выполнении работ </w:t>
            </w:r>
          </w:p>
        </w:tc>
      </w:tr>
      <w:tr w14:paraId="428FAB54">
        <w:tblPrEx>
          <w:tblCellMar>
            <w:top w:w="0" w:type="dxa"/>
            <w:left w:w="10" w:type="dxa"/>
            <w:bottom w:w="0" w:type="dxa"/>
            <w:right w:w="10" w:type="dxa"/>
          </w:tblCellMar>
        </w:tblPrEx>
        <w:trPr>
          <w:trHeight w:val="294"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vAlign w:val="center"/>
          </w:tcPr>
          <w:p w14:paraId="3DB24F76">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Шкаф коммуникационный</w:t>
            </w:r>
          </w:p>
        </w:tc>
        <w:tc>
          <w:tcPr>
            <w:tcW w:w="722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tcPr>
          <w:p w14:paraId="3585FE73">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Коммуникационный шкаф должен быть металлическим; высота, ширина, глубина – согласно требованиям по помещениям; передняя дверь стеклянная одностворчатая; задняя дверь металлическая двустворчатая; цвет черный.</w:t>
            </w:r>
          </w:p>
        </w:tc>
      </w:tr>
      <w:tr w14:paraId="68BC00AB">
        <w:tblPrEx>
          <w:tblCellMar>
            <w:top w:w="0" w:type="dxa"/>
            <w:left w:w="10" w:type="dxa"/>
            <w:bottom w:w="0" w:type="dxa"/>
            <w:right w:w="10" w:type="dxa"/>
          </w:tblCellMar>
        </w:tblPrEx>
        <w:trPr>
          <w:trHeight w:val="294"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vAlign w:val="center"/>
          </w:tcPr>
          <w:p w14:paraId="37D852BB">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Оптическая панель </w:t>
            </w:r>
          </w:p>
        </w:tc>
        <w:tc>
          <w:tcPr>
            <w:tcW w:w="722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tcPr>
          <w:p w14:paraId="773A4639">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Оптическая панель (оптобокс) должна быть металлическая. Оптобокс должен вмещать в себя не менее 24 портов для оптического одномодового кабеля тип волокна не ниже </w:t>
            </w:r>
            <w:r>
              <w:rPr>
                <w:rFonts w:ascii="Times New Roman" w:hAnsi="Times New Roman" w:eastAsia="Times New Roman" w:cs="Times New Roman"/>
                <w:lang w:val="en-US" w:eastAsia="ru-RU"/>
              </w:rPr>
              <w:t>OS</w:t>
            </w:r>
            <w:r>
              <w:rPr>
                <w:rFonts w:ascii="Times New Roman" w:hAnsi="Times New Roman" w:eastAsia="Times New Roman" w:cs="Times New Roman"/>
                <w:lang w:eastAsia="ru-RU"/>
              </w:rPr>
              <w:t>2. Высота патч-панели должна быть не более 1U (44,45 мм).</w:t>
            </w:r>
          </w:p>
        </w:tc>
      </w:tr>
      <w:tr w14:paraId="6AE442C5">
        <w:tblPrEx>
          <w:tblCellMar>
            <w:top w:w="0" w:type="dxa"/>
            <w:left w:w="10" w:type="dxa"/>
            <w:bottom w:w="0" w:type="dxa"/>
            <w:right w:w="10" w:type="dxa"/>
          </w:tblCellMar>
        </w:tblPrEx>
        <w:trPr>
          <w:trHeight w:val="294"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vAlign w:val="center"/>
          </w:tcPr>
          <w:p w14:paraId="58409F6F">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Кабель оптический одномодовый</w:t>
            </w:r>
          </w:p>
        </w:tc>
        <w:tc>
          <w:tcPr>
            <w:tcW w:w="722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tcPr>
          <w:p w14:paraId="2023A2BC">
            <w:pPr>
              <w:spacing w:after="0" w:line="240" w:lineRule="auto"/>
              <w:ind w:firstLine="11"/>
              <w:jc w:val="both"/>
              <w:rPr>
                <w:rFonts w:ascii="Times New Roman" w:hAnsi="Times New Roman" w:eastAsia="Calibri" w:cs="Times New Roman"/>
                <w:lang w:eastAsia="ru-RU"/>
              </w:rPr>
            </w:pPr>
            <w:r>
              <w:rPr>
                <w:rFonts w:ascii="Times New Roman" w:hAnsi="Times New Roman" w:eastAsia="Times New Roman" w:cs="Times New Roman"/>
                <w:lang w:eastAsia="ru-RU"/>
              </w:rPr>
              <w:t xml:space="preserve">Кабель должен быть 24-х волоконный, тип волокна не ниже </w:t>
            </w:r>
            <w:r>
              <w:rPr>
                <w:rFonts w:ascii="Times New Roman" w:hAnsi="Times New Roman" w:eastAsia="Times New Roman" w:cs="Times New Roman"/>
                <w:lang w:val="en-US" w:eastAsia="ru-RU"/>
              </w:rPr>
              <w:t>OS</w:t>
            </w:r>
            <w:r>
              <w:rPr>
                <w:rFonts w:ascii="Times New Roman" w:hAnsi="Times New Roman" w:eastAsia="Times New Roman" w:cs="Times New Roman"/>
                <w:lang w:eastAsia="ru-RU"/>
              </w:rPr>
              <w:t xml:space="preserve">2. В кабеле должен отсутствовать несущий трос и экран. </w:t>
            </w:r>
          </w:p>
        </w:tc>
      </w:tr>
      <w:tr w14:paraId="6204979D">
        <w:tblPrEx>
          <w:tblCellMar>
            <w:top w:w="0" w:type="dxa"/>
            <w:left w:w="10" w:type="dxa"/>
            <w:bottom w:w="0" w:type="dxa"/>
            <w:right w:w="10" w:type="dxa"/>
          </w:tblCellMar>
        </w:tblPrEx>
        <w:trPr>
          <w:trHeight w:val="294"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vAlign w:val="center"/>
          </w:tcPr>
          <w:p w14:paraId="0DE4D3F6">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Кабель медный </w:t>
            </w:r>
          </w:p>
        </w:tc>
        <w:tc>
          <w:tcPr>
            <w:tcW w:w="722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tcPr>
          <w:p w14:paraId="52EF8EC9">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Кабель категории 5е, U/UTP, 4 пары, 24 AWG, LSZH нг(A)-</w:t>
            </w:r>
            <w:r>
              <w:rPr>
                <w:rFonts w:ascii="Times New Roman" w:hAnsi="Times New Roman" w:eastAsia="Times New Roman" w:cs="Times New Roman"/>
                <w:lang w:val="en-US" w:eastAsia="ru-RU"/>
              </w:rPr>
              <w:t>LSL</w:t>
            </w:r>
            <w:r>
              <w:rPr>
                <w:rFonts w:ascii="Times New Roman" w:hAnsi="Times New Roman" w:eastAsia="Times New Roman" w:cs="Times New Roman"/>
                <w:lang w:eastAsia="ru-RU"/>
              </w:rPr>
              <w:t>Tx, внутренней прокладки</w:t>
            </w:r>
          </w:p>
        </w:tc>
      </w:tr>
      <w:tr w14:paraId="6EF9D6BB">
        <w:tblPrEx>
          <w:tblCellMar>
            <w:top w:w="0" w:type="dxa"/>
            <w:left w:w="10" w:type="dxa"/>
            <w:bottom w:w="0" w:type="dxa"/>
            <w:right w:w="10" w:type="dxa"/>
          </w:tblCellMar>
        </w:tblPrEx>
        <w:trPr>
          <w:trHeight w:val="922"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vAlign w:val="center"/>
          </w:tcPr>
          <w:p w14:paraId="2CAB61EC">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Горизонтальный организатор</w:t>
            </w:r>
          </w:p>
        </w:tc>
        <w:tc>
          <w:tcPr>
            <w:tcW w:w="722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tcPr>
          <w:p w14:paraId="2C1865BB">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Горизонтальный организатор должен быть металлическим, количество металлических колец не менее 5, высота горизонтального организатора должна быть не более 1U (44,45 мм).</w:t>
            </w:r>
          </w:p>
        </w:tc>
      </w:tr>
      <w:tr w14:paraId="72BF1F5B">
        <w:tblPrEx>
          <w:tblCellMar>
            <w:top w:w="0" w:type="dxa"/>
            <w:left w:w="10" w:type="dxa"/>
            <w:bottom w:w="0" w:type="dxa"/>
            <w:right w:w="10" w:type="dxa"/>
          </w:tblCellMar>
        </w:tblPrEx>
        <w:trPr>
          <w:trHeight w:val="433"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vAlign w:val="center"/>
          </w:tcPr>
          <w:p w14:paraId="1783B33D">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Патч-панели (Коммутационная панель)</w:t>
            </w:r>
          </w:p>
        </w:tc>
        <w:tc>
          <w:tcPr>
            <w:tcW w:w="722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tcPr>
          <w:p w14:paraId="61A973FE">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Патч-панель должна иметь 19” конструктив, высота 1</w:t>
            </w:r>
            <w:r>
              <w:rPr>
                <w:rFonts w:ascii="Times New Roman" w:hAnsi="Times New Roman" w:eastAsia="Times New Roman" w:cs="Times New Roman"/>
                <w:lang w:val="en-US" w:eastAsia="ru-RU"/>
              </w:rPr>
              <w:t>U</w:t>
            </w:r>
            <w:r>
              <w:rPr>
                <w:rFonts w:ascii="Times New Roman" w:hAnsi="Times New Roman" w:eastAsia="Times New Roman" w:cs="Times New Roman"/>
                <w:lang w:eastAsia="ru-RU"/>
              </w:rPr>
              <w:t>, количество портов 24, категория портов 5</w:t>
            </w:r>
            <w:r>
              <w:rPr>
                <w:rFonts w:ascii="Times New Roman" w:hAnsi="Times New Roman" w:eastAsia="Times New Roman" w:cs="Times New Roman"/>
                <w:lang w:val="en-US" w:eastAsia="ru-RU"/>
              </w:rPr>
              <w:t>e</w:t>
            </w:r>
            <w:r>
              <w:rPr>
                <w:rFonts w:ascii="Times New Roman" w:hAnsi="Times New Roman" w:eastAsia="Times New Roman" w:cs="Times New Roman"/>
                <w:lang w:eastAsia="ru-RU"/>
              </w:rPr>
              <w:t xml:space="preserve">, маркировка портов.  </w:t>
            </w:r>
          </w:p>
        </w:tc>
      </w:tr>
      <w:tr w14:paraId="52C8F1DE">
        <w:tblPrEx>
          <w:tblCellMar>
            <w:top w:w="0" w:type="dxa"/>
            <w:left w:w="10" w:type="dxa"/>
            <w:bottom w:w="0" w:type="dxa"/>
            <w:right w:w="10" w:type="dxa"/>
          </w:tblCellMar>
        </w:tblPrEx>
        <w:trPr>
          <w:trHeight w:val="433"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vAlign w:val="center"/>
          </w:tcPr>
          <w:p w14:paraId="1FA4E158">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ИБП 1500 ВА</w:t>
            </w:r>
          </w:p>
        </w:tc>
        <w:tc>
          <w:tcPr>
            <w:tcW w:w="722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tcPr>
          <w:p w14:paraId="516955A0">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Для реализации функции мониторинга каждый ИБП должен быть оснащен SNMP картой, обеспечивающей возможность удалённого управления и мониторинга параметров и событий ИБП, электросети и нагрузки посредством подключения в локальную вычислительную сеть через RJ45/Ethernet 10/100/1000 UTP, mini USB с поддержкой протоколов http, https, IPv.4, IPv.6, SNMP v.1/v.2с/v.3, TCP/IP, SMTP, SSL(2048бит)/TLS, SSH, SNTP, DHCP, Telnet, BOOTP, DNS, DDNS, PPPoE, Radius, Modbus по TCP/IP, BACnet, Syslog, LDAP  </w:t>
            </w:r>
          </w:p>
          <w:p w14:paraId="705C654C">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Тип ИБП — двойного преобразования (On-Line).</w:t>
            </w:r>
          </w:p>
          <w:p w14:paraId="0640949C">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Форм-фактор: универсальный в 19-дюймовую стойку/напольный высота не более 2U.</w:t>
            </w:r>
          </w:p>
          <w:p w14:paraId="1A4DE5AB">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Наличие встроенных аккумуляторных батарей – Да.</w:t>
            </w:r>
          </w:p>
          <w:p w14:paraId="7EE7D6C7">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Полная выходная мощность: не менее 1500 ВА.</w:t>
            </w:r>
          </w:p>
          <w:p w14:paraId="070A190A">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Активная выходная мощность: не менее 1500 Вт.</w:t>
            </w:r>
          </w:p>
          <w:p w14:paraId="3F3C7F44">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Выходной коэффициент мощности: не менее 0,99.</w:t>
            </w:r>
          </w:p>
          <w:p w14:paraId="62F23966">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Входное напряжение: 208-240 В (настраиваемое).</w:t>
            </w:r>
          </w:p>
          <w:p w14:paraId="2817A986">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Диапазон входного напряжения: 110–300 В.</w:t>
            </w:r>
          </w:p>
          <w:p w14:paraId="576F099B">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Диапазон входной частоты: 50 Гц / 60 Гц.</w:t>
            </w:r>
          </w:p>
          <w:p w14:paraId="75F3F829">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Номинальное выходное напряжение: 200-240 В (настраиваемое).</w:t>
            </w:r>
          </w:p>
          <w:p w14:paraId="0B14BD88">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Точность выходного напряжения: ± 1%.</w:t>
            </w:r>
          </w:p>
          <w:p w14:paraId="4CAE12D3">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Форма выходного напряжения: чистая синусоида.</w:t>
            </w:r>
          </w:p>
          <w:p w14:paraId="4DD95244">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КПД в режиме работы от электросети: ≥90% при полной нагрузке.</w:t>
            </w:r>
          </w:p>
          <w:p w14:paraId="53C59AA7">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КПД в экономичном режиме: ≥95% при полной нагрузке.</w:t>
            </w:r>
          </w:p>
          <w:p w14:paraId="7DAD2E45">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Интерфейсы: USB, RS-232, слот для мини SNMP-карты / «сухих» контактов.</w:t>
            </w:r>
          </w:p>
          <w:p w14:paraId="57D75624">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Габариты (ШхГхВ, не более): 440×460×86,5 мм.</w:t>
            </w:r>
          </w:p>
          <w:p w14:paraId="2AFCC12F">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Вес нетто: не более 20 кг.</w:t>
            </w:r>
          </w:p>
          <w:p w14:paraId="7E9DD812">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Уровень шума: не более 50 дБ.</w:t>
            </w:r>
          </w:p>
          <w:p w14:paraId="125D1115">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Наличие SNMP карты – да</w:t>
            </w:r>
          </w:p>
          <w:p w14:paraId="2797DEDF">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Монтажный комплект рельсов.</w:t>
            </w:r>
          </w:p>
        </w:tc>
      </w:tr>
      <w:tr w14:paraId="263F6A22">
        <w:tblPrEx>
          <w:tblCellMar>
            <w:top w:w="0" w:type="dxa"/>
            <w:left w:w="10" w:type="dxa"/>
            <w:bottom w:w="0" w:type="dxa"/>
            <w:right w:w="10" w:type="dxa"/>
          </w:tblCellMar>
        </w:tblPrEx>
        <w:trPr>
          <w:trHeight w:val="433"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vAlign w:val="center"/>
          </w:tcPr>
          <w:p w14:paraId="36EC0147">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Батарейный модуль для ИБП 1500 ВА</w:t>
            </w:r>
          </w:p>
        </w:tc>
        <w:tc>
          <w:tcPr>
            <w:tcW w:w="722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tcPr>
          <w:p w14:paraId="00F201AA">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Батарейный модуль должен быть совместим с ИБП 1500 ВА</w:t>
            </w:r>
          </w:p>
          <w:p w14:paraId="0854F47E">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Тип аккумуляторных батарей: свинцово-кислотные герметизированные с защитой от утечки.</w:t>
            </w:r>
          </w:p>
          <w:p w14:paraId="68BD5770">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Ёмкость АКБ: не более 9 Ач.</w:t>
            </w:r>
          </w:p>
          <w:p w14:paraId="1E89AD88">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Количество встроенных АКБ: не более 8 штук.</w:t>
            </w:r>
          </w:p>
          <w:p w14:paraId="7FFDCFFD">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Напряжение на шине постоянного тока: 48 В.</w:t>
            </w:r>
          </w:p>
          <w:p w14:paraId="02DF983E">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Размер (Ш× Г×В, не более): 440×552×86,5 мм.</w:t>
            </w:r>
          </w:p>
          <w:p w14:paraId="18831F41">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Вес нетто: не более 28,5 кг.</w:t>
            </w:r>
          </w:p>
          <w:p w14:paraId="168DAC14">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Форм-фактор: универсальный в 19-дюймовую стойку/напольный высота не более 2U.</w:t>
            </w:r>
          </w:p>
          <w:p w14:paraId="41ECCF9D">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Монтажный комплект рельсов.</w:t>
            </w:r>
          </w:p>
        </w:tc>
      </w:tr>
      <w:tr w14:paraId="611B1FAD">
        <w:tblPrEx>
          <w:tblCellMar>
            <w:top w:w="0" w:type="dxa"/>
            <w:left w:w="10" w:type="dxa"/>
            <w:bottom w:w="0" w:type="dxa"/>
            <w:right w:w="10" w:type="dxa"/>
          </w:tblCellMar>
        </w:tblPrEx>
        <w:trPr>
          <w:trHeight w:val="433"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vAlign w:val="center"/>
          </w:tcPr>
          <w:p w14:paraId="36EFF84A">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ИБП 3000 ВА</w:t>
            </w:r>
          </w:p>
        </w:tc>
        <w:tc>
          <w:tcPr>
            <w:tcW w:w="722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tcPr>
          <w:p w14:paraId="5641EE2A">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Для реализации функции мониторинга каждый ИБП должен быть оснащен SNMP картой, обеспечивающей возможность удалённого управления и мониторинга параметров и событий ИБП, электросети и нагрузки посредством подключения в локальную вычислительную сеть через RJ45/Ethernet 10/100/1000 UTP, mini USB с поддержкой протоколов http, https, IPv.4, IPv.6, SNMP v.1/v.2с/v.3, TCP/IP, SMTP, SSL(2048бит)/TLS, SSH, SNTP, DHCP, Telnet, BOOTP, DNS, DDNS, PPPoE, Radius, Modbus по TCP/IP, BACnet, Syslog, LDAP  </w:t>
            </w:r>
          </w:p>
          <w:p w14:paraId="1FC19BC5">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Тип ИБП — двойного преобразования (On-Line).</w:t>
            </w:r>
          </w:p>
          <w:p w14:paraId="447E8E25">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Форм-фактор: универсальный в 19-дюймовую стойку/напольный высота не более 2U.</w:t>
            </w:r>
          </w:p>
          <w:p w14:paraId="527E538F">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Наличие встроенных аккумуляторных батарей – Да.</w:t>
            </w:r>
          </w:p>
          <w:p w14:paraId="19FFAC39">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Полная выходная мощность: не менее 3000 ВА.</w:t>
            </w:r>
          </w:p>
          <w:p w14:paraId="6D99B06C">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Активная выходная мощность: не менее 3000 Вт.</w:t>
            </w:r>
          </w:p>
          <w:p w14:paraId="1C183AC9">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Выходной коэффициент мощности: не менее 0,99.</w:t>
            </w:r>
          </w:p>
          <w:p w14:paraId="4FA7BC52">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Входное напряжение: 208-240 В (настраиваемое).</w:t>
            </w:r>
          </w:p>
          <w:p w14:paraId="054A7549">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Диапазон входного напряжения: 110–300 В.</w:t>
            </w:r>
          </w:p>
          <w:p w14:paraId="5FB95BF8">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Диапазон входной частоты: 50 Гц - 70 Гц.</w:t>
            </w:r>
          </w:p>
          <w:p w14:paraId="634CF61B">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Номинальное выходное напряжение: 200-240 В (настраиваемое).</w:t>
            </w:r>
          </w:p>
          <w:p w14:paraId="293F38CA">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Точность выходного напряжения: ± 1%.</w:t>
            </w:r>
          </w:p>
          <w:p w14:paraId="56CCC6E5">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Форма выходного напряжения: чистая синусоида.</w:t>
            </w:r>
          </w:p>
          <w:p w14:paraId="0E5C34FD">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КПД в режиме работы от электросети: ≥92% при полной нагрузке.</w:t>
            </w:r>
          </w:p>
          <w:p w14:paraId="4EADD4E1">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КПД в экономичном режиме: ≥95% при полной нагрузке.</w:t>
            </w:r>
          </w:p>
          <w:p w14:paraId="4E16C43A">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Интерфейсы: USB, RS-232, слот для мини SNMP-карты / «сухих» контактов.</w:t>
            </w:r>
          </w:p>
          <w:p w14:paraId="1E0BA020">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Габариты (ШхГхВ, не более): 440×600×86,5 мм.</w:t>
            </w:r>
          </w:p>
          <w:p w14:paraId="13C8819F">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Вес нетто: не более 28 кг.</w:t>
            </w:r>
          </w:p>
          <w:p w14:paraId="6B8EA9E7">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Уровень шума: не более 50 дБ.</w:t>
            </w:r>
          </w:p>
          <w:p w14:paraId="783F3043">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Наличие SNMP карты – да</w:t>
            </w:r>
          </w:p>
          <w:p w14:paraId="33BAA663">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Монтажный комплект рельсов.</w:t>
            </w:r>
          </w:p>
        </w:tc>
      </w:tr>
      <w:tr w14:paraId="7434CF83">
        <w:tblPrEx>
          <w:tblCellMar>
            <w:top w:w="0" w:type="dxa"/>
            <w:left w:w="10" w:type="dxa"/>
            <w:bottom w:w="0" w:type="dxa"/>
            <w:right w:w="10" w:type="dxa"/>
          </w:tblCellMar>
        </w:tblPrEx>
        <w:trPr>
          <w:trHeight w:val="433"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vAlign w:val="center"/>
          </w:tcPr>
          <w:p w14:paraId="2F7AFE32">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Батарейный модуль для ИБП 3000 ВА</w:t>
            </w:r>
          </w:p>
        </w:tc>
        <w:tc>
          <w:tcPr>
            <w:tcW w:w="722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tcPr>
          <w:p w14:paraId="5F46CCA4">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Батарейный модуль должен быть совместим с ИБП 3000 ВА</w:t>
            </w:r>
          </w:p>
          <w:p w14:paraId="7618AC1E">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Тип аккумуляторных батарей: свинцово-кислотные герметизированные с защитой от утечки.</w:t>
            </w:r>
          </w:p>
          <w:p w14:paraId="58733198">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Ёмкость АКБ: не более 9 Ач.</w:t>
            </w:r>
          </w:p>
          <w:p w14:paraId="62645441">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Количество встроенных АКБ: не более 12 штук.</w:t>
            </w:r>
          </w:p>
          <w:p w14:paraId="05197A59">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Напряжение на шине постоянного тока: 72 В.</w:t>
            </w:r>
          </w:p>
          <w:p w14:paraId="0CB28F8D">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Размер (Ш× Г×В, не более): 440×520×131 мм.</w:t>
            </w:r>
          </w:p>
          <w:p w14:paraId="67AF28E3">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Вес нетто: не более 41 кг.</w:t>
            </w:r>
          </w:p>
          <w:p w14:paraId="396E98F0">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Форм-фактор: универсальный в 19-дюймовую стойку/напольный высота не более 3U.</w:t>
            </w:r>
          </w:p>
          <w:p w14:paraId="4B8DF078">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Монтажный комплект рельсов.</w:t>
            </w:r>
          </w:p>
        </w:tc>
      </w:tr>
    </w:tbl>
    <w:p w14:paraId="3A9E8BBF">
      <w:pPr>
        <w:rPr>
          <w:rFonts w:ascii="Times New Roman" w:hAnsi="Times New Roman" w:eastAsia="Times New Roman" w:cs="Times New Roman"/>
          <w:b/>
          <w:lang w:eastAsia="ru-RU"/>
        </w:rPr>
      </w:pPr>
    </w:p>
    <w:tbl>
      <w:tblPr>
        <w:tblStyle w:val="41"/>
        <w:tblW w:w="0" w:type="auto"/>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5"/>
        <w:gridCol w:w="5955"/>
        <w:gridCol w:w="1654"/>
      </w:tblGrid>
      <w:tr w14:paraId="6459A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9774" w:type="dxa"/>
            <w:gridSpan w:val="3"/>
            <w:vAlign w:val="center"/>
          </w:tcPr>
          <w:p w14:paraId="21ACDABA">
            <w:pPr>
              <w:pStyle w:val="85"/>
              <w:ind w:left="0"/>
              <w:jc w:val="center"/>
              <w:rPr>
                <w:bCs/>
              </w:rPr>
            </w:pPr>
            <w:r>
              <w:rPr>
                <w:bCs/>
              </w:rPr>
              <w:t>Коммутаторы:</w:t>
            </w:r>
          </w:p>
        </w:tc>
      </w:tr>
      <w:tr w14:paraId="311B2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restart"/>
            <w:vAlign w:val="center"/>
          </w:tcPr>
          <w:p w14:paraId="11A48E8C">
            <w:pPr>
              <w:pStyle w:val="85"/>
              <w:ind w:left="0"/>
              <w:rPr>
                <w:bCs/>
              </w:rPr>
            </w:pPr>
            <w:r>
              <w:t>MES2424</w:t>
            </w:r>
          </w:p>
        </w:tc>
        <w:tc>
          <w:tcPr>
            <w:tcW w:w="5966" w:type="dxa"/>
            <w:vAlign w:val="center"/>
          </w:tcPr>
          <w:p w14:paraId="45B0BD33">
            <w:pPr>
              <w:pStyle w:val="85"/>
              <w:ind w:left="0"/>
              <w:rPr>
                <w:bCs/>
              </w:rPr>
            </w:pPr>
            <w:r>
              <w:rPr>
                <w:bCs/>
              </w:rPr>
              <w:t>Производитель:</w:t>
            </w:r>
          </w:p>
        </w:tc>
        <w:tc>
          <w:tcPr>
            <w:tcW w:w="1561" w:type="dxa"/>
            <w:vAlign w:val="center"/>
          </w:tcPr>
          <w:p w14:paraId="4E2671BD">
            <w:pPr>
              <w:pStyle w:val="85"/>
              <w:ind w:left="0"/>
            </w:pPr>
            <w:r>
              <w:rPr>
                <w:lang w:val="en-US"/>
              </w:rPr>
              <w:t>Eltex</w:t>
            </w:r>
            <w:r>
              <w:t>*</w:t>
            </w:r>
          </w:p>
        </w:tc>
      </w:tr>
      <w:tr w14:paraId="7A91A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1C37FB29">
            <w:pPr>
              <w:pStyle w:val="85"/>
              <w:ind w:left="0"/>
              <w:rPr>
                <w:bCs/>
              </w:rPr>
            </w:pPr>
          </w:p>
        </w:tc>
        <w:tc>
          <w:tcPr>
            <w:tcW w:w="5966" w:type="dxa"/>
            <w:vAlign w:val="center"/>
          </w:tcPr>
          <w:p w14:paraId="65346EEF">
            <w:pPr>
              <w:pStyle w:val="85"/>
              <w:ind w:left="0"/>
              <w:rPr>
                <w:bCs/>
              </w:rPr>
            </w:pPr>
            <w:r>
              <w:rPr>
                <w:bCs/>
              </w:rPr>
              <w:t>Модель:</w:t>
            </w:r>
          </w:p>
        </w:tc>
        <w:tc>
          <w:tcPr>
            <w:tcW w:w="1561" w:type="dxa"/>
            <w:vAlign w:val="center"/>
          </w:tcPr>
          <w:p w14:paraId="38DD488F">
            <w:pPr>
              <w:pStyle w:val="85"/>
              <w:ind w:left="0"/>
              <w:rPr>
                <w:lang w:val="en-US"/>
              </w:rPr>
            </w:pPr>
            <w:r>
              <w:t>MES2424_</w:t>
            </w:r>
            <w:r>
              <w:rPr>
                <w:lang w:val="en-US"/>
              </w:rPr>
              <w:t>AC</w:t>
            </w:r>
          </w:p>
        </w:tc>
      </w:tr>
      <w:tr w14:paraId="619E6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520CA64A">
            <w:pPr>
              <w:pStyle w:val="85"/>
              <w:ind w:left="0"/>
              <w:rPr>
                <w:bCs/>
              </w:rPr>
            </w:pPr>
          </w:p>
        </w:tc>
        <w:tc>
          <w:tcPr>
            <w:tcW w:w="5966" w:type="dxa"/>
            <w:vAlign w:val="center"/>
          </w:tcPr>
          <w:p w14:paraId="3FE3EA37">
            <w:pPr>
              <w:pStyle w:val="85"/>
              <w:ind w:left="0"/>
              <w:rPr>
                <w:bCs/>
              </w:rPr>
            </w:pPr>
            <w:r>
              <w:rPr>
                <w:bCs/>
              </w:rPr>
              <w:t>ЕРРРП (ТОРП):</w:t>
            </w:r>
          </w:p>
        </w:tc>
        <w:tc>
          <w:tcPr>
            <w:tcW w:w="1561" w:type="dxa"/>
            <w:vAlign w:val="center"/>
          </w:tcPr>
          <w:p w14:paraId="20D4481F">
            <w:pPr>
              <w:pStyle w:val="85"/>
              <w:ind w:left="0"/>
            </w:pPr>
            <w:r>
              <w:t>ТКО-476/20</w:t>
            </w:r>
          </w:p>
        </w:tc>
      </w:tr>
      <w:tr w14:paraId="06E8C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5DDDC8C3">
            <w:pPr>
              <w:pStyle w:val="85"/>
              <w:ind w:left="0"/>
              <w:rPr>
                <w:bCs/>
              </w:rPr>
            </w:pPr>
          </w:p>
        </w:tc>
        <w:tc>
          <w:tcPr>
            <w:tcW w:w="5966" w:type="dxa"/>
            <w:vAlign w:val="center"/>
          </w:tcPr>
          <w:p w14:paraId="572CC43B">
            <w:pPr>
              <w:pStyle w:val="85"/>
              <w:ind w:left="0"/>
              <w:rPr>
                <w:bCs/>
              </w:rPr>
            </w:pPr>
            <w:r>
              <w:rPr>
                <w:bCs/>
              </w:rPr>
              <w:t>Пропускная способнос</w:t>
            </w:r>
            <w:r>
              <w:rPr>
                <w:bCs/>
                <w:lang w:val="en-US"/>
              </w:rPr>
              <w:t>ть</w:t>
            </w:r>
            <w:r>
              <w:rPr>
                <w:bCs/>
              </w:rPr>
              <w:t>:</w:t>
            </w:r>
          </w:p>
        </w:tc>
        <w:tc>
          <w:tcPr>
            <w:tcW w:w="1561" w:type="dxa"/>
            <w:vAlign w:val="center"/>
          </w:tcPr>
          <w:p w14:paraId="1848B3BB">
            <w:pPr>
              <w:pStyle w:val="85"/>
              <w:ind w:left="0"/>
            </w:pPr>
            <w:r>
              <w:t>128 Гбит/с</w:t>
            </w:r>
          </w:p>
        </w:tc>
      </w:tr>
      <w:tr w14:paraId="70862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25A33FED">
            <w:pPr>
              <w:pStyle w:val="85"/>
              <w:ind w:left="0"/>
              <w:rPr>
                <w:bCs/>
              </w:rPr>
            </w:pPr>
          </w:p>
        </w:tc>
        <w:tc>
          <w:tcPr>
            <w:tcW w:w="5966" w:type="dxa"/>
            <w:vAlign w:val="center"/>
          </w:tcPr>
          <w:p w14:paraId="341D57AE">
            <w:pPr>
              <w:pStyle w:val="85"/>
              <w:ind w:left="0"/>
              <w:rPr>
                <w:bCs/>
              </w:rPr>
            </w:pPr>
            <w:r>
              <w:rPr>
                <w:bCs/>
              </w:rPr>
              <w:t>Порты 100/1000BASE-T (RJ45):</w:t>
            </w:r>
          </w:p>
        </w:tc>
        <w:tc>
          <w:tcPr>
            <w:tcW w:w="1561" w:type="dxa"/>
            <w:vAlign w:val="center"/>
          </w:tcPr>
          <w:p w14:paraId="3BC1F5F7">
            <w:pPr>
              <w:pStyle w:val="85"/>
              <w:ind w:left="0"/>
            </w:pPr>
            <w:r>
              <w:rPr>
                <w:lang w:val="en-US"/>
              </w:rPr>
              <w:t>2</w:t>
            </w:r>
            <w:r>
              <w:t>4 шт.</w:t>
            </w:r>
          </w:p>
        </w:tc>
      </w:tr>
      <w:tr w14:paraId="36783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2D9FB950">
            <w:pPr>
              <w:pStyle w:val="85"/>
              <w:ind w:left="0"/>
              <w:rPr>
                <w:bCs/>
              </w:rPr>
            </w:pPr>
          </w:p>
        </w:tc>
        <w:tc>
          <w:tcPr>
            <w:tcW w:w="5966" w:type="dxa"/>
            <w:vAlign w:val="center"/>
          </w:tcPr>
          <w:p w14:paraId="0DC91D40">
            <w:pPr>
              <w:pStyle w:val="85"/>
              <w:ind w:left="0"/>
              <w:rPr>
                <w:bCs/>
              </w:rPr>
            </w:pPr>
            <w:r>
              <w:rPr>
                <w:bCs/>
              </w:rPr>
              <w:t>Порты</w:t>
            </w:r>
            <w:r>
              <w:rPr>
                <w:bCs/>
                <w:lang w:val="en-US"/>
              </w:rPr>
              <w:t xml:space="preserve"> 10GBASE-R</w:t>
            </w:r>
            <w:r>
              <w:rPr>
                <w:bCs/>
              </w:rPr>
              <w:t xml:space="preserve"> </w:t>
            </w:r>
            <w:r>
              <w:rPr>
                <w:bCs/>
                <w:lang w:val="en-US"/>
              </w:rPr>
              <w:t>(SFP+)</w:t>
            </w:r>
            <w:r>
              <w:rPr>
                <w:bCs/>
              </w:rPr>
              <w:t>:</w:t>
            </w:r>
          </w:p>
        </w:tc>
        <w:tc>
          <w:tcPr>
            <w:tcW w:w="1561" w:type="dxa"/>
            <w:vAlign w:val="center"/>
          </w:tcPr>
          <w:p w14:paraId="1D0745FA">
            <w:pPr>
              <w:pStyle w:val="85"/>
              <w:ind w:left="0"/>
            </w:pPr>
            <w:r>
              <w:t>4 шт.</w:t>
            </w:r>
          </w:p>
        </w:tc>
      </w:tr>
      <w:tr w14:paraId="415BF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26FD0F0E">
            <w:pPr>
              <w:pStyle w:val="85"/>
              <w:ind w:left="0"/>
              <w:rPr>
                <w:bCs/>
                <w:lang w:val="en-US"/>
              </w:rPr>
            </w:pPr>
          </w:p>
        </w:tc>
        <w:tc>
          <w:tcPr>
            <w:tcW w:w="5966" w:type="dxa"/>
            <w:vAlign w:val="center"/>
          </w:tcPr>
          <w:p w14:paraId="6139EAEF">
            <w:pPr>
              <w:pStyle w:val="85"/>
              <w:ind w:left="0"/>
              <w:rPr>
                <w:bCs/>
              </w:rPr>
            </w:pPr>
            <w:r>
              <w:rPr>
                <w:bCs/>
              </w:rPr>
              <w:t>Питание:</w:t>
            </w:r>
          </w:p>
        </w:tc>
        <w:tc>
          <w:tcPr>
            <w:tcW w:w="1561" w:type="dxa"/>
            <w:vAlign w:val="center"/>
          </w:tcPr>
          <w:p w14:paraId="5697532B">
            <w:pPr>
              <w:pStyle w:val="85"/>
              <w:ind w:left="0"/>
            </w:pPr>
            <w:r>
              <w:t>220В, 50Гц</w:t>
            </w:r>
          </w:p>
        </w:tc>
      </w:tr>
      <w:tr w14:paraId="5FFEF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12F0A3E3">
            <w:pPr>
              <w:pStyle w:val="85"/>
              <w:ind w:left="0"/>
              <w:rPr>
                <w:bCs/>
                <w:lang w:val="en-US"/>
              </w:rPr>
            </w:pPr>
          </w:p>
        </w:tc>
        <w:tc>
          <w:tcPr>
            <w:tcW w:w="7527" w:type="dxa"/>
            <w:gridSpan w:val="2"/>
            <w:vAlign w:val="center"/>
          </w:tcPr>
          <w:p w14:paraId="30B2758A">
            <w:pPr>
              <w:pStyle w:val="85"/>
              <w:spacing w:before="40" w:after="40"/>
              <w:ind w:left="42" w:hanging="42"/>
            </w:pPr>
            <w:r>
              <w:t xml:space="preserve">- комплект креплений в стойку 19" </w:t>
            </w:r>
            <w:r>
              <w:rPr>
                <w:lang w:val="en-US"/>
              </w:rPr>
              <w:t>RM</w:t>
            </w:r>
          </w:p>
          <w:p w14:paraId="4F7C18D7">
            <w:pPr>
              <w:pStyle w:val="85"/>
              <w:spacing w:before="40" w:after="80"/>
              <w:ind w:left="40" w:hanging="40"/>
            </w:pPr>
            <w:r>
              <w:t xml:space="preserve">- кабель питания </w:t>
            </w:r>
            <w:r>
              <w:rPr>
                <w:lang w:val="en-US"/>
              </w:rPr>
              <w:t>IEC</w:t>
            </w:r>
            <w:r>
              <w:t xml:space="preserve"> 60320 </w:t>
            </w:r>
            <w:r>
              <w:rPr>
                <w:lang w:val="en-US"/>
              </w:rPr>
              <w:t>C</w:t>
            </w:r>
            <w:r>
              <w:t>13</w:t>
            </w:r>
          </w:p>
        </w:tc>
      </w:tr>
      <w:tr w14:paraId="6A109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15F222E1">
            <w:pPr>
              <w:pStyle w:val="85"/>
              <w:ind w:left="0"/>
              <w:rPr>
                <w:bCs/>
              </w:rPr>
            </w:pPr>
          </w:p>
        </w:tc>
        <w:tc>
          <w:tcPr>
            <w:tcW w:w="7527" w:type="dxa"/>
            <w:gridSpan w:val="2"/>
            <w:vAlign w:val="center"/>
          </w:tcPr>
          <w:p w14:paraId="2259F044">
            <w:pPr>
              <w:pStyle w:val="85"/>
              <w:spacing w:before="40" w:after="40"/>
              <w:ind w:left="42" w:hanging="42"/>
              <w:rPr>
                <w:lang w:val="en-US"/>
              </w:rPr>
            </w:pPr>
            <w:r>
              <w:rPr>
                <w:lang w:val="en-US"/>
              </w:rPr>
              <w:t>- кабел</w:t>
            </w:r>
            <w:r>
              <w:t>ь</w:t>
            </w:r>
            <w:r>
              <w:rPr>
                <w:lang w:val="en-US"/>
              </w:rPr>
              <w:t xml:space="preserve"> SFP+ DAC (Direct attach cable), 10G, 1m</w:t>
            </w:r>
          </w:p>
        </w:tc>
      </w:tr>
      <w:tr w14:paraId="74485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53444FFA">
            <w:pPr>
              <w:pStyle w:val="85"/>
              <w:ind w:left="0"/>
              <w:rPr>
                <w:bCs/>
                <w:lang w:val="en-US"/>
              </w:rPr>
            </w:pPr>
          </w:p>
        </w:tc>
        <w:tc>
          <w:tcPr>
            <w:tcW w:w="7527" w:type="dxa"/>
            <w:gridSpan w:val="2"/>
            <w:vAlign w:val="center"/>
          </w:tcPr>
          <w:p w14:paraId="70B037AE">
            <w:pPr>
              <w:pStyle w:val="85"/>
              <w:spacing w:before="40" w:after="40"/>
              <w:ind w:left="42" w:hanging="42"/>
            </w:pPr>
            <w:r>
              <w:rPr>
                <w:bCs/>
              </w:rPr>
              <w:t>Гарантийный срок:</w:t>
            </w:r>
            <w:r>
              <w:t xml:space="preserve"> 36 месяцев</w:t>
            </w:r>
          </w:p>
        </w:tc>
      </w:tr>
      <w:tr w14:paraId="64BFA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restart"/>
            <w:vAlign w:val="center"/>
          </w:tcPr>
          <w:p w14:paraId="6BBBBAF1">
            <w:pPr>
              <w:pStyle w:val="85"/>
              <w:ind w:left="0"/>
              <w:rPr>
                <w:bCs/>
              </w:rPr>
            </w:pPr>
            <w:r>
              <w:t>MES2448B</w:t>
            </w:r>
          </w:p>
        </w:tc>
        <w:tc>
          <w:tcPr>
            <w:tcW w:w="5966" w:type="dxa"/>
            <w:vAlign w:val="center"/>
          </w:tcPr>
          <w:p w14:paraId="317ADB8D">
            <w:pPr>
              <w:pStyle w:val="85"/>
              <w:ind w:left="0"/>
              <w:rPr>
                <w:bCs/>
              </w:rPr>
            </w:pPr>
            <w:r>
              <w:rPr>
                <w:bCs/>
              </w:rPr>
              <w:t>Производитель:</w:t>
            </w:r>
          </w:p>
        </w:tc>
        <w:tc>
          <w:tcPr>
            <w:tcW w:w="1561" w:type="dxa"/>
            <w:vAlign w:val="center"/>
          </w:tcPr>
          <w:p w14:paraId="418856D7">
            <w:pPr>
              <w:pStyle w:val="85"/>
              <w:ind w:left="0"/>
            </w:pPr>
            <w:r>
              <w:rPr>
                <w:lang w:val="en-US"/>
              </w:rPr>
              <w:t>Eltex</w:t>
            </w:r>
            <w:r>
              <w:t>*</w:t>
            </w:r>
          </w:p>
        </w:tc>
      </w:tr>
      <w:tr w14:paraId="1DABC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02656F6C">
            <w:pPr>
              <w:pStyle w:val="85"/>
              <w:ind w:left="0"/>
              <w:rPr>
                <w:bCs/>
              </w:rPr>
            </w:pPr>
          </w:p>
        </w:tc>
        <w:tc>
          <w:tcPr>
            <w:tcW w:w="5966" w:type="dxa"/>
            <w:vAlign w:val="center"/>
          </w:tcPr>
          <w:p w14:paraId="7BFF4366">
            <w:pPr>
              <w:pStyle w:val="85"/>
              <w:ind w:left="0"/>
              <w:rPr>
                <w:bCs/>
              </w:rPr>
            </w:pPr>
            <w:r>
              <w:rPr>
                <w:bCs/>
              </w:rPr>
              <w:t>Модель:</w:t>
            </w:r>
          </w:p>
        </w:tc>
        <w:tc>
          <w:tcPr>
            <w:tcW w:w="1561" w:type="dxa"/>
            <w:vAlign w:val="center"/>
          </w:tcPr>
          <w:p w14:paraId="61D52C10">
            <w:pPr>
              <w:pStyle w:val="85"/>
              <w:ind w:left="0"/>
            </w:pPr>
            <w:r>
              <w:t>MES2448B</w:t>
            </w:r>
          </w:p>
        </w:tc>
      </w:tr>
      <w:tr w14:paraId="0907B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005C7FFB">
            <w:pPr>
              <w:pStyle w:val="85"/>
              <w:ind w:left="0"/>
              <w:rPr>
                <w:bCs/>
              </w:rPr>
            </w:pPr>
          </w:p>
        </w:tc>
        <w:tc>
          <w:tcPr>
            <w:tcW w:w="5966" w:type="dxa"/>
            <w:vAlign w:val="center"/>
          </w:tcPr>
          <w:p w14:paraId="07F02C77">
            <w:pPr>
              <w:pStyle w:val="85"/>
              <w:ind w:left="0"/>
              <w:rPr>
                <w:bCs/>
              </w:rPr>
            </w:pPr>
            <w:r>
              <w:rPr>
                <w:bCs/>
              </w:rPr>
              <w:t>ЕРРРП (ТОРП):</w:t>
            </w:r>
          </w:p>
        </w:tc>
        <w:tc>
          <w:tcPr>
            <w:tcW w:w="1561" w:type="dxa"/>
            <w:vAlign w:val="center"/>
          </w:tcPr>
          <w:p w14:paraId="495ED7D9">
            <w:pPr>
              <w:pStyle w:val="85"/>
              <w:ind w:left="0"/>
            </w:pPr>
            <w:r>
              <w:t>ТКО-478/20</w:t>
            </w:r>
          </w:p>
        </w:tc>
      </w:tr>
      <w:tr w14:paraId="39F9F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1399AB45">
            <w:pPr>
              <w:pStyle w:val="85"/>
              <w:ind w:left="0"/>
              <w:rPr>
                <w:bCs/>
              </w:rPr>
            </w:pPr>
          </w:p>
        </w:tc>
        <w:tc>
          <w:tcPr>
            <w:tcW w:w="5966" w:type="dxa"/>
            <w:vAlign w:val="center"/>
          </w:tcPr>
          <w:p w14:paraId="1D2FD2DB">
            <w:pPr>
              <w:pStyle w:val="85"/>
              <w:ind w:left="0"/>
              <w:rPr>
                <w:bCs/>
              </w:rPr>
            </w:pPr>
            <w:r>
              <w:rPr>
                <w:bCs/>
              </w:rPr>
              <w:t>Пропускная способнос</w:t>
            </w:r>
            <w:r>
              <w:rPr>
                <w:bCs/>
                <w:lang w:val="en-US"/>
              </w:rPr>
              <w:t>ть</w:t>
            </w:r>
            <w:r>
              <w:rPr>
                <w:bCs/>
              </w:rPr>
              <w:t>:</w:t>
            </w:r>
          </w:p>
        </w:tc>
        <w:tc>
          <w:tcPr>
            <w:tcW w:w="1561" w:type="dxa"/>
            <w:vAlign w:val="center"/>
          </w:tcPr>
          <w:p w14:paraId="5A248700">
            <w:pPr>
              <w:pStyle w:val="85"/>
              <w:ind w:left="0"/>
            </w:pPr>
            <w:r>
              <w:t>176 Гбит/с</w:t>
            </w:r>
          </w:p>
        </w:tc>
      </w:tr>
      <w:tr w14:paraId="1C084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07BB622D">
            <w:pPr>
              <w:pStyle w:val="85"/>
              <w:ind w:left="0"/>
              <w:rPr>
                <w:bCs/>
              </w:rPr>
            </w:pPr>
          </w:p>
        </w:tc>
        <w:tc>
          <w:tcPr>
            <w:tcW w:w="5966" w:type="dxa"/>
            <w:vAlign w:val="center"/>
          </w:tcPr>
          <w:p w14:paraId="22EB0892">
            <w:pPr>
              <w:pStyle w:val="85"/>
              <w:ind w:left="0"/>
              <w:rPr>
                <w:bCs/>
              </w:rPr>
            </w:pPr>
            <w:r>
              <w:rPr>
                <w:bCs/>
              </w:rPr>
              <w:t>Порты 100/1000BASE-T (RJ45):</w:t>
            </w:r>
          </w:p>
        </w:tc>
        <w:tc>
          <w:tcPr>
            <w:tcW w:w="1561" w:type="dxa"/>
            <w:vAlign w:val="center"/>
          </w:tcPr>
          <w:p w14:paraId="0EB5E2A0">
            <w:pPr>
              <w:pStyle w:val="85"/>
              <w:ind w:left="0"/>
            </w:pPr>
            <w:r>
              <w:t>48 шт.</w:t>
            </w:r>
          </w:p>
        </w:tc>
      </w:tr>
      <w:tr w14:paraId="63B10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4A3A809B">
            <w:pPr>
              <w:pStyle w:val="85"/>
              <w:ind w:left="0"/>
              <w:rPr>
                <w:bCs/>
              </w:rPr>
            </w:pPr>
          </w:p>
        </w:tc>
        <w:tc>
          <w:tcPr>
            <w:tcW w:w="5966" w:type="dxa"/>
            <w:vAlign w:val="center"/>
          </w:tcPr>
          <w:p w14:paraId="5D9A630D">
            <w:pPr>
              <w:pStyle w:val="85"/>
              <w:ind w:left="0"/>
              <w:rPr>
                <w:bCs/>
              </w:rPr>
            </w:pPr>
            <w:r>
              <w:rPr>
                <w:bCs/>
              </w:rPr>
              <w:t>Порты</w:t>
            </w:r>
            <w:r>
              <w:rPr>
                <w:bCs/>
                <w:lang w:val="en-US"/>
              </w:rPr>
              <w:t xml:space="preserve"> 10GBASE-R</w:t>
            </w:r>
            <w:r>
              <w:rPr>
                <w:bCs/>
              </w:rPr>
              <w:t xml:space="preserve"> </w:t>
            </w:r>
            <w:r>
              <w:rPr>
                <w:bCs/>
                <w:lang w:val="en-US"/>
              </w:rPr>
              <w:t>(SFP+)</w:t>
            </w:r>
            <w:r>
              <w:rPr>
                <w:bCs/>
              </w:rPr>
              <w:t>:</w:t>
            </w:r>
          </w:p>
        </w:tc>
        <w:tc>
          <w:tcPr>
            <w:tcW w:w="1561" w:type="dxa"/>
            <w:vAlign w:val="center"/>
          </w:tcPr>
          <w:p w14:paraId="6700E2A7">
            <w:pPr>
              <w:pStyle w:val="85"/>
              <w:ind w:left="0"/>
            </w:pPr>
            <w:r>
              <w:t>4 шт.</w:t>
            </w:r>
          </w:p>
        </w:tc>
      </w:tr>
      <w:tr w14:paraId="01EFF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556E2019">
            <w:pPr>
              <w:pStyle w:val="85"/>
              <w:ind w:left="0"/>
              <w:rPr>
                <w:bCs/>
                <w:lang w:val="en-US"/>
              </w:rPr>
            </w:pPr>
          </w:p>
        </w:tc>
        <w:tc>
          <w:tcPr>
            <w:tcW w:w="5966" w:type="dxa"/>
            <w:vAlign w:val="center"/>
          </w:tcPr>
          <w:p w14:paraId="7740E5DC">
            <w:pPr>
              <w:pStyle w:val="85"/>
              <w:ind w:left="0"/>
              <w:rPr>
                <w:bCs/>
              </w:rPr>
            </w:pPr>
            <w:r>
              <w:rPr>
                <w:bCs/>
              </w:rPr>
              <w:t>Питание:</w:t>
            </w:r>
          </w:p>
        </w:tc>
        <w:tc>
          <w:tcPr>
            <w:tcW w:w="1561" w:type="dxa"/>
            <w:vAlign w:val="center"/>
          </w:tcPr>
          <w:p w14:paraId="1A149DA8">
            <w:pPr>
              <w:pStyle w:val="85"/>
              <w:ind w:left="0"/>
            </w:pPr>
            <w:r>
              <w:t>220В, 50Гц</w:t>
            </w:r>
          </w:p>
        </w:tc>
      </w:tr>
      <w:tr w14:paraId="50601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67995C9B">
            <w:pPr>
              <w:pStyle w:val="85"/>
              <w:ind w:left="0"/>
              <w:rPr>
                <w:bCs/>
                <w:lang w:val="en-US"/>
              </w:rPr>
            </w:pPr>
          </w:p>
        </w:tc>
        <w:tc>
          <w:tcPr>
            <w:tcW w:w="7527" w:type="dxa"/>
            <w:gridSpan w:val="2"/>
            <w:vAlign w:val="center"/>
          </w:tcPr>
          <w:p w14:paraId="49E16A13">
            <w:pPr>
              <w:pStyle w:val="85"/>
              <w:spacing w:before="40" w:after="40"/>
              <w:ind w:left="42" w:hanging="42"/>
            </w:pPr>
            <w:r>
              <w:t xml:space="preserve">- комплект креплений в стойку 19" </w:t>
            </w:r>
            <w:r>
              <w:rPr>
                <w:lang w:val="en-US"/>
              </w:rPr>
              <w:t>RM</w:t>
            </w:r>
          </w:p>
          <w:p w14:paraId="74D8F459">
            <w:pPr>
              <w:pStyle w:val="85"/>
              <w:spacing w:before="40" w:after="80"/>
              <w:ind w:left="40" w:hanging="40"/>
            </w:pPr>
            <w:r>
              <w:t xml:space="preserve">- кабель питания </w:t>
            </w:r>
            <w:r>
              <w:rPr>
                <w:lang w:val="en-US"/>
              </w:rPr>
              <w:t>IEC</w:t>
            </w:r>
            <w:r>
              <w:t xml:space="preserve"> 60320 </w:t>
            </w:r>
            <w:r>
              <w:rPr>
                <w:lang w:val="en-US"/>
              </w:rPr>
              <w:t>C</w:t>
            </w:r>
            <w:r>
              <w:t>13</w:t>
            </w:r>
          </w:p>
        </w:tc>
      </w:tr>
      <w:tr w14:paraId="0A05B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6BF8A8EC">
            <w:pPr>
              <w:pStyle w:val="85"/>
              <w:ind w:left="0"/>
              <w:rPr>
                <w:bCs/>
              </w:rPr>
            </w:pPr>
          </w:p>
        </w:tc>
        <w:tc>
          <w:tcPr>
            <w:tcW w:w="7527" w:type="dxa"/>
            <w:gridSpan w:val="2"/>
            <w:vAlign w:val="center"/>
          </w:tcPr>
          <w:p w14:paraId="0291B7D8">
            <w:pPr>
              <w:pStyle w:val="85"/>
              <w:spacing w:before="40" w:after="80"/>
              <w:ind w:left="40" w:hanging="40"/>
            </w:pPr>
            <w:r>
              <w:t xml:space="preserve">- трансиверы </w:t>
            </w:r>
            <w:r>
              <w:rPr>
                <w:lang w:val="en-US"/>
              </w:rPr>
              <w:t>FH</w:t>
            </w:r>
            <w:r>
              <w:t>-</w:t>
            </w:r>
            <w:r>
              <w:rPr>
                <w:lang w:val="en-US"/>
              </w:rPr>
              <w:t>SPB</w:t>
            </w:r>
            <w:r>
              <w:t>311</w:t>
            </w:r>
            <w:r>
              <w:rPr>
                <w:lang w:val="en-US"/>
              </w:rPr>
              <w:t>TCDL</w:t>
            </w:r>
            <w:r>
              <w:t xml:space="preserve">3 </w:t>
            </w:r>
            <w:r>
              <w:rPr>
                <w:lang w:val="en-US"/>
              </w:rPr>
              <w:t>SFP</w:t>
            </w:r>
            <w:r>
              <w:t>+ 10</w:t>
            </w:r>
            <w:r>
              <w:rPr>
                <w:lang w:val="en-US"/>
              </w:rPr>
              <w:t>GE</w:t>
            </w:r>
            <w:r>
              <w:t xml:space="preserve">, 3 км, </w:t>
            </w:r>
            <w:r>
              <w:rPr>
                <w:lang w:val="en-US"/>
              </w:rPr>
              <w:t>SM</w:t>
            </w:r>
            <w:r>
              <w:t xml:space="preserve">, 1 волокно, комплект (2 шт.) </w:t>
            </w:r>
            <w:r>
              <w:rPr>
                <w:lang w:val="en-US"/>
              </w:rPr>
              <w:t>TX</w:t>
            </w:r>
            <w:r>
              <w:t>/</w:t>
            </w:r>
            <w:r>
              <w:rPr>
                <w:lang w:val="en-US"/>
              </w:rPr>
              <w:t>RX</w:t>
            </w:r>
            <w:r>
              <w:t xml:space="preserve"> 1310/1310 </w:t>
            </w:r>
            <w:r>
              <w:rPr>
                <w:lang w:val="en-US"/>
              </w:rPr>
              <w:t>LC</w:t>
            </w:r>
            <w:r>
              <w:t xml:space="preserve">, </w:t>
            </w:r>
            <w:r>
              <w:rPr>
                <w:lang w:val="en-US"/>
              </w:rPr>
              <w:t>DDM</w:t>
            </w:r>
          </w:p>
        </w:tc>
      </w:tr>
      <w:tr w14:paraId="5FE53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1F49E256">
            <w:pPr>
              <w:pStyle w:val="85"/>
              <w:ind w:left="0"/>
              <w:rPr>
                <w:bCs/>
              </w:rPr>
            </w:pPr>
          </w:p>
        </w:tc>
        <w:tc>
          <w:tcPr>
            <w:tcW w:w="7527" w:type="dxa"/>
            <w:gridSpan w:val="2"/>
            <w:vAlign w:val="center"/>
          </w:tcPr>
          <w:p w14:paraId="23145781">
            <w:pPr>
              <w:pStyle w:val="85"/>
              <w:spacing w:before="40" w:after="40"/>
              <w:ind w:left="42" w:hanging="42"/>
            </w:pPr>
            <w:r>
              <w:rPr>
                <w:bCs/>
              </w:rPr>
              <w:t>Гарантийный срок:</w:t>
            </w:r>
            <w:r>
              <w:t xml:space="preserve"> 36 месяцев</w:t>
            </w:r>
          </w:p>
        </w:tc>
      </w:tr>
      <w:tr w14:paraId="7AB19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restart"/>
            <w:vAlign w:val="center"/>
          </w:tcPr>
          <w:p w14:paraId="5282658D">
            <w:pPr>
              <w:pStyle w:val="85"/>
              <w:ind w:left="0"/>
              <w:rPr>
                <w:bCs/>
              </w:rPr>
            </w:pPr>
            <w:r>
              <w:rPr>
                <w:bCs/>
                <w:lang w:val="en-US"/>
              </w:rPr>
              <w:t>MES2424P</w:t>
            </w:r>
          </w:p>
        </w:tc>
        <w:tc>
          <w:tcPr>
            <w:tcW w:w="5966" w:type="dxa"/>
            <w:vAlign w:val="center"/>
          </w:tcPr>
          <w:p w14:paraId="1C2ED187">
            <w:pPr>
              <w:pStyle w:val="85"/>
              <w:ind w:left="0"/>
              <w:rPr>
                <w:bCs/>
              </w:rPr>
            </w:pPr>
            <w:r>
              <w:rPr>
                <w:bCs/>
              </w:rPr>
              <w:t>Производитель:</w:t>
            </w:r>
          </w:p>
        </w:tc>
        <w:tc>
          <w:tcPr>
            <w:tcW w:w="1561" w:type="dxa"/>
            <w:vAlign w:val="center"/>
          </w:tcPr>
          <w:p w14:paraId="490884AF">
            <w:pPr>
              <w:pStyle w:val="85"/>
              <w:ind w:left="0"/>
            </w:pPr>
            <w:r>
              <w:rPr>
                <w:lang w:val="en-US"/>
              </w:rPr>
              <w:t>Eltex</w:t>
            </w:r>
            <w:r>
              <w:t>*</w:t>
            </w:r>
          </w:p>
        </w:tc>
      </w:tr>
      <w:tr w14:paraId="0CC30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2B455A48">
            <w:pPr>
              <w:pStyle w:val="85"/>
              <w:ind w:left="0"/>
              <w:rPr>
                <w:bCs/>
              </w:rPr>
            </w:pPr>
          </w:p>
        </w:tc>
        <w:tc>
          <w:tcPr>
            <w:tcW w:w="5966" w:type="dxa"/>
            <w:vAlign w:val="center"/>
          </w:tcPr>
          <w:p w14:paraId="36B7B814">
            <w:pPr>
              <w:pStyle w:val="85"/>
              <w:ind w:left="0"/>
              <w:rPr>
                <w:bCs/>
              </w:rPr>
            </w:pPr>
            <w:r>
              <w:rPr>
                <w:bCs/>
              </w:rPr>
              <w:t>Модель:</w:t>
            </w:r>
          </w:p>
        </w:tc>
        <w:tc>
          <w:tcPr>
            <w:tcW w:w="1561" w:type="dxa"/>
            <w:vAlign w:val="center"/>
          </w:tcPr>
          <w:p w14:paraId="2C1E0E75">
            <w:pPr>
              <w:pStyle w:val="85"/>
              <w:ind w:left="0"/>
            </w:pPr>
            <w:r>
              <w:t>MES2424P AC</w:t>
            </w:r>
          </w:p>
        </w:tc>
      </w:tr>
      <w:tr w14:paraId="64E16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31B563A8">
            <w:pPr>
              <w:pStyle w:val="85"/>
              <w:ind w:left="0"/>
              <w:rPr>
                <w:bCs/>
              </w:rPr>
            </w:pPr>
          </w:p>
        </w:tc>
        <w:tc>
          <w:tcPr>
            <w:tcW w:w="5966" w:type="dxa"/>
            <w:vAlign w:val="center"/>
          </w:tcPr>
          <w:p w14:paraId="55CD352B">
            <w:pPr>
              <w:pStyle w:val="85"/>
              <w:ind w:left="0"/>
              <w:rPr>
                <w:bCs/>
              </w:rPr>
            </w:pPr>
            <w:r>
              <w:rPr>
                <w:bCs/>
              </w:rPr>
              <w:t>ЕРРРП (ТОРП):</w:t>
            </w:r>
          </w:p>
        </w:tc>
        <w:tc>
          <w:tcPr>
            <w:tcW w:w="1561" w:type="dxa"/>
            <w:vAlign w:val="center"/>
          </w:tcPr>
          <w:p w14:paraId="5E1BCD3D">
            <w:pPr>
              <w:pStyle w:val="85"/>
              <w:ind w:left="0"/>
            </w:pPr>
            <w:r>
              <w:t>ТКО-704/21</w:t>
            </w:r>
          </w:p>
        </w:tc>
      </w:tr>
      <w:tr w14:paraId="7C343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2917B0DF">
            <w:pPr>
              <w:pStyle w:val="85"/>
              <w:ind w:left="0"/>
              <w:rPr>
                <w:bCs/>
              </w:rPr>
            </w:pPr>
          </w:p>
        </w:tc>
        <w:tc>
          <w:tcPr>
            <w:tcW w:w="5966" w:type="dxa"/>
            <w:vAlign w:val="center"/>
          </w:tcPr>
          <w:p w14:paraId="17005F81">
            <w:pPr>
              <w:pStyle w:val="85"/>
              <w:ind w:left="0"/>
              <w:rPr>
                <w:bCs/>
              </w:rPr>
            </w:pPr>
            <w:r>
              <w:rPr>
                <w:bCs/>
              </w:rPr>
              <w:t>Пропускная способнос</w:t>
            </w:r>
            <w:r>
              <w:rPr>
                <w:bCs/>
                <w:lang w:val="en-US"/>
              </w:rPr>
              <w:t>ть</w:t>
            </w:r>
            <w:r>
              <w:rPr>
                <w:bCs/>
              </w:rPr>
              <w:t>:</w:t>
            </w:r>
          </w:p>
        </w:tc>
        <w:tc>
          <w:tcPr>
            <w:tcW w:w="1561" w:type="dxa"/>
            <w:vAlign w:val="center"/>
          </w:tcPr>
          <w:p w14:paraId="6C5474A5">
            <w:pPr>
              <w:pStyle w:val="85"/>
              <w:ind w:left="0"/>
            </w:pPr>
            <w:r>
              <w:t>128</w:t>
            </w:r>
            <w:r>
              <w:rPr>
                <w:lang w:val="en-US"/>
              </w:rPr>
              <w:t xml:space="preserve"> </w:t>
            </w:r>
            <w:r>
              <w:t>Гбит/с</w:t>
            </w:r>
          </w:p>
        </w:tc>
      </w:tr>
      <w:tr w14:paraId="5C116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4EA51579">
            <w:pPr>
              <w:pStyle w:val="85"/>
              <w:ind w:left="0"/>
              <w:rPr>
                <w:bCs/>
              </w:rPr>
            </w:pPr>
          </w:p>
        </w:tc>
        <w:tc>
          <w:tcPr>
            <w:tcW w:w="5966" w:type="dxa"/>
            <w:vAlign w:val="center"/>
          </w:tcPr>
          <w:p w14:paraId="20BA686E">
            <w:pPr>
              <w:pStyle w:val="85"/>
              <w:ind w:left="0"/>
              <w:rPr>
                <w:bCs/>
                <w:lang w:val="en-US"/>
              </w:rPr>
            </w:pPr>
            <w:r>
              <w:rPr>
                <w:bCs/>
              </w:rPr>
              <w:t>Порты</w:t>
            </w:r>
            <w:r>
              <w:rPr>
                <w:bCs/>
                <w:lang w:val="en-US"/>
              </w:rPr>
              <w:t xml:space="preserve"> 100/1000BASE-T (RJ45) PoE+:</w:t>
            </w:r>
          </w:p>
        </w:tc>
        <w:tc>
          <w:tcPr>
            <w:tcW w:w="1561" w:type="dxa"/>
            <w:vAlign w:val="center"/>
          </w:tcPr>
          <w:p w14:paraId="2ADDC2AA">
            <w:pPr>
              <w:pStyle w:val="85"/>
              <w:ind w:left="0"/>
            </w:pPr>
            <w:r>
              <w:t>24 шт.</w:t>
            </w:r>
          </w:p>
        </w:tc>
      </w:tr>
      <w:tr w14:paraId="763E1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09FE2932">
            <w:pPr>
              <w:pStyle w:val="85"/>
              <w:ind w:left="0"/>
              <w:rPr>
                <w:bCs/>
              </w:rPr>
            </w:pPr>
          </w:p>
        </w:tc>
        <w:tc>
          <w:tcPr>
            <w:tcW w:w="5966" w:type="dxa"/>
            <w:vAlign w:val="center"/>
          </w:tcPr>
          <w:p w14:paraId="099367CD">
            <w:pPr>
              <w:pStyle w:val="85"/>
              <w:ind w:left="0"/>
              <w:rPr>
                <w:bCs/>
              </w:rPr>
            </w:pPr>
            <w:r>
              <w:rPr>
                <w:bCs/>
              </w:rPr>
              <w:t>Порты</w:t>
            </w:r>
            <w:r>
              <w:rPr>
                <w:bCs/>
                <w:lang w:val="en-US"/>
              </w:rPr>
              <w:t xml:space="preserve"> 10GBASE-R</w:t>
            </w:r>
            <w:r>
              <w:rPr>
                <w:bCs/>
              </w:rPr>
              <w:t xml:space="preserve"> </w:t>
            </w:r>
            <w:r>
              <w:rPr>
                <w:bCs/>
                <w:lang w:val="en-US"/>
              </w:rPr>
              <w:t>(SFP+)</w:t>
            </w:r>
            <w:r>
              <w:rPr>
                <w:bCs/>
              </w:rPr>
              <w:t>:</w:t>
            </w:r>
          </w:p>
        </w:tc>
        <w:tc>
          <w:tcPr>
            <w:tcW w:w="1561" w:type="dxa"/>
            <w:vAlign w:val="center"/>
          </w:tcPr>
          <w:p w14:paraId="72F92A13">
            <w:pPr>
              <w:pStyle w:val="85"/>
              <w:ind w:left="0"/>
            </w:pPr>
            <w:r>
              <w:t>4 шт.</w:t>
            </w:r>
          </w:p>
        </w:tc>
      </w:tr>
      <w:tr w14:paraId="3D1A1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19E0AC33">
            <w:pPr>
              <w:pStyle w:val="85"/>
              <w:ind w:left="0"/>
              <w:rPr>
                <w:bCs/>
                <w:lang w:val="en-US"/>
              </w:rPr>
            </w:pPr>
          </w:p>
        </w:tc>
        <w:tc>
          <w:tcPr>
            <w:tcW w:w="5966" w:type="dxa"/>
            <w:vAlign w:val="center"/>
          </w:tcPr>
          <w:p w14:paraId="2B18EED3">
            <w:pPr>
              <w:pStyle w:val="85"/>
              <w:ind w:left="0"/>
              <w:rPr>
                <w:bCs/>
              </w:rPr>
            </w:pPr>
            <w:r>
              <w:rPr>
                <w:bCs/>
              </w:rPr>
              <w:t>Питание:</w:t>
            </w:r>
          </w:p>
        </w:tc>
        <w:tc>
          <w:tcPr>
            <w:tcW w:w="1561" w:type="dxa"/>
            <w:vAlign w:val="center"/>
          </w:tcPr>
          <w:p w14:paraId="02E5CA31">
            <w:pPr>
              <w:pStyle w:val="85"/>
              <w:ind w:left="0"/>
            </w:pPr>
            <w:r>
              <w:t>220В, 50Гц</w:t>
            </w:r>
          </w:p>
        </w:tc>
      </w:tr>
      <w:tr w14:paraId="42547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76E548D5">
            <w:pPr>
              <w:pStyle w:val="85"/>
              <w:ind w:left="0"/>
              <w:rPr>
                <w:bCs/>
                <w:lang w:val="en-US"/>
              </w:rPr>
            </w:pPr>
          </w:p>
        </w:tc>
        <w:tc>
          <w:tcPr>
            <w:tcW w:w="7527" w:type="dxa"/>
            <w:gridSpan w:val="2"/>
            <w:vAlign w:val="center"/>
          </w:tcPr>
          <w:p w14:paraId="796DE772">
            <w:pPr>
              <w:pStyle w:val="85"/>
              <w:spacing w:before="40"/>
              <w:ind w:left="40" w:hanging="40"/>
            </w:pPr>
            <w:r>
              <w:t xml:space="preserve">- комплект креплений в стойку 19" </w:t>
            </w:r>
            <w:r>
              <w:rPr>
                <w:lang w:val="en-US"/>
              </w:rPr>
              <w:t>RM</w:t>
            </w:r>
          </w:p>
          <w:p w14:paraId="2106639A">
            <w:pPr>
              <w:pStyle w:val="85"/>
              <w:spacing w:before="40" w:after="80"/>
              <w:ind w:left="40" w:hanging="40"/>
            </w:pPr>
            <w:r>
              <w:t xml:space="preserve">- кабель питания </w:t>
            </w:r>
            <w:r>
              <w:rPr>
                <w:lang w:val="en-US"/>
              </w:rPr>
              <w:t>IEC</w:t>
            </w:r>
            <w:r>
              <w:t xml:space="preserve"> 60320 </w:t>
            </w:r>
            <w:r>
              <w:rPr>
                <w:lang w:val="en-US"/>
              </w:rPr>
              <w:t>C</w:t>
            </w:r>
            <w:r>
              <w:t>13</w:t>
            </w:r>
          </w:p>
        </w:tc>
      </w:tr>
      <w:tr w14:paraId="288FB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67A4D37C">
            <w:pPr>
              <w:pStyle w:val="85"/>
              <w:ind w:left="0"/>
              <w:rPr>
                <w:bCs/>
              </w:rPr>
            </w:pPr>
          </w:p>
        </w:tc>
        <w:tc>
          <w:tcPr>
            <w:tcW w:w="7527" w:type="dxa"/>
            <w:gridSpan w:val="2"/>
            <w:vAlign w:val="center"/>
          </w:tcPr>
          <w:p w14:paraId="6E151780">
            <w:pPr>
              <w:pStyle w:val="85"/>
              <w:spacing w:before="40" w:after="80"/>
              <w:ind w:left="40" w:hanging="40"/>
              <w:rPr>
                <w:lang w:val="en-US"/>
              </w:rPr>
            </w:pPr>
            <w:r>
              <w:rPr>
                <w:lang w:val="en-US"/>
              </w:rPr>
              <w:t>- кабель SFP+ DAC (Direct attach cable), 10G, 1m</w:t>
            </w:r>
          </w:p>
        </w:tc>
      </w:tr>
      <w:tr w14:paraId="4DDD2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49224EAF">
            <w:pPr>
              <w:pStyle w:val="85"/>
              <w:ind w:left="0"/>
              <w:rPr>
                <w:bCs/>
                <w:lang w:val="en-US"/>
              </w:rPr>
            </w:pPr>
          </w:p>
        </w:tc>
        <w:tc>
          <w:tcPr>
            <w:tcW w:w="7527" w:type="dxa"/>
            <w:gridSpan w:val="2"/>
            <w:vAlign w:val="center"/>
          </w:tcPr>
          <w:p w14:paraId="2D181E98">
            <w:pPr>
              <w:pStyle w:val="85"/>
              <w:spacing w:before="40" w:after="80"/>
              <w:ind w:left="40" w:hanging="40"/>
              <w:rPr>
                <w:lang w:val="en-US"/>
              </w:rPr>
            </w:pPr>
            <w:r>
              <w:rPr>
                <w:bCs/>
              </w:rPr>
              <w:t>Гарантийный срок:</w:t>
            </w:r>
            <w:r>
              <w:t xml:space="preserve"> 36 месяцев</w:t>
            </w:r>
          </w:p>
        </w:tc>
      </w:tr>
      <w:tr w14:paraId="46221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restart"/>
            <w:vAlign w:val="center"/>
          </w:tcPr>
          <w:p w14:paraId="4C77BB79">
            <w:pPr>
              <w:pStyle w:val="85"/>
              <w:spacing w:after="120"/>
              <w:ind w:left="0"/>
              <w:rPr>
                <w:bCs/>
              </w:rPr>
            </w:pPr>
            <w:r>
              <w:rPr>
                <w:bCs/>
                <w:lang w:val="en-US"/>
              </w:rPr>
              <w:t>MES2448P</w:t>
            </w:r>
          </w:p>
        </w:tc>
        <w:tc>
          <w:tcPr>
            <w:tcW w:w="5966" w:type="dxa"/>
          </w:tcPr>
          <w:p w14:paraId="3940F324">
            <w:pPr>
              <w:pStyle w:val="85"/>
              <w:ind w:left="0"/>
              <w:rPr>
                <w:bCs/>
              </w:rPr>
            </w:pPr>
            <w:r>
              <w:rPr>
                <w:bCs/>
              </w:rPr>
              <w:t>Производитель:</w:t>
            </w:r>
          </w:p>
        </w:tc>
        <w:tc>
          <w:tcPr>
            <w:tcW w:w="1561" w:type="dxa"/>
          </w:tcPr>
          <w:p w14:paraId="6507A7EE">
            <w:pPr>
              <w:pStyle w:val="85"/>
              <w:ind w:left="0"/>
            </w:pPr>
            <w:r>
              <w:rPr>
                <w:lang w:val="en-US"/>
              </w:rPr>
              <w:t>Eltex</w:t>
            </w:r>
            <w:r>
              <w:t>*</w:t>
            </w:r>
          </w:p>
        </w:tc>
      </w:tr>
      <w:tr w14:paraId="47C9C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tcPr>
          <w:p w14:paraId="576DAFAB">
            <w:pPr>
              <w:pStyle w:val="85"/>
              <w:spacing w:after="120"/>
              <w:ind w:left="0"/>
              <w:rPr>
                <w:bCs/>
              </w:rPr>
            </w:pPr>
          </w:p>
        </w:tc>
        <w:tc>
          <w:tcPr>
            <w:tcW w:w="5966" w:type="dxa"/>
          </w:tcPr>
          <w:p w14:paraId="6A4DA282">
            <w:pPr>
              <w:pStyle w:val="85"/>
              <w:ind w:left="0"/>
              <w:rPr>
                <w:bCs/>
              </w:rPr>
            </w:pPr>
            <w:r>
              <w:rPr>
                <w:bCs/>
              </w:rPr>
              <w:t>Модель:</w:t>
            </w:r>
          </w:p>
        </w:tc>
        <w:tc>
          <w:tcPr>
            <w:tcW w:w="1561" w:type="dxa"/>
          </w:tcPr>
          <w:p w14:paraId="05C087B6">
            <w:pPr>
              <w:pStyle w:val="85"/>
              <w:ind w:left="0"/>
            </w:pPr>
            <w:r>
              <w:t>MES2448P</w:t>
            </w:r>
          </w:p>
        </w:tc>
      </w:tr>
      <w:tr w14:paraId="5350E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tcPr>
          <w:p w14:paraId="35AB924A">
            <w:pPr>
              <w:pStyle w:val="85"/>
              <w:spacing w:after="120"/>
              <w:ind w:left="0"/>
              <w:rPr>
                <w:bCs/>
              </w:rPr>
            </w:pPr>
          </w:p>
        </w:tc>
        <w:tc>
          <w:tcPr>
            <w:tcW w:w="5966" w:type="dxa"/>
          </w:tcPr>
          <w:p w14:paraId="0FDFC257">
            <w:pPr>
              <w:pStyle w:val="85"/>
              <w:ind w:left="0"/>
              <w:rPr>
                <w:bCs/>
              </w:rPr>
            </w:pPr>
            <w:r>
              <w:rPr>
                <w:bCs/>
              </w:rPr>
              <w:t>ЕРРРП (ТОРП):</w:t>
            </w:r>
          </w:p>
        </w:tc>
        <w:tc>
          <w:tcPr>
            <w:tcW w:w="1561" w:type="dxa"/>
          </w:tcPr>
          <w:p w14:paraId="59C7B610">
            <w:pPr>
              <w:pStyle w:val="85"/>
              <w:ind w:left="0"/>
            </w:pPr>
            <w:r>
              <w:t>ТКО-767/22</w:t>
            </w:r>
          </w:p>
        </w:tc>
      </w:tr>
      <w:tr w14:paraId="1D0E9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tcPr>
          <w:p w14:paraId="110A5064">
            <w:pPr>
              <w:pStyle w:val="85"/>
              <w:spacing w:after="120"/>
              <w:ind w:left="0"/>
              <w:rPr>
                <w:bCs/>
              </w:rPr>
            </w:pPr>
          </w:p>
        </w:tc>
        <w:tc>
          <w:tcPr>
            <w:tcW w:w="5966" w:type="dxa"/>
          </w:tcPr>
          <w:p w14:paraId="71B41D0A">
            <w:pPr>
              <w:pStyle w:val="85"/>
              <w:ind w:left="0"/>
              <w:rPr>
                <w:bCs/>
              </w:rPr>
            </w:pPr>
            <w:r>
              <w:rPr>
                <w:bCs/>
              </w:rPr>
              <w:t>Пропускная способнос</w:t>
            </w:r>
            <w:r>
              <w:rPr>
                <w:bCs/>
                <w:lang w:val="en-US"/>
              </w:rPr>
              <w:t>ть</w:t>
            </w:r>
            <w:r>
              <w:rPr>
                <w:bCs/>
              </w:rPr>
              <w:t>:</w:t>
            </w:r>
          </w:p>
        </w:tc>
        <w:tc>
          <w:tcPr>
            <w:tcW w:w="1561" w:type="dxa"/>
          </w:tcPr>
          <w:p w14:paraId="03B34E6C">
            <w:pPr>
              <w:pStyle w:val="85"/>
              <w:ind w:left="0"/>
            </w:pPr>
            <w:r>
              <w:t>176</w:t>
            </w:r>
            <w:r>
              <w:rPr>
                <w:lang w:val="en-US"/>
              </w:rPr>
              <w:t xml:space="preserve"> </w:t>
            </w:r>
            <w:r>
              <w:t>Гбит/с</w:t>
            </w:r>
          </w:p>
        </w:tc>
      </w:tr>
      <w:tr w14:paraId="5D61E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tcPr>
          <w:p w14:paraId="0190EEE1">
            <w:pPr>
              <w:pStyle w:val="85"/>
              <w:spacing w:after="120"/>
              <w:ind w:left="0"/>
              <w:rPr>
                <w:bCs/>
              </w:rPr>
            </w:pPr>
          </w:p>
        </w:tc>
        <w:tc>
          <w:tcPr>
            <w:tcW w:w="5966" w:type="dxa"/>
          </w:tcPr>
          <w:p w14:paraId="7FC68F5C">
            <w:pPr>
              <w:pStyle w:val="85"/>
              <w:ind w:left="0"/>
              <w:rPr>
                <w:bCs/>
                <w:lang w:val="en-US"/>
              </w:rPr>
            </w:pPr>
            <w:r>
              <w:rPr>
                <w:bCs/>
              </w:rPr>
              <w:t>Порты</w:t>
            </w:r>
            <w:r>
              <w:rPr>
                <w:bCs/>
                <w:lang w:val="en-US"/>
              </w:rPr>
              <w:t xml:space="preserve"> 100/1000BASE-T (RJ-45) PoE+:</w:t>
            </w:r>
          </w:p>
        </w:tc>
        <w:tc>
          <w:tcPr>
            <w:tcW w:w="1561" w:type="dxa"/>
          </w:tcPr>
          <w:p w14:paraId="7701426A">
            <w:pPr>
              <w:pStyle w:val="85"/>
              <w:ind w:left="0"/>
            </w:pPr>
            <w:r>
              <w:t>4</w:t>
            </w:r>
            <w:r>
              <w:rPr>
                <w:lang w:val="en-US"/>
              </w:rPr>
              <w:t>8</w:t>
            </w:r>
            <w:r>
              <w:t xml:space="preserve"> шт.</w:t>
            </w:r>
          </w:p>
        </w:tc>
      </w:tr>
      <w:tr w14:paraId="54536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tcPr>
          <w:p w14:paraId="1EABCDE3">
            <w:pPr>
              <w:pStyle w:val="85"/>
              <w:spacing w:after="120"/>
              <w:ind w:left="0"/>
              <w:rPr>
                <w:bCs/>
              </w:rPr>
            </w:pPr>
          </w:p>
        </w:tc>
        <w:tc>
          <w:tcPr>
            <w:tcW w:w="5966" w:type="dxa"/>
          </w:tcPr>
          <w:p w14:paraId="08CB8999">
            <w:pPr>
              <w:pStyle w:val="85"/>
              <w:ind w:left="0"/>
              <w:rPr>
                <w:bCs/>
              </w:rPr>
            </w:pPr>
            <w:r>
              <w:rPr>
                <w:bCs/>
              </w:rPr>
              <w:t>Порты</w:t>
            </w:r>
            <w:r>
              <w:rPr>
                <w:bCs/>
                <w:lang w:val="en-US"/>
              </w:rPr>
              <w:t xml:space="preserve"> 10GBASE-R</w:t>
            </w:r>
            <w:r>
              <w:rPr>
                <w:bCs/>
              </w:rPr>
              <w:t xml:space="preserve"> </w:t>
            </w:r>
            <w:r>
              <w:rPr>
                <w:bCs/>
                <w:lang w:val="en-US"/>
              </w:rPr>
              <w:t>(SFP+)</w:t>
            </w:r>
            <w:r>
              <w:rPr>
                <w:bCs/>
              </w:rPr>
              <w:t>:</w:t>
            </w:r>
          </w:p>
        </w:tc>
        <w:tc>
          <w:tcPr>
            <w:tcW w:w="1561" w:type="dxa"/>
          </w:tcPr>
          <w:p w14:paraId="11627FC1">
            <w:pPr>
              <w:pStyle w:val="85"/>
              <w:ind w:left="0"/>
            </w:pPr>
            <w:r>
              <w:t>4 шт.</w:t>
            </w:r>
          </w:p>
        </w:tc>
      </w:tr>
      <w:tr w14:paraId="6097F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tcPr>
          <w:p w14:paraId="6AEFE09E">
            <w:pPr>
              <w:pStyle w:val="85"/>
              <w:spacing w:after="120"/>
              <w:ind w:left="0"/>
              <w:rPr>
                <w:bCs/>
                <w:lang w:val="en-US"/>
              </w:rPr>
            </w:pPr>
          </w:p>
        </w:tc>
        <w:tc>
          <w:tcPr>
            <w:tcW w:w="5966" w:type="dxa"/>
          </w:tcPr>
          <w:p w14:paraId="5C787366">
            <w:pPr>
              <w:pStyle w:val="85"/>
              <w:ind w:left="0"/>
              <w:rPr>
                <w:bCs/>
              </w:rPr>
            </w:pPr>
            <w:r>
              <w:rPr>
                <w:bCs/>
              </w:rPr>
              <w:t>Питание:</w:t>
            </w:r>
          </w:p>
        </w:tc>
        <w:tc>
          <w:tcPr>
            <w:tcW w:w="1561" w:type="dxa"/>
          </w:tcPr>
          <w:p w14:paraId="7B0DD847">
            <w:pPr>
              <w:pStyle w:val="85"/>
              <w:ind w:left="0"/>
            </w:pPr>
            <w:r>
              <w:t>220В, 50Гц</w:t>
            </w:r>
          </w:p>
        </w:tc>
      </w:tr>
      <w:tr w14:paraId="3A68F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2247" w:type="dxa"/>
            <w:vMerge w:val="continue"/>
            <w:vAlign w:val="center"/>
          </w:tcPr>
          <w:p w14:paraId="5B887A3C">
            <w:pPr>
              <w:pStyle w:val="85"/>
              <w:spacing w:after="120"/>
              <w:ind w:left="0"/>
              <w:rPr>
                <w:bCs/>
                <w:lang w:val="en-US"/>
              </w:rPr>
            </w:pPr>
          </w:p>
        </w:tc>
        <w:tc>
          <w:tcPr>
            <w:tcW w:w="7527" w:type="dxa"/>
            <w:gridSpan w:val="2"/>
          </w:tcPr>
          <w:p w14:paraId="22195651">
            <w:pPr>
              <w:pStyle w:val="85"/>
              <w:spacing w:before="40" w:after="40"/>
              <w:ind w:left="42" w:hanging="42"/>
            </w:pPr>
            <w:r>
              <w:t xml:space="preserve">- комплект креплений в стойку 19" </w:t>
            </w:r>
            <w:r>
              <w:rPr>
                <w:lang w:val="en-US"/>
              </w:rPr>
              <w:t>RM</w:t>
            </w:r>
          </w:p>
          <w:p w14:paraId="7315A1FA">
            <w:pPr>
              <w:pStyle w:val="85"/>
              <w:spacing w:before="40" w:after="40"/>
              <w:ind w:left="42" w:hanging="42"/>
            </w:pPr>
            <w:r>
              <w:t xml:space="preserve">- модуль питания </w:t>
            </w:r>
            <w:r>
              <w:rPr>
                <w:lang w:val="en-US"/>
              </w:rPr>
              <w:t>PM</w:t>
            </w:r>
            <w:r>
              <w:t>380-220/56, 380 Вт</w:t>
            </w:r>
          </w:p>
          <w:p w14:paraId="045A8E43">
            <w:pPr>
              <w:pStyle w:val="85"/>
              <w:spacing w:before="40" w:after="80"/>
              <w:ind w:left="40" w:hanging="40"/>
            </w:pPr>
            <w:r>
              <w:t xml:space="preserve">- 2 кабеля питания </w:t>
            </w:r>
            <w:r>
              <w:rPr>
                <w:lang w:val="en-US"/>
              </w:rPr>
              <w:t>IEC</w:t>
            </w:r>
            <w:r>
              <w:t xml:space="preserve"> 60320 </w:t>
            </w:r>
            <w:r>
              <w:rPr>
                <w:lang w:val="en-US"/>
              </w:rPr>
              <w:t>C</w:t>
            </w:r>
            <w:r>
              <w:t>13</w:t>
            </w:r>
          </w:p>
        </w:tc>
      </w:tr>
      <w:tr w14:paraId="4BFE3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2247" w:type="dxa"/>
            <w:vMerge w:val="continue"/>
            <w:vAlign w:val="center"/>
          </w:tcPr>
          <w:p w14:paraId="6970E0C9">
            <w:pPr>
              <w:pStyle w:val="85"/>
              <w:spacing w:after="120"/>
              <w:ind w:left="0"/>
              <w:rPr>
                <w:bCs/>
              </w:rPr>
            </w:pPr>
          </w:p>
        </w:tc>
        <w:tc>
          <w:tcPr>
            <w:tcW w:w="7527" w:type="dxa"/>
            <w:gridSpan w:val="2"/>
          </w:tcPr>
          <w:p w14:paraId="700A48D4">
            <w:pPr>
              <w:pStyle w:val="85"/>
              <w:spacing w:before="40" w:after="80"/>
              <w:ind w:left="40" w:hanging="40"/>
              <w:rPr>
                <w:lang w:val="en-US"/>
              </w:rPr>
            </w:pPr>
            <w:r>
              <w:rPr>
                <w:lang w:val="en-US"/>
              </w:rPr>
              <w:t>- кабел</w:t>
            </w:r>
            <w:r>
              <w:t>ь</w:t>
            </w:r>
            <w:r>
              <w:rPr>
                <w:lang w:val="en-US"/>
              </w:rPr>
              <w:t xml:space="preserve"> SFP+ DAC (Direct attach cable), 10G, 1m</w:t>
            </w:r>
          </w:p>
        </w:tc>
      </w:tr>
      <w:tr w14:paraId="28FAC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2247" w:type="dxa"/>
            <w:vMerge w:val="continue"/>
            <w:vAlign w:val="center"/>
          </w:tcPr>
          <w:p w14:paraId="761ED411">
            <w:pPr>
              <w:pStyle w:val="85"/>
              <w:spacing w:after="120"/>
              <w:ind w:left="0"/>
              <w:rPr>
                <w:bCs/>
                <w:lang w:val="en-US"/>
              </w:rPr>
            </w:pPr>
          </w:p>
        </w:tc>
        <w:tc>
          <w:tcPr>
            <w:tcW w:w="7527" w:type="dxa"/>
            <w:gridSpan w:val="2"/>
            <w:vAlign w:val="center"/>
          </w:tcPr>
          <w:p w14:paraId="48539FE4">
            <w:pPr>
              <w:pStyle w:val="85"/>
              <w:spacing w:before="40" w:after="40"/>
              <w:ind w:left="42" w:hanging="42"/>
              <w:rPr>
                <w:lang w:val="en-US"/>
              </w:rPr>
            </w:pPr>
            <w:r>
              <w:rPr>
                <w:bCs/>
              </w:rPr>
              <w:t>Гарантийный срок:</w:t>
            </w:r>
            <w:r>
              <w:t xml:space="preserve"> 36 месяцев</w:t>
            </w:r>
          </w:p>
        </w:tc>
      </w:tr>
    </w:tbl>
    <w:p w14:paraId="6A684B78">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 Используемые в составе работ коммутаторы указываются с товарным знаком Eltex на основании подпункта «а» пункта 3 части 6.1 статьи 3 Федерального закона от 18.07.2011 № 223-ФЗ в связи с необходимостью обеспечения взаимодействия закупаемого оборудования с товарами, уже используемыми Заказчиком.</w:t>
      </w:r>
    </w:p>
    <w:p w14:paraId="3B5BCBAF">
      <w:pPr>
        <w:spacing w:after="0" w:line="240" w:lineRule="auto"/>
        <w:ind w:firstLine="11"/>
        <w:jc w:val="both"/>
        <w:rPr>
          <w:rFonts w:ascii="Times New Roman" w:hAnsi="Times New Roman" w:eastAsia="Times New Roman" w:cs="Times New Roman"/>
          <w:b/>
          <w:lang w:eastAsia="ru-RU"/>
        </w:rPr>
      </w:pPr>
    </w:p>
    <w:p w14:paraId="75901006">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6.2.</w:t>
      </w:r>
      <w:r>
        <w:rPr>
          <w:rFonts w:ascii="Times New Roman" w:hAnsi="Times New Roman" w:eastAsia="Times New Roman" w:cs="Times New Roman"/>
          <w:lang w:eastAsia="ru-RU"/>
        </w:rPr>
        <w:t xml:space="preserve"> Оборудование и материалы должны быть изготовлены в заводских условиях, должны быть новыми товарами,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p>
    <w:p w14:paraId="2360150D">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6.3.</w:t>
      </w:r>
      <w:r>
        <w:rPr>
          <w:rFonts w:ascii="Times New Roman" w:hAnsi="Times New Roman" w:eastAsia="Times New Roman" w:cs="Times New Roman"/>
          <w:lang w:eastAsia="ru-RU"/>
        </w:rPr>
        <w:t xml:space="preserve"> Оборудование и материалы должны быть упакованы в тару (упаковку), не имеющую дефектов и обеспечивающую их сохранность при хранении. Стоимость тары (упаковки) включается в стоимость используемого оборудования и материалов.</w:t>
      </w:r>
    </w:p>
    <w:p w14:paraId="7C94C755">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6.4.</w:t>
      </w:r>
      <w:r>
        <w:rPr>
          <w:rFonts w:ascii="Times New Roman" w:hAnsi="Times New Roman" w:eastAsia="Times New Roman" w:cs="Times New Roman"/>
          <w:lang w:eastAsia="ru-RU"/>
        </w:rPr>
        <w:t xml:space="preserve"> Оборудование и материалы должны отвечать требованиям качества безопасности для жизни и здоровья человека, а также иным требованиям сертификации, безопасности, санитарным нормам и правилам, государственным стандартам и иным обязательным требованиям, установленным в соответствии с законодательством РФ и утвержденных для данного вида продукции.</w:t>
      </w:r>
    </w:p>
    <w:p w14:paraId="4DF0D59E">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6.5.</w:t>
      </w:r>
      <w:r>
        <w:rPr>
          <w:rFonts w:ascii="Times New Roman" w:hAnsi="Times New Roman" w:eastAsia="Times New Roman" w:cs="Times New Roman"/>
          <w:lang w:eastAsia="ru-RU"/>
        </w:rPr>
        <w:t xml:space="preserve"> Доставка оборудования и материалов на склад Заказчика осуществляется силами Исполнителя за свой счёт.</w:t>
      </w:r>
    </w:p>
    <w:p w14:paraId="4A704B48">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6.6</w:t>
      </w:r>
      <w:r>
        <w:rPr>
          <w:rFonts w:ascii="Times New Roman" w:hAnsi="Times New Roman" w:eastAsia="Times New Roman" w:cs="Times New Roman"/>
          <w:lang w:eastAsia="ru-RU"/>
        </w:rPr>
        <w:t>. Все требуемые и неучтенные Исполнителем, по выше перечисленным работам, детали, расход</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ные материалы и комплектующие поставляются и используются Исполнителем за его счет.</w:t>
      </w:r>
    </w:p>
    <w:p w14:paraId="20C6B9DC">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6.7.</w:t>
      </w:r>
      <w:r>
        <w:rPr>
          <w:rFonts w:ascii="Times New Roman" w:hAnsi="Times New Roman" w:eastAsia="Times New Roman" w:cs="Times New Roman"/>
          <w:lang w:eastAsia="ru-RU"/>
        </w:rPr>
        <w:t xml:space="preserve"> На оборудование и материалы должна быть предоставлена вся необходимая сопроводительная техническая документация </w:t>
      </w:r>
      <w:r>
        <w:rPr>
          <w:rFonts w:ascii="Times New Roman" w:hAnsi="Times New Roman" w:cs="Times New Roman"/>
          <w:bCs/>
        </w:rPr>
        <w:t>при наличии и, если их оформление обязательно</w:t>
      </w:r>
      <w:r>
        <w:rPr>
          <w:rFonts w:ascii="Times New Roman" w:hAnsi="Times New Roman" w:eastAsia="Times New Roman" w:cs="Times New Roman"/>
          <w:lang w:eastAsia="ru-RU"/>
        </w:rPr>
        <w:t xml:space="preserve"> (сертификаты соответствия, таможенные, пожарной безопасности; отказные письма).</w:t>
      </w:r>
      <w:r>
        <w:rPr>
          <w:b/>
          <w:bCs/>
        </w:rPr>
        <w:t xml:space="preserve"> </w:t>
      </w:r>
    </w:p>
    <w:p w14:paraId="7290A080">
      <w:pPr>
        <w:spacing w:after="0" w:line="240" w:lineRule="auto"/>
        <w:ind w:firstLine="11"/>
        <w:jc w:val="both"/>
        <w:rPr>
          <w:rFonts w:ascii="Times New Roman" w:hAnsi="Times New Roman" w:eastAsia="Times New Roman" w:cs="Times New Roman"/>
          <w:lang w:eastAsia="ru-RU"/>
        </w:rPr>
      </w:pPr>
    </w:p>
    <w:p w14:paraId="534D1D48">
      <w:pPr>
        <w:spacing w:after="0" w:line="240" w:lineRule="auto"/>
        <w:ind w:firstLine="11"/>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7. Требования к техническим характеристикам работ, их качеству и безопасности:</w:t>
      </w:r>
    </w:p>
    <w:p w14:paraId="7E62B1BD">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7.1</w:t>
      </w:r>
      <w:r>
        <w:rPr>
          <w:rFonts w:ascii="Times New Roman" w:hAnsi="Times New Roman" w:eastAsia="Times New Roman" w:cs="Times New Roman"/>
          <w:lang w:eastAsia="ru-RU"/>
        </w:rPr>
        <w:t>. Исполнитель обязан при выполнении работ соблюдать требования законодательства, СП, ПУЭ, ГОСТ Р 53245-2008 и других нормативных документов в отношении работ и материалов, комплектую</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щих и обору</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дования, используемых при выполнении работ.</w:t>
      </w:r>
    </w:p>
    <w:p w14:paraId="4985555D">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7.2.</w:t>
      </w:r>
      <w:r>
        <w:rPr>
          <w:rFonts w:ascii="Times New Roman" w:hAnsi="Times New Roman" w:eastAsia="Times New Roman" w:cs="Times New Roman"/>
          <w:lang w:eastAsia="ru-RU"/>
        </w:rPr>
        <w:t xml:space="preserve"> При прокладке кабеля по зданию использовать существующие пластиковые кабель-каналы и металлические лотки. В помещениях спуск кабелей с потолка и подвод к обору</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дованию осуществлять в декоративных пластиковых кабель-каналах при невозможности скрытой проводки. Не допускается организация незакрепленных кабельных линий протяженностью более 1 метра.</w:t>
      </w:r>
    </w:p>
    <w:p w14:paraId="392F1F0C">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7.3.</w:t>
      </w:r>
      <w:r>
        <w:rPr>
          <w:rFonts w:ascii="Times New Roman" w:hAnsi="Times New Roman" w:eastAsia="Times New Roman" w:cs="Times New Roman"/>
          <w:lang w:eastAsia="ru-RU"/>
        </w:rPr>
        <w:t xml:space="preserve"> В качестве компонентов сети связи необходимо использовать 24-х волоконный оптический кабель, типом волокон </w:t>
      </w:r>
      <w:r>
        <w:rPr>
          <w:rFonts w:ascii="Times New Roman" w:hAnsi="Times New Roman" w:eastAsia="Times New Roman" w:cs="Times New Roman"/>
          <w:lang w:val="en-US" w:eastAsia="ru-RU"/>
        </w:rPr>
        <w:t>OS</w:t>
      </w:r>
      <w:r>
        <w:rPr>
          <w:rFonts w:ascii="Times New Roman" w:hAnsi="Times New Roman" w:eastAsia="Times New Roman" w:cs="Times New Roman"/>
          <w:lang w:eastAsia="ru-RU"/>
        </w:rPr>
        <w:t xml:space="preserve">2, оптические панели на 12 дуплекс адаптеров, оптические симплекс патч-корды с типом волокон </w:t>
      </w:r>
      <w:r>
        <w:rPr>
          <w:rFonts w:ascii="Times New Roman" w:hAnsi="Times New Roman" w:eastAsia="Times New Roman" w:cs="Times New Roman"/>
          <w:lang w:val="en-US" w:eastAsia="ru-RU"/>
        </w:rPr>
        <w:t>OS</w:t>
      </w:r>
      <w:r>
        <w:rPr>
          <w:rFonts w:ascii="Times New Roman" w:hAnsi="Times New Roman" w:eastAsia="Times New Roman" w:cs="Times New Roman"/>
          <w:lang w:eastAsia="ru-RU"/>
        </w:rPr>
        <w:t>2. Каждый 24-х волоконный оптический кабель должен терми</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нироваться в отдельный устанавливаемый оптобокс.</w:t>
      </w:r>
    </w:p>
    <w:p w14:paraId="4499990D">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В качестве медной части сети использовать кабель категории 5е, U/UTP, 4 пары, тип оболочки LSZH нг(A)-HFLTx, согласно ГОСТ 31565-2012 таблица 2. Кабель прокладывается единым отрезком от патч-панели до пользовательской розетки </w:t>
      </w:r>
      <w:r>
        <w:rPr>
          <w:rFonts w:ascii="Times New Roman" w:hAnsi="Times New Roman" w:eastAsia="Times New Roman" w:cs="Times New Roman"/>
          <w:lang w:val="en-US" w:eastAsia="ru-RU"/>
        </w:rPr>
        <w:t>RJ</w:t>
      </w:r>
      <w:r>
        <w:rPr>
          <w:rFonts w:ascii="Times New Roman" w:hAnsi="Times New Roman" w:eastAsia="Times New Roman" w:cs="Times New Roman"/>
          <w:lang w:eastAsia="ru-RU"/>
        </w:rPr>
        <w:t xml:space="preserve">-45. Кабель необходимо промаркировать с обоих концов и в местах отвода от основной трассы. </w:t>
      </w:r>
    </w:p>
    <w:p w14:paraId="4E0173F8">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7.4.</w:t>
      </w:r>
      <w:r>
        <w:rPr>
          <w:rFonts w:ascii="Times New Roman" w:hAnsi="Times New Roman" w:eastAsia="Times New Roman" w:cs="Times New Roman"/>
          <w:lang w:eastAsia="ru-RU"/>
        </w:rPr>
        <w:t xml:space="preserve"> На лицевой стороне коммутационных панелей и активного сетевого оборудова</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ния должна быть выполнена маркировка, соответствующая маркировке пользовательских портов, кабельных линий и оборудования. Маркировка должна быть произведена износостойкими материа</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лами, понятна и не вызывать разночтений и читаема в течение всего срока эксплуатации системы.</w:t>
      </w:r>
    </w:p>
    <w:p w14:paraId="40EC054D">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7.5.</w:t>
      </w:r>
      <w:r>
        <w:rPr>
          <w:rFonts w:ascii="Times New Roman" w:hAnsi="Times New Roman" w:eastAsia="Times New Roman" w:cs="Times New Roman"/>
          <w:lang w:eastAsia="ru-RU"/>
        </w:rPr>
        <w:t xml:space="preserve"> Исполнитель должен вести журнал выполнения работ. Все материалы, используемые Исполни</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телем для выполнения работ, должны иметь сертификаты, технические паспорта или другие документы, удостоверяющие их качество, которые предъявляются после заключения контракта, перед началом выполнения работ.</w:t>
      </w:r>
    </w:p>
    <w:p w14:paraId="1EE0F7F5">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7.6.</w:t>
      </w:r>
      <w:r>
        <w:rPr>
          <w:rFonts w:ascii="Times New Roman" w:hAnsi="Times New Roman" w:eastAsia="Times New Roman" w:cs="Times New Roman"/>
          <w:lang w:eastAsia="ru-RU"/>
        </w:rPr>
        <w:t xml:space="preserve"> Исполнитель осуществляет своевременную уборку, вынос и вывоз отходов после проведенных строительно-монтажных и иных работ, проводимых Исполнителем.</w:t>
      </w:r>
    </w:p>
    <w:p w14:paraId="6A6842B1">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7.7.</w:t>
      </w:r>
      <w:r>
        <w:rPr>
          <w:rFonts w:ascii="Times New Roman" w:hAnsi="Times New Roman" w:eastAsia="Times New Roman" w:cs="Times New Roman"/>
          <w:lang w:eastAsia="ru-RU"/>
        </w:rPr>
        <w:t xml:space="preserve"> Исполнитель несет ответственность за действия своего персонала, в том числе и за соблюде</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ние персоналом законодательства РФ в части обеспечения безопасности труда при выполнении работ на объектах Заказчика.</w:t>
      </w:r>
    </w:p>
    <w:p w14:paraId="68126A33">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7.8.</w:t>
      </w:r>
      <w:r>
        <w:rPr>
          <w:rFonts w:ascii="Times New Roman" w:hAnsi="Times New Roman" w:eastAsia="Times New Roman" w:cs="Times New Roman"/>
          <w:lang w:eastAsia="ru-RU"/>
        </w:rPr>
        <w:t xml:space="preserve"> Исполнитель обязан соблюдать технологию производства работ, установленную производи</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телем материала или оборудования, используемого при производстве работ.</w:t>
      </w:r>
    </w:p>
    <w:p w14:paraId="2053E290">
      <w:pPr>
        <w:spacing w:after="0" w:line="240" w:lineRule="auto"/>
        <w:ind w:firstLine="11"/>
        <w:jc w:val="both"/>
        <w:rPr>
          <w:rFonts w:ascii="Times New Roman" w:hAnsi="Times New Roman" w:eastAsia="Times New Roman" w:cs="Times New Roman"/>
          <w:lang w:eastAsia="ru-RU"/>
        </w:rPr>
      </w:pPr>
    </w:p>
    <w:p w14:paraId="6C8E7A39">
      <w:pPr>
        <w:spacing w:after="0" w:line="240" w:lineRule="auto"/>
        <w:ind w:firstLine="11"/>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8. Приёмка работ:</w:t>
      </w:r>
    </w:p>
    <w:p w14:paraId="7F81477E">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8.1.</w:t>
      </w:r>
      <w:r>
        <w:rPr>
          <w:rFonts w:ascii="Times New Roman" w:hAnsi="Times New Roman" w:eastAsia="Times New Roman" w:cs="Times New Roman"/>
          <w:lang w:eastAsia="ru-RU"/>
        </w:rPr>
        <w:t xml:space="preserve"> По окончании работ Исполнитель проводит тестирование смонтированных волоконно-оптических и медных линий согласно ГОСТ 53245-2008. Результаты тестирования предоставляются Заказчику в бумажном виде.</w:t>
      </w:r>
    </w:p>
    <w:p w14:paraId="72A9C88C">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8.2.</w:t>
      </w:r>
      <w:r>
        <w:rPr>
          <w:rFonts w:ascii="Times New Roman" w:hAnsi="Times New Roman" w:eastAsia="Times New Roman" w:cs="Times New Roman"/>
          <w:lang w:eastAsia="ru-RU"/>
        </w:rPr>
        <w:t xml:space="preserve"> Исполнительная документация предоставляется Заказчику не позднее трёх рабочих дней после завершения работ на бумажном носителе в одном экземпляре и в электронном виде.</w:t>
      </w:r>
    </w:p>
    <w:p w14:paraId="75D8335E">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8.3.</w:t>
      </w:r>
      <w:r>
        <w:rPr>
          <w:rFonts w:ascii="Times New Roman" w:hAnsi="Times New Roman" w:eastAsia="Times New Roman" w:cs="Times New Roman"/>
          <w:lang w:eastAsia="ru-RU"/>
        </w:rPr>
        <w:t xml:space="preserve"> Исполнительная документация включает:</w:t>
      </w:r>
    </w:p>
    <w:p w14:paraId="424C4592">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топологию оптической сети;</w:t>
      </w:r>
    </w:p>
    <w:p w14:paraId="74866AA4">
      <w:pPr>
        <w:spacing w:after="0" w:line="240" w:lineRule="auto"/>
        <w:ind w:left="426" w:hanging="142"/>
        <w:jc w:val="both"/>
        <w:rPr>
          <w:rFonts w:ascii="Times New Roman" w:hAnsi="Times New Roman" w:eastAsia="Times New Roman" w:cs="Times New Roman"/>
          <w:lang w:eastAsia="ru-RU"/>
        </w:rPr>
      </w:pPr>
      <w:r>
        <w:rPr>
          <w:rFonts w:ascii="Times New Roman" w:hAnsi="Times New Roman" w:eastAsia="Times New Roman" w:cs="Times New Roman"/>
          <w:lang w:eastAsia="ru-RU"/>
        </w:rPr>
        <w:t>• поэтажные исполнительные планы с указанием проложенных трасс, номеров помещений, фактическим местом установки шкафов;</w:t>
      </w:r>
    </w:p>
    <w:p w14:paraId="78B4F019">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структурную схему локальной вычислительной сети;</w:t>
      </w:r>
    </w:p>
    <w:p w14:paraId="2B2F0041">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описание настроек;</w:t>
      </w:r>
    </w:p>
    <w:p w14:paraId="6E9653EA">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схему соединений;</w:t>
      </w:r>
    </w:p>
    <w:p w14:paraId="6C6A5648">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таблицы коммутации;</w:t>
      </w:r>
    </w:p>
    <w:p w14:paraId="1B9E3C6B">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схемы размещения оборудования в телекоммуникационных шкафах;</w:t>
      </w:r>
    </w:p>
    <w:p w14:paraId="516E643E">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спецификации;</w:t>
      </w:r>
    </w:p>
    <w:p w14:paraId="1F4D5DD2">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результаты тестирования смонтированной кабельной системы;</w:t>
      </w:r>
    </w:p>
    <w:p w14:paraId="6F35C94E">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сертификаты на оборудование и материалы Исполнителя.</w:t>
      </w:r>
    </w:p>
    <w:p w14:paraId="566D1F57">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8.4.</w:t>
      </w:r>
      <w:r>
        <w:rPr>
          <w:rFonts w:ascii="Times New Roman" w:hAnsi="Times New Roman" w:eastAsia="Times New Roman" w:cs="Times New Roman"/>
          <w:lang w:eastAsia="ru-RU"/>
        </w:rPr>
        <w:t xml:space="preserve"> Приемка работ Исполнителя в соответствии с Программой и методиками приемо-сдаточных испытаний (ПМИ) осуществляется комиссией, назначаемой Заказчиком. В состав комиссии включается не менее одного представителя Исполнителя. Процесс проведения и итоги приемо-сдаточных испытаний оформляются в виде протокола приемо-сдаточных испытаний.</w:t>
      </w:r>
    </w:p>
    <w:p w14:paraId="3E9EEFDD">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8.5.</w:t>
      </w:r>
      <w:r>
        <w:rPr>
          <w:rFonts w:ascii="Times New Roman" w:hAnsi="Times New Roman" w:eastAsia="Times New Roman" w:cs="Times New Roman"/>
          <w:lang w:eastAsia="ru-RU"/>
        </w:rPr>
        <w:t xml:space="preserve"> ПМИ разрабатывает Исполнитель и предоставляет для согласования Заказчику совместно с исполнительной документацией. ПМИ должна содержать следующие обязательные разделы: комплектность оборудования и документации, способы и критерии проверки оборудования и выполненных настроек, а также методики проверки принятых политик безопасности, сетевой доступности ресурсов (в том числе – существующей ЛВС ПГУПС на примере нескольких служб или сервисов, которые определит Заказчик) и отказоустойчивости системы с формализованными ожидаемыми результатами успешных испытаний.</w:t>
      </w:r>
    </w:p>
    <w:p w14:paraId="48D517A6">
      <w:pPr>
        <w:spacing w:after="0" w:line="240" w:lineRule="auto"/>
        <w:ind w:firstLine="11"/>
        <w:jc w:val="both"/>
        <w:rPr>
          <w:rFonts w:ascii="Times New Roman" w:hAnsi="Times New Roman" w:eastAsia="Times New Roman" w:cs="Times New Roman"/>
          <w:lang w:eastAsia="ru-RU"/>
        </w:rPr>
      </w:pPr>
    </w:p>
    <w:p w14:paraId="318EB66A">
      <w:pPr>
        <w:spacing w:after="0" w:line="240" w:lineRule="auto"/>
        <w:ind w:firstLine="11"/>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9. Гарантийные обязательства на работы и требования к Исполнителю и технической под</w:t>
      </w:r>
      <w:r>
        <w:rPr>
          <w:rFonts w:ascii="Times New Roman" w:hAnsi="Times New Roman" w:eastAsia="Times New Roman" w:cs="Times New Roman"/>
          <w:b/>
          <w:lang w:eastAsia="ru-RU"/>
        </w:rPr>
        <w:softHyphen/>
      </w:r>
      <w:r>
        <w:rPr>
          <w:rFonts w:ascii="Times New Roman" w:hAnsi="Times New Roman" w:eastAsia="Times New Roman" w:cs="Times New Roman"/>
          <w:b/>
          <w:lang w:eastAsia="ru-RU"/>
        </w:rPr>
        <w:t>держке:</w:t>
      </w:r>
    </w:p>
    <w:p w14:paraId="4894E3DF">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9.1.</w:t>
      </w:r>
      <w:r>
        <w:rPr>
          <w:rFonts w:ascii="Times New Roman" w:hAnsi="Times New Roman" w:eastAsia="Times New Roman" w:cs="Times New Roman"/>
          <w:lang w:eastAsia="ru-RU"/>
        </w:rPr>
        <w:t xml:space="preserve"> Исполнитель должен обеспечить гарантийное обслуживание результатов выполненных работ в течение гарантийного срока, установленного договором и настоящим Техническим заданием.</w:t>
      </w:r>
    </w:p>
    <w:p w14:paraId="5E539885">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9.2.</w:t>
      </w:r>
      <w:r>
        <w:rPr>
          <w:rFonts w:ascii="Times New Roman" w:hAnsi="Times New Roman" w:eastAsia="Times New Roman" w:cs="Times New Roman"/>
          <w:lang w:eastAsia="ru-RU"/>
        </w:rPr>
        <w:t xml:space="preserve"> Исполнитель обязан обеспечить прием и регистрацию обращений Заказчика по вопросам гарантийного обслуживания и технической поддержки круглосуточно, 7 дней в неделю, не менее чем по двум каналам связи, включая телефон и электронную почту. Все обращения подлежат обязательной регистрации с фиксацией даты и времени поступления. </w:t>
      </w:r>
    </w:p>
    <w:p w14:paraId="4553B029">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ab/>
      </w:r>
      <w:r>
        <w:rPr>
          <w:rFonts w:ascii="Times New Roman" w:hAnsi="Times New Roman" w:eastAsia="Times New Roman" w:cs="Times New Roman"/>
          <w:lang w:eastAsia="ru-RU"/>
        </w:rPr>
        <w:t xml:space="preserve">Начало работ по устранению неисправности должно быть обеспечено не позднее следующего рабочего дня после получения обращения Заказчика, а при необходимости выезд специалиста на объект Заказчика осуществляется в рабочее время по рабочим дням в сроки, установленные договором и настоящим Техническим заданием. </w:t>
      </w:r>
    </w:p>
    <w:p w14:paraId="2F04A586">
      <w:pPr>
        <w:spacing w:after="0" w:line="240" w:lineRule="auto"/>
        <w:ind w:firstLine="708"/>
        <w:jc w:val="both"/>
        <w:rPr>
          <w:rFonts w:ascii="Times New Roman" w:hAnsi="Times New Roman" w:eastAsia="Times New Roman" w:cs="Times New Roman"/>
          <w:lang w:eastAsia="ru-RU"/>
        </w:rPr>
      </w:pPr>
      <w:r>
        <w:rPr>
          <w:rFonts w:ascii="Times New Roman" w:hAnsi="Times New Roman" w:eastAsia="Times New Roman" w:cs="Times New Roman"/>
          <w:lang w:eastAsia="ru-RU"/>
        </w:rPr>
        <w:t>Срок устранения неисправности не должен превышать более 21 рабочего дня с момента регистрации обращения Заказчика, если иные сроки не обусловлены необходимостью замены оборудования, предоставления запасных частей, получения доступа к обновлениям микропрограммного обеспечения либо иными обстоятельствами, зависящими от действий Заказчика.</w:t>
      </w:r>
    </w:p>
    <w:p w14:paraId="3661A854">
      <w:pPr>
        <w:spacing w:after="0" w:line="240" w:lineRule="auto"/>
        <w:ind w:firstLine="11"/>
        <w:jc w:val="both"/>
        <w:rPr>
          <w:rFonts w:ascii="Times New Roman" w:hAnsi="Times New Roman" w:eastAsia="Times New Roman" w:cs="Calibri"/>
          <w:lang w:eastAsia="ru-RU"/>
        </w:rPr>
      </w:pPr>
      <w:r>
        <w:rPr>
          <w:rFonts w:ascii="Times New Roman" w:hAnsi="Times New Roman" w:eastAsia="Times New Roman" w:cs="Times New Roman"/>
          <w:lang w:eastAsia="ru-RU"/>
        </w:rPr>
        <w:t>Исполнитель вправе обеспечивать исполнение указанных обязательств собственными силами, через обособленное подразделение, сервисного партнера либо иным не запрещенным законодательством способом при условии соблюдения установленных сроков реагирования, выезда и устранения неисправностей.</w:t>
      </w:r>
    </w:p>
    <w:p w14:paraId="68DE2346">
      <w:pPr>
        <w:spacing w:after="0" w:line="240" w:lineRule="auto"/>
        <w:ind w:firstLine="11"/>
        <w:rPr>
          <w:rFonts w:ascii="Times New Roman" w:hAnsi="Times New Roman" w:eastAsia="Times New Roman" w:cs="Calibri"/>
          <w:lang w:eastAsia="ru-RU"/>
        </w:rPr>
      </w:pPr>
      <w:r>
        <w:rPr>
          <w:rFonts w:ascii="Times New Roman" w:hAnsi="Times New Roman" w:eastAsia="Times New Roman" w:cs="Times New Roman"/>
          <w:b/>
          <w:lang w:eastAsia="ru-RU"/>
        </w:rPr>
        <w:t>9.3.</w:t>
      </w:r>
      <w:r>
        <w:rPr>
          <w:rFonts w:ascii="Times New Roman" w:hAnsi="Times New Roman" w:eastAsia="Times New Roman" w:cs="Times New Roman"/>
          <w:lang w:eastAsia="ru-RU"/>
        </w:rPr>
        <w:t xml:space="preserve"> </w:t>
      </w:r>
      <w:r>
        <w:rPr>
          <w:rFonts w:ascii="Times New Roman" w:hAnsi="Times New Roman" w:eastAsia="Times New Roman" w:cs="Calibri"/>
          <w:lang w:eastAsia="ru-RU"/>
        </w:rPr>
        <w:t>Гарантийные обязательства на работы Исполнителя</w:t>
      </w:r>
    </w:p>
    <w:tbl>
      <w:tblPr>
        <w:tblStyle w:val="41"/>
        <w:tblW w:w="9514"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5"/>
        <w:gridCol w:w="4699"/>
      </w:tblGrid>
      <w:tr w14:paraId="55441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15" w:type="dxa"/>
            <w:shd w:val="clear" w:color="auto" w:fill="auto"/>
          </w:tcPr>
          <w:p w14:paraId="3483F7C0">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Срок гарантийных обязательств</w:t>
            </w:r>
          </w:p>
        </w:tc>
        <w:tc>
          <w:tcPr>
            <w:tcW w:w="4699" w:type="dxa"/>
            <w:shd w:val="clear" w:color="auto" w:fill="auto"/>
          </w:tcPr>
          <w:p w14:paraId="4E637AF0">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12 месяцев с момента приемки работ Заказчиком</w:t>
            </w:r>
          </w:p>
        </w:tc>
      </w:tr>
      <w:tr w14:paraId="21039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15" w:type="dxa"/>
            <w:shd w:val="clear" w:color="auto" w:fill="auto"/>
          </w:tcPr>
          <w:p w14:paraId="4E2A82AF">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Время приема заявок</w:t>
            </w:r>
          </w:p>
        </w:tc>
        <w:tc>
          <w:tcPr>
            <w:tcW w:w="4699" w:type="dxa"/>
            <w:shd w:val="clear" w:color="auto" w:fill="auto"/>
          </w:tcPr>
          <w:p w14:paraId="6E9C9E7C">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Круглосуточно, 7 дней в неделю</w:t>
            </w:r>
          </w:p>
        </w:tc>
      </w:tr>
      <w:tr w14:paraId="5428A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15" w:type="dxa"/>
            <w:shd w:val="clear" w:color="auto" w:fill="auto"/>
          </w:tcPr>
          <w:p w14:paraId="7ECE048A">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Начало работ по устранению неисправности</w:t>
            </w:r>
          </w:p>
        </w:tc>
        <w:tc>
          <w:tcPr>
            <w:tcW w:w="4699" w:type="dxa"/>
            <w:shd w:val="clear" w:color="auto" w:fill="auto"/>
            <w:vAlign w:val="center"/>
          </w:tcPr>
          <w:p w14:paraId="59D83339">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 xml:space="preserve">На следующий рабочий день после получения заявки </w:t>
            </w:r>
          </w:p>
        </w:tc>
      </w:tr>
      <w:tr w14:paraId="6F99B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15" w:type="dxa"/>
            <w:shd w:val="clear" w:color="auto" w:fill="auto"/>
            <w:vAlign w:val="center"/>
          </w:tcPr>
          <w:p w14:paraId="34DC1D02">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Выезд к Заказчику</w:t>
            </w:r>
          </w:p>
        </w:tc>
        <w:tc>
          <w:tcPr>
            <w:tcW w:w="4699" w:type="dxa"/>
            <w:shd w:val="clear" w:color="auto" w:fill="auto"/>
            <w:vAlign w:val="center"/>
          </w:tcPr>
          <w:p w14:paraId="35E8DD00">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При необходимости, в рабочее время по рабочим дням</w:t>
            </w:r>
          </w:p>
        </w:tc>
      </w:tr>
      <w:tr w14:paraId="72CE9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15" w:type="dxa"/>
            <w:shd w:val="clear" w:color="auto" w:fill="auto"/>
          </w:tcPr>
          <w:p w14:paraId="7F96CC4F">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Консультации заказчика по замене запасных частей в рамках ремонта поставленного оборудования</w:t>
            </w:r>
          </w:p>
        </w:tc>
        <w:tc>
          <w:tcPr>
            <w:tcW w:w="4699" w:type="dxa"/>
            <w:shd w:val="clear" w:color="auto" w:fill="auto"/>
            <w:vAlign w:val="center"/>
          </w:tcPr>
          <w:p w14:paraId="18B71F8F">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Осуществляются Исполнителем, по рабочим дням</w:t>
            </w:r>
          </w:p>
        </w:tc>
      </w:tr>
      <w:tr w14:paraId="6D669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15" w:type="dxa"/>
            <w:shd w:val="clear" w:color="auto" w:fill="auto"/>
          </w:tcPr>
          <w:p w14:paraId="464F2972">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Окончание работ по устранению неисправности*</w:t>
            </w:r>
          </w:p>
        </w:tc>
        <w:tc>
          <w:tcPr>
            <w:tcW w:w="4699" w:type="dxa"/>
            <w:shd w:val="clear" w:color="auto" w:fill="auto"/>
            <w:vAlign w:val="center"/>
          </w:tcPr>
          <w:p w14:paraId="7AE1FDC9">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Не более 21 рабочего дня с момента обращения Заказчика в техническую поддержку.</w:t>
            </w:r>
          </w:p>
        </w:tc>
      </w:tr>
    </w:tbl>
    <w:p w14:paraId="2CBCD3FB">
      <w:pPr>
        <w:autoSpaceDE w:val="0"/>
        <w:autoSpaceDN w:val="0"/>
        <w:adjustRightInd w:val="0"/>
        <w:spacing w:after="0" w:line="240" w:lineRule="auto"/>
        <w:ind w:left="284"/>
        <w:jc w:val="both"/>
        <w:outlineLvl w:val="0"/>
        <w:rPr>
          <w:rFonts w:ascii="Times New Roman" w:hAnsi="Times New Roman" w:eastAsia="Calibri" w:cs="Calibri"/>
          <w:i/>
          <w:sz w:val="20"/>
          <w:szCs w:val="20"/>
        </w:rPr>
      </w:pPr>
      <w:r>
        <w:rPr>
          <w:rFonts w:ascii="Times New Roman" w:hAnsi="Times New Roman" w:eastAsia="Calibri" w:cs="Calibri"/>
          <w:i/>
          <w:sz w:val="20"/>
          <w:szCs w:val="20"/>
        </w:rPr>
        <w:t>* - при необходимости, для устранения неисправности, замены единиц(ы) оборудования, запасных частей, обновления микрокодов оборудования, предоставлен</w:t>
      </w:r>
      <w:r>
        <w:rPr>
          <w:rFonts w:ascii="Times New Roman" w:hAnsi="Times New Roman" w:eastAsia="Calibri" w:cs="Calibri"/>
          <w:i/>
          <w:sz w:val="20"/>
          <w:szCs w:val="20"/>
        </w:rPr>
        <w:softHyphen/>
      </w:r>
      <w:r>
        <w:rPr>
          <w:rFonts w:ascii="Times New Roman" w:hAnsi="Times New Roman" w:eastAsia="Calibri" w:cs="Calibri"/>
          <w:i/>
          <w:sz w:val="20"/>
          <w:szCs w:val="20"/>
        </w:rPr>
        <w:t>ного Заказчиком: не более 14 дней с момента предоставления Заказчиком единиц(ы) оборудования на замену неисправной (неисправных), запасных частей, доступа к микрокодам на сайте производителя оборудования.</w:t>
      </w:r>
    </w:p>
    <w:p w14:paraId="3B7A549A">
      <w:pPr>
        <w:autoSpaceDE w:val="0"/>
        <w:autoSpaceDN w:val="0"/>
        <w:adjustRightInd w:val="0"/>
        <w:spacing w:after="0" w:line="240" w:lineRule="auto"/>
        <w:ind w:left="284"/>
        <w:jc w:val="both"/>
        <w:outlineLvl w:val="0"/>
        <w:rPr>
          <w:rFonts w:ascii="Times New Roman" w:hAnsi="Times New Roman" w:eastAsia="Calibri" w:cs="Calibri"/>
          <w:i/>
          <w:sz w:val="20"/>
          <w:szCs w:val="20"/>
        </w:rPr>
      </w:pPr>
    </w:p>
    <w:p w14:paraId="040511CE">
      <w:pPr>
        <w:spacing w:after="0" w:line="240" w:lineRule="auto"/>
        <w:ind w:firstLine="11"/>
        <w:jc w:val="both"/>
        <w:rPr>
          <w:rFonts w:ascii="Times New Roman" w:hAnsi="Times New Roman" w:eastAsia="Times New Roman" w:cs="Times New Roman"/>
          <w:b/>
          <w:lang w:eastAsia="ru-RU"/>
        </w:rPr>
      </w:pPr>
    </w:p>
    <w:p w14:paraId="1D2F6AED">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p>
    <w:p w14:paraId="4A7A4175">
      <w:pPr>
        <w:spacing w:before="120"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p>
    <w:p w14:paraId="5E5F82A9">
      <w:pPr>
        <w:spacing w:after="0" w:line="240" w:lineRule="auto"/>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Заказчик</w:t>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Подрядчик</w:t>
      </w:r>
    </w:p>
    <w:p w14:paraId="7F2F011A">
      <w:pPr>
        <w:spacing w:after="0" w:line="240" w:lineRule="auto"/>
        <w:jc w:val="both"/>
        <w:rPr>
          <w:rFonts w:ascii="Times New Roman" w:hAnsi="Times New Roman" w:eastAsia="Times New Roman" w:cs="Times New Roman"/>
          <w:color w:val="000000" w:themeColor="text1"/>
          <w:lang w:eastAsia="ru-RU"/>
          <w14:textFill>
            <w14:solidFill>
              <w14:schemeClr w14:val="tx1"/>
            </w14:solidFill>
          </w14:textFill>
        </w:rPr>
      </w:pPr>
    </w:p>
    <w:p w14:paraId="6967ED50">
      <w:pPr>
        <w:spacing w:after="0" w:line="240" w:lineRule="auto"/>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__________________ /_______________/</w:t>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_______________ /_______________/</w:t>
      </w:r>
    </w:p>
    <w:p w14:paraId="79756C97">
      <w:pPr>
        <w:spacing w:after="0" w:line="240" w:lineRule="auto"/>
        <w:ind w:left="6372" w:firstLine="708"/>
        <w:jc w:val="right"/>
        <w:rPr>
          <w:rFonts w:ascii="Times New Roman" w:hAnsi="Times New Roman" w:eastAsia="Times New Roman" w:cs="Times New Roman"/>
          <w:caps/>
          <w:color w:val="000000" w:themeColor="text1"/>
          <w:spacing w:val="28"/>
          <w:lang w:eastAsia="ru-RU"/>
          <w14:textFill>
            <w14:solidFill>
              <w14:schemeClr w14:val="tx1"/>
            </w14:solidFill>
          </w14:textFill>
        </w:rPr>
      </w:pPr>
      <w:r>
        <w:rPr>
          <w:rFonts w:ascii="Times New Roman" w:hAnsi="Times New Roman" w:eastAsia="Times New Roman" w:cs="Times New Roman"/>
          <w:bCs/>
          <w:iCs/>
          <w:color w:val="000000" w:themeColor="text1"/>
          <w:lang w:eastAsia="ru-RU"/>
          <w14:textFill>
            <w14:solidFill>
              <w14:schemeClr w14:val="tx1"/>
            </w14:solidFill>
          </w14:textFill>
        </w:rPr>
        <w:t>Приложение № 2</w:t>
      </w:r>
    </w:p>
    <w:p w14:paraId="32219E43">
      <w:pPr>
        <w:autoSpaceDE w:val="0"/>
        <w:autoSpaceDN w:val="0"/>
        <w:adjustRightInd w:val="0"/>
        <w:spacing w:after="0" w:line="240" w:lineRule="auto"/>
        <w:jc w:val="right"/>
        <w:outlineLvl w:val="0"/>
        <w:rPr>
          <w:rFonts w:ascii="Times New Roman" w:hAnsi="Times New Roman" w:eastAsia="Times New Roman" w:cs="Times New Roman"/>
          <w:bCs/>
          <w:iCs/>
          <w:color w:val="000000" w:themeColor="text1"/>
          <w14:textFill>
            <w14:solidFill>
              <w14:schemeClr w14:val="tx1"/>
            </w14:solidFill>
          </w14:textFill>
        </w:rPr>
      </w:pP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 xml:space="preserve">к </w:t>
      </w:r>
      <w:r>
        <w:rPr>
          <w:rFonts w:ascii="Times New Roman" w:hAnsi="Times New Roman" w:eastAsia="Times New Roman" w:cs="Times New Roman"/>
          <w:color w:val="000000" w:themeColor="text1"/>
          <w14:textFill>
            <w14:solidFill>
              <w14:schemeClr w14:val="tx1"/>
            </w14:solidFill>
          </w14:textFill>
        </w:rPr>
        <w:t>Договор</w:t>
      </w:r>
      <w:r>
        <w:rPr>
          <w:rFonts w:ascii="Times New Roman" w:hAnsi="Times New Roman" w:eastAsia="Times New Roman" w:cs="Times New Roman"/>
          <w:bCs/>
          <w:iCs/>
          <w:color w:val="000000" w:themeColor="text1"/>
          <w14:textFill>
            <w14:solidFill>
              <w14:schemeClr w14:val="tx1"/>
            </w14:solidFill>
          </w14:textFill>
        </w:rPr>
        <w:t>у № _________</w:t>
      </w:r>
    </w:p>
    <w:p w14:paraId="61C84734">
      <w:pPr>
        <w:autoSpaceDE w:val="0"/>
        <w:autoSpaceDN w:val="0"/>
        <w:adjustRightInd w:val="0"/>
        <w:spacing w:after="0" w:line="240" w:lineRule="auto"/>
        <w:jc w:val="right"/>
        <w:outlineLvl w:val="0"/>
        <w:rPr>
          <w:rFonts w:ascii="Times New Roman" w:hAnsi="Times New Roman" w:eastAsia="Times New Roman" w:cs="Times New Roman"/>
          <w:bCs/>
          <w:iCs/>
          <w:color w:val="000000" w:themeColor="text1"/>
          <w14:textFill>
            <w14:solidFill>
              <w14:schemeClr w14:val="tx1"/>
            </w14:solidFill>
          </w14:textFill>
        </w:rPr>
      </w:pP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от «__» __________ 2026 г.</w:t>
      </w:r>
    </w:p>
    <w:p w14:paraId="299CAC63">
      <w:pPr>
        <w:tabs>
          <w:tab w:val="center" w:pos="4677"/>
          <w:tab w:val="right" w:pos="9355"/>
        </w:tabs>
        <w:spacing w:before="120" w:after="0" w:line="240" w:lineRule="auto"/>
        <w:ind w:firstLine="11"/>
        <w:jc w:val="both"/>
        <w:rPr>
          <w:rFonts w:ascii="Arial" w:hAnsi="Arial" w:eastAsia="Times New Roman" w:cs="Arial"/>
          <w:b/>
          <w:bCs/>
          <w:caps/>
          <w:color w:val="000000" w:themeColor="text1"/>
          <w:lang w:eastAsia="ru-RU"/>
          <w14:textFill>
            <w14:solidFill>
              <w14:schemeClr w14:val="tx1"/>
            </w14:solidFill>
          </w14:textFill>
        </w:rPr>
      </w:pPr>
    </w:p>
    <w:p w14:paraId="48D798E2">
      <w:pPr>
        <w:tabs>
          <w:tab w:val="center" w:pos="4677"/>
          <w:tab w:val="right" w:pos="9355"/>
        </w:tabs>
        <w:spacing w:before="120" w:after="0" w:line="240" w:lineRule="auto"/>
        <w:ind w:firstLine="11"/>
        <w:jc w:val="center"/>
        <w:rPr>
          <w:rFonts w:ascii="Times New Roman" w:hAnsi="Times New Roman" w:eastAsia="Times New Roman" w:cs="Times New Roman"/>
          <w:b/>
          <w:caps/>
          <w:color w:val="000000" w:themeColor="text1"/>
          <w:sz w:val="20"/>
          <w:szCs w:val="20"/>
          <w:lang w:eastAsia="ru-RU"/>
          <w14:textFill>
            <w14:solidFill>
              <w14:schemeClr w14:val="tx1"/>
            </w14:solidFill>
          </w14:textFill>
        </w:rPr>
      </w:pPr>
      <w:r>
        <w:rPr>
          <w:rFonts w:ascii="Times New Roman" w:hAnsi="Times New Roman" w:eastAsia="Times New Roman" w:cs="Times New Roman"/>
          <w:b/>
          <w:caps/>
          <w:color w:val="000000" w:themeColor="text1"/>
          <w:sz w:val="20"/>
          <w:szCs w:val="20"/>
          <w:lang w:eastAsia="ru-RU"/>
          <w14:textFill>
            <w14:solidFill>
              <w14:schemeClr w14:val="tx1"/>
            </w14:solidFill>
          </w14:textFill>
        </w:rPr>
        <w:t>Локальный СМЕТный расчет № 1 (СМЕТА) *</w:t>
      </w:r>
    </w:p>
    <w:p w14:paraId="139D047A">
      <w:pPr>
        <w:spacing w:before="120" w:after="0" w:line="240" w:lineRule="auto"/>
        <w:ind w:firstLine="11"/>
        <w:jc w:val="center"/>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Выполнение работ по модернизации фрагмента локальной вычислительной сети (СКС в корпусах: 1,2,3,4,5,6,7,8,9,10 и 14) по адресу: г. Санкт-Петербург, Московский пр., д.9, лит А, набережная реки Фонтанки, д. 113, лит А</w:t>
      </w:r>
    </w:p>
    <w:p w14:paraId="2D57A080">
      <w:pPr>
        <w:spacing w:before="120" w:after="0" w:line="240" w:lineRule="auto"/>
        <w:ind w:firstLine="11"/>
        <w:jc w:val="center"/>
        <w:rPr>
          <w:rFonts w:ascii="Times New Roman" w:hAnsi="Times New Roman" w:eastAsia="Times New Roman" w:cs="Times New Roman"/>
          <w:color w:val="000000" w:themeColor="text1"/>
          <w:lang w:eastAsia="ru-RU"/>
          <w14:textFill>
            <w14:solidFill>
              <w14:schemeClr w14:val="tx1"/>
            </w14:solidFill>
          </w14:textFill>
        </w:rPr>
      </w:pPr>
    </w:p>
    <w:p w14:paraId="4DC5B3E1">
      <w:pPr>
        <w:spacing w:before="120" w:after="0" w:line="240" w:lineRule="auto"/>
        <w:ind w:firstLine="11"/>
        <w:jc w:val="center"/>
        <w:rPr>
          <w:rFonts w:ascii="Times New Roman" w:hAnsi="Times New Roman" w:eastAsia="Times New Roman" w:cs="Times New Roman"/>
          <w:i/>
          <w:color w:val="000000" w:themeColor="text1"/>
          <w:sz w:val="16"/>
          <w:szCs w:val="16"/>
          <w:lang w:eastAsia="ru-RU"/>
          <w14:textFill>
            <w14:solidFill>
              <w14:schemeClr w14:val="tx1"/>
            </w14:solidFill>
          </w14:textFill>
        </w:rPr>
      </w:pPr>
      <w:r>
        <w:rPr>
          <w:rFonts w:ascii="Times New Roman" w:hAnsi="Times New Roman" w:eastAsia="Times New Roman" w:cs="Times New Roman"/>
          <w:bCs/>
          <w:i/>
          <w:caps/>
          <w:color w:val="000000" w:themeColor="text1"/>
          <w:lang w:eastAsia="ru-RU"/>
          <w14:textFill>
            <w14:solidFill>
              <w14:schemeClr w14:val="tx1"/>
            </w14:solidFill>
          </w14:textFill>
        </w:rPr>
        <w:t>*</w:t>
      </w:r>
      <w:r>
        <w:rPr>
          <w:rFonts w:ascii="Times New Roman" w:hAnsi="Times New Roman" w:eastAsia="Times New Roman" w:cs="Times New Roman"/>
          <w:i/>
          <w:color w:val="000000" w:themeColor="text1"/>
          <w:sz w:val="16"/>
          <w:szCs w:val="16"/>
          <w:lang w:eastAsia="ru-RU"/>
          <w14:textFill>
            <w14:solidFill>
              <w14:schemeClr w14:val="tx1"/>
            </w14:solidFill>
          </w14:textFill>
        </w:rPr>
        <w:t xml:space="preserve"> Заполняется в соответствии с Закупочной документацией Заказчика и Предложением Участника</w:t>
      </w:r>
    </w:p>
    <w:p w14:paraId="79CC3E3B">
      <w:pPr>
        <w:spacing w:before="120" w:after="0" w:line="240" w:lineRule="auto"/>
        <w:ind w:firstLine="11"/>
        <w:jc w:val="center"/>
        <w:rPr>
          <w:rFonts w:ascii="Times New Roman" w:hAnsi="Times New Roman" w:eastAsia="Times New Roman" w:cs="Times New Roman"/>
          <w:i/>
          <w:color w:val="000000" w:themeColor="text1"/>
          <w:sz w:val="16"/>
          <w:szCs w:val="16"/>
          <w:lang w:eastAsia="ru-RU"/>
          <w14:textFill>
            <w14:solidFill>
              <w14:schemeClr w14:val="tx1"/>
            </w14:solidFill>
          </w14:textFill>
        </w:rPr>
      </w:pPr>
    </w:p>
    <w:p w14:paraId="0148D929">
      <w:pPr>
        <w:spacing w:before="120" w:after="0" w:line="240" w:lineRule="auto"/>
        <w:ind w:firstLine="11"/>
        <w:jc w:val="center"/>
        <w:rPr>
          <w:rFonts w:ascii="Times New Roman" w:hAnsi="Times New Roman" w:eastAsia="Times New Roman" w:cs="Times New Roman"/>
          <w:i/>
          <w:color w:val="000000" w:themeColor="text1"/>
          <w:sz w:val="16"/>
          <w:szCs w:val="16"/>
          <w:lang w:eastAsia="ru-RU"/>
          <w14:textFill>
            <w14:solidFill>
              <w14:schemeClr w14:val="tx1"/>
            </w14:solidFill>
          </w14:textFill>
        </w:rPr>
      </w:pPr>
    </w:p>
    <w:p w14:paraId="13033989">
      <w:pPr>
        <w:spacing w:before="120" w:after="0" w:line="240" w:lineRule="auto"/>
        <w:ind w:firstLine="11"/>
        <w:jc w:val="center"/>
        <w:rPr>
          <w:rFonts w:ascii="Times New Roman" w:hAnsi="Times New Roman" w:eastAsia="Times New Roman" w:cs="Times New Roman"/>
          <w:i/>
          <w:color w:val="000000" w:themeColor="text1"/>
          <w:sz w:val="16"/>
          <w:szCs w:val="16"/>
          <w:lang w:eastAsia="ru-RU"/>
          <w14:textFill>
            <w14:solidFill>
              <w14:schemeClr w14:val="tx1"/>
            </w14:solidFill>
          </w14:textFill>
        </w:rPr>
      </w:pPr>
    </w:p>
    <w:p w14:paraId="10652DAC">
      <w:pPr>
        <w:spacing w:after="0" w:line="240" w:lineRule="auto"/>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Заказчик</w:t>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Подрядчик</w:t>
      </w:r>
    </w:p>
    <w:p w14:paraId="532F87DC">
      <w:pPr>
        <w:spacing w:after="0" w:line="240" w:lineRule="auto"/>
        <w:jc w:val="both"/>
        <w:rPr>
          <w:rFonts w:ascii="Times New Roman" w:hAnsi="Times New Roman" w:eastAsia="Times New Roman" w:cs="Times New Roman"/>
          <w:color w:val="000000" w:themeColor="text1"/>
          <w:lang w:eastAsia="ru-RU"/>
          <w14:textFill>
            <w14:solidFill>
              <w14:schemeClr w14:val="tx1"/>
            </w14:solidFill>
          </w14:textFill>
        </w:rPr>
      </w:pPr>
    </w:p>
    <w:p w14:paraId="6E4C58BA">
      <w:pPr>
        <w:spacing w:after="0" w:line="240" w:lineRule="auto"/>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__________________ /_______________/</w:t>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_______________ /_______________/</w:t>
      </w:r>
    </w:p>
    <w:p w14:paraId="035833C2">
      <w:pPr>
        <w:spacing w:before="120"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p>
    <w:p w14:paraId="1DF36DAC">
      <w:pPr>
        <w:spacing w:before="120"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p>
    <w:p w14:paraId="434A1436">
      <w:pPr>
        <w:spacing w:before="120" w:after="0" w:line="240" w:lineRule="auto"/>
        <w:ind w:firstLine="11"/>
        <w:jc w:val="center"/>
        <w:rPr>
          <w:rFonts w:ascii="Times New Roman" w:hAnsi="Times New Roman" w:eastAsia="Times New Roman" w:cs="Times New Roman"/>
          <w:color w:val="000000" w:themeColor="text1"/>
          <w:lang w:eastAsia="ru-RU"/>
          <w14:textFill>
            <w14:solidFill>
              <w14:schemeClr w14:val="tx1"/>
            </w14:solidFill>
          </w14:textFill>
        </w:rPr>
      </w:pPr>
    </w:p>
    <w:p w14:paraId="6FC1FE79">
      <w:pPr>
        <w:rPr>
          <w:color w:val="000000" w:themeColor="text1"/>
          <w14:textFill>
            <w14:solidFill>
              <w14:schemeClr w14:val="tx1"/>
            </w14:solidFill>
          </w14:textFill>
        </w:rPr>
      </w:pPr>
    </w:p>
    <w:sectPr>
      <w:headerReference r:id="rId9" w:type="first"/>
      <w:headerReference r:id="rId8" w:type="default"/>
      <w:footnotePr>
        <w:numRestart w:val="eachPage"/>
      </w:footnotePr>
      <w:pgSz w:w="11906" w:h="16838"/>
      <w:pgMar w:top="992" w:right="1134" w:bottom="1134" w:left="1134" w:header="709" w:footer="709"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Arial">
    <w:panose1 w:val="020B0604020202020204"/>
    <w:charset w:val="CC"/>
    <w:family w:val="swiss"/>
    <w:pitch w:val="default"/>
    <w:sig w:usb0="E0002EFF" w:usb1="C000785B" w:usb2="00000009" w:usb3="00000000" w:csb0="400001FF" w:csb1="FFFF0000"/>
  </w:font>
  <w:font w:name="Mangal">
    <w:altName w:val="Segoe Print"/>
    <w:panose1 w:val="00000400000000000000"/>
    <w:charset w:val="00"/>
    <w:family w:val="roman"/>
    <w:pitch w:val="default"/>
    <w:sig w:usb0="00000000" w:usb1="00000000" w:usb2="00000000" w:usb3="00000000" w:csb0="00000001"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Verdana">
    <w:panose1 w:val="020B0604030504040204"/>
    <w:charset w:val="CC"/>
    <w:family w:val="swiss"/>
    <w:pitch w:val="default"/>
    <w:sig w:usb0="A00006FF" w:usb1="4000205B" w:usb2="00000010" w:usb3="00000000" w:csb0="2000019F" w:csb1="00000000"/>
  </w:font>
  <w:font w:name="Courier New">
    <w:panose1 w:val="02070309020205020404"/>
    <w:charset w:val="CC"/>
    <w:family w:val="modern"/>
    <w:pitch w:val="default"/>
    <w:sig w:usb0="E0002EFF" w:usb1="C0007843" w:usb2="00000009" w:usb3="00000000" w:csb0="400001FF" w:csb1="FFFF0000"/>
  </w:font>
  <w:font w:name="Times New Roman CYR">
    <w:altName w:val="Times New Roman"/>
    <w:panose1 w:val="02020603050405020304"/>
    <w:charset w:val="CC"/>
    <w:family w:val="roman"/>
    <w:pitch w:val="default"/>
    <w:sig w:usb0="00000000" w:usb1="00000000" w:usb2="00000009" w:usb3="00000000" w:csb0="000001FF" w:csb1="00000000"/>
  </w:font>
  <w:font w:name="Arial CYR">
    <w:altName w:val="Arial"/>
    <w:panose1 w:val="020B0604020202020204"/>
    <w:charset w:val="CC"/>
    <w:family w:val="swiss"/>
    <w:pitch w:val="default"/>
    <w:sig w:usb0="00000000" w:usb1="00000000" w:usb2="00000009" w:usb3="00000000" w:csb0="000001FF" w:csb1="00000000"/>
  </w:font>
  <w:font w:name="Calibri Light">
    <w:panose1 w:val="020F0302020204030204"/>
    <w:charset w:val="CC"/>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altName w:val="Microsoft YaHei"/>
    <w:panose1 w:val="00000000000000000000"/>
    <w:charset w:val="00"/>
    <w:family w:val="auto"/>
    <w:pitch w:val="default"/>
    <w:sig w:usb0="00000000" w:usb1="00000000" w:usb2="00000000" w:usb3="00000000" w:csb0="00000000" w:csb1="00000000"/>
  </w:font>
  <w:font w:name="MS Mincho">
    <w:altName w:val="Segoe Print"/>
    <w:panose1 w:val="02020609040205080304"/>
    <w:charset w:val="00"/>
    <w:family w:val="auto"/>
    <w:pitch w:val="default"/>
    <w:sig w:usb0="00000000" w:usb1="00000000" w:usb2="00000000" w:usb3="00000000" w:csb0="00000000" w:csb1="00000000"/>
  </w:font>
  <w:font w:name="ＭＳ 明朝">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F52A8">
    <w:pPr>
      <w:pStyle w:val="29"/>
      <w:jc w:val="center"/>
      <w:rPr>
        <w:sz w:val="22"/>
        <w:szCs w:val="22"/>
      </w:rPr>
    </w:pPr>
    <w:r>
      <w:rPr>
        <w:sz w:val="22"/>
        <w:szCs w:val="22"/>
      </w:rPr>
      <w:fldChar w:fldCharType="begin"/>
    </w:r>
    <w:r>
      <w:rPr>
        <w:sz w:val="22"/>
        <w:szCs w:val="22"/>
      </w:rPr>
      <w:instrText xml:space="preserve">PAGE   \* MERGEFORMAT</w:instrText>
    </w:r>
    <w:r>
      <w:rPr>
        <w:sz w:val="22"/>
        <w:szCs w:val="22"/>
      </w:rPr>
      <w:fldChar w:fldCharType="separate"/>
    </w:r>
    <w:r>
      <w:rPr>
        <w:sz w:val="22"/>
        <w:szCs w:val="22"/>
      </w:rPr>
      <w:t>9</w:t>
    </w:r>
    <w:r>
      <w:rPr>
        <w:sz w:val="22"/>
        <w:szCs w:val="22"/>
      </w:rPr>
      <w:fldChar w:fldCharType="end"/>
    </w:r>
  </w:p>
  <w:p w14:paraId="42AA644F">
    <w:pPr>
      <w:pStyle w:val="2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87F19">
    <w:pPr>
      <w:pStyle w:val="29"/>
      <w:jc w:val="center"/>
      <w:rPr>
        <w:sz w:val="22"/>
        <w:szCs w:val="22"/>
      </w:rPr>
    </w:pPr>
  </w:p>
  <w:p w14:paraId="54FF8726">
    <w:pPr>
      <w:pStyle w:val="2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870E6">
    <w:pPr>
      <w:autoSpaceDE w:val="0"/>
      <w:autoSpaceDN w:val="0"/>
      <w:adjustRightInd w:val="0"/>
      <w:ind w:firstLine="540"/>
      <w:jc w:val="center"/>
      <w:outlineLvl w:val="0"/>
      <w:rPr>
        <w:i/>
        <w:sz w:val="16"/>
        <w:szCs w:val="16"/>
      </w:rPr>
    </w:pPr>
  </w:p>
  <w:p w14:paraId="3E157173">
    <w:pPr>
      <w:autoSpaceDE w:val="0"/>
      <w:autoSpaceDN w:val="0"/>
      <w:adjustRightInd w:val="0"/>
      <w:ind w:firstLine="540"/>
      <w:jc w:val="center"/>
      <w:outlineLvl w:val="0"/>
      <w:rPr>
        <w:i/>
        <w:color w:val="000000"/>
        <w:sz w:val="16"/>
        <w:szCs w:val="16"/>
      </w:rPr>
    </w:pPr>
    <w:r>
      <w:rPr>
        <w:i/>
        <w:sz w:val="16"/>
        <w:szCs w:val="16"/>
      </w:rPr>
      <w:t>Аукцион в электронной форме</w:t>
    </w:r>
  </w:p>
  <w:p w14:paraId="3F4D3092">
    <w:pPr>
      <w:pStyle w:val="32"/>
      <w:spacing w:before="0"/>
      <w:jc w:val="center"/>
      <w:rPr>
        <w:i/>
        <w:sz w:val="16"/>
        <w:szCs w:val="16"/>
      </w:rPr>
    </w:pPr>
    <w:r>
      <w:rPr>
        <w:i/>
        <w:color w:val="1A1A1A"/>
        <w:sz w:val="16"/>
        <w:szCs w:val="16"/>
        <w:shd w:val="clear" w:color="auto" w:fill="FFFFFF"/>
      </w:rPr>
      <w:t>Выполнение работ по модернизации фрагмента локальной вычислительной сети (СКС в корпусах: 1,2,3,4,5,6,7,8,9,10 и 14) по адресу: г. Санкт-Петербург, Московский пр., д.9, лит А, набережная реки Фонтанки, д. 113, лит 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D28ED">
    <w:pPr>
      <w:pStyle w:val="32"/>
      <w:rPr>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5993D">
    <w:pPr>
      <w:pStyle w:val="32"/>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35"/>
      <w:lvlText w:val=""/>
      <w:lvlJc w:val="left"/>
      <w:pPr>
        <w:tabs>
          <w:tab w:val="left" w:pos="360"/>
        </w:tabs>
        <w:ind w:left="360" w:hanging="360"/>
      </w:pPr>
      <w:rPr>
        <w:rFonts w:hint="default" w:ascii="Symbol" w:hAnsi="Symbol"/>
      </w:rPr>
    </w:lvl>
  </w:abstractNum>
  <w:abstractNum w:abstractNumId="1">
    <w:nsid w:val="0582034C"/>
    <w:multiLevelType w:val="multilevel"/>
    <w:tmpl w:val="0582034C"/>
    <w:lvl w:ilvl="0" w:tentative="0">
      <w:start w:val="1"/>
      <w:numFmt w:val="decimal"/>
      <w:lvlText w:val="%1"/>
      <w:lvlJc w:val="left"/>
      <w:pPr>
        <w:ind w:left="716" w:hanging="432"/>
      </w:pPr>
      <w:rPr>
        <w:rFonts w:hint="default" w:cs="Times New Roman"/>
      </w:rPr>
    </w:lvl>
    <w:lvl w:ilvl="1" w:tentative="0">
      <w:start w:val="3"/>
      <w:numFmt w:val="decimal"/>
      <w:lvlText w:val="%1.%2"/>
      <w:lvlJc w:val="left"/>
      <w:pPr>
        <w:ind w:left="860" w:hanging="576"/>
      </w:pPr>
      <w:rPr>
        <w:rFonts w:hint="default" w:cs="Times New Roman"/>
      </w:rPr>
    </w:lvl>
    <w:lvl w:ilvl="2" w:tentative="0">
      <w:start w:val="1"/>
      <w:numFmt w:val="decimal"/>
      <w:pStyle w:val="86"/>
      <w:lvlText w:val="%1.%2.%3"/>
      <w:lvlJc w:val="left"/>
      <w:pPr>
        <w:ind w:left="1004" w:hanging="720"/>
      </w:pPr>
      <w:rPr>
        <w:rFonts w:hint="default" w:cs="Times New Roman"/>
      </w:rPr>
    </w:lvl>
    <w:lvl w:ilvl="3" w:tentative="0">
      <w:start w:val="1"/>
      <w:numFmt w:val="decimal"/>
      <w:lvlText w:val="%1.%2.%3.%4"/>
      <w:lvlJc w:val="left"/>
      <w:pPr>
        <w:ind w:left="1148" w:hanging="864"/>
      </w:pPr>
      <w:rPr>
        <w:rFonts w:hint="default" w:cs="Times New Roman"/>
      </w:rPr>
    </w:lvl>
    <w:lvl w:ilvl="4" w:tentative="0">
      <w:start w:val="1"/>
      <w:numFmt w:val="decimal"/>
      <w:lvlText w:val="%1.%2.%3.%4.%5"/>
      <w:lvlJc w:val="left"/>
      <w:pPr>
        <w:ind w:left="1292" w:hanging="1008"/>
      </w:pPr>
      <w:rPr>
        <w:rFonts w:hint="default" w:cs="Times New Roman"/>
      </w:rPr>
    </w:lvl>
    <w:lvl w:ilvl="5" w:tentative="0">
      <w:start w:val="1"/>
      <w:numFmt w:val="decimal"/>
      <w:lvlText w:val="%1.%2.%3.%4.%5.%6"/>
      <w:lvlJc w:val="left"/>
      <w:pPr>
        <w:ind w:left="1436" w:hanging="1152"/>
      </w:pPr>
      <w:rPr>
        <w:rFonts w:hint="default" w:cs="Times New Roman"/>
      </w:rPr>
    </w:lvl>
    <w:lvl w:ilvl="6" w:tentative="0">
      <w:start w:val="1"/>
      <w:numFmt w:val="decimal"/>
      <w:lvlText w:val="%1.%2.%3.%4.%5.%6.%7"/>
      <w:lvlJc w:val="left"/>
      <w:pPr>
        <w:ind w:left="1580" w:hanging="1296"/>
      </w:pPr>
      <w:rPr>
        <w:rFonts w:hint="default" w:cs="Times New Roman"/>
      </w:rPr>
    </w:lvl>
    <w:lvl w:ilvl="7" w:tentative="0">
      <w:start w:val="1"/>
      <w:numFmt w:val="decimal"/>
      <w:lvlText w:val="%1.%2.%3.%4.%5.%6.%7.%8"/>
      <w:lvlJc w:val="left"/>
      <w:pPr>
        <w:ind w:left="1724" w:hanging="1440"/>
      </w:pPr>
      <w:rPr>
        <w:rFonts w:hint="default" w:cs="Times New Roman"/>
      </w:rPr>
    </w:lvl>
    <w:lvl w:ilvl="8" w:tentative="0">
      <w:start w:val="1"/>
      <w:numFmt w:val="decimal"/>
      <w:lvlText w:val="%1.%2.%3.%4.%5.%6.%7.%8.%9"/>
      <w:lvlJc w:val="left"/>
      <w:pPr>
        <w:ind w:left="1868" w:hanging="1584"/>
      </w:pPr>
      <w:rPr>
        <w:rFonts w:hint="default" w:cs="Times New Roman"/>
      </w:rPr>
    </w:lvl>
  </w:abstractNum>
  <w:abstractNum w:abstractNumId="2">
    <w:nsid w:val="070C142E"/>
    <w:multiLevelType w:val="multilevel"/>
    <w:tmpl w:val="070C142E"/>
    <w:lvl w:ilvl="0" w:tentative="0">
      <w:start w:val="1"/>
      <w:numFmt w:val="decimal"/>
      <w:lvlText w:val="%1."/>
      <w:lvlJc w:val="left"/>
      <w:rPr>
        <w:rFonts w:hint="default" w:cs="Times New Roman"/>
      </w:rPr>
    </w:lvl>
    <w:lvl w:ilvl="1" w:tentative="0">
      <w:start w:val="1"/>
      <w:numFmt w:val="decimal"/>
      <w:lvlText w:val="%1.%2."/>
      <w:lvlJc w:val="left"/>
      <w:rPr>
        <w:rFonts w:hint="default" w:cs="Times New Roman"/>
      </w:rPr>
    </w:lvl>
    <w:lvl w:ilvl="2" w:tentative="0">
      <w:start w:val="1"/>
      <w:numFmt w:val="decimal"/>
      <w:lvlText w:val="%1.%2.%3."/>
      <w:lvlJc w:val="left"/>
      <w:rPr>
        <w:rFonts w:hint="default" w:cs="Times New Roman"/>
      </w:rPr>
    </w:lvl>
    <w:lvl w:ilvl="3" w:tentative="0">
      <w:start w:val="1"/>
      <w:numFmt w:val="decimal"/>
      <w:lvlText w:val="%1.%2.%3.%4."/>
      <w:lvlJc w:val="left"/>
      <w:rPr>
        <w:rFonts w:hint="default" w:cs="Times New Roman"/>
      </w:rPr>
    </w:lvl>
    <w:lvl w:ilvl="4" w:tentative="0">
      <w:start w:val="1"/>
      <w:numFmt w:val="decimal"/>
      <w:lvlText w:val="%1.%2.%3.%4.%5."/>
      <w:lvlJc w:val="left"/>
      <w:rPr>
        <w:rFonts w:hint="default" w:cs="Times New Roman"/>
      </w:rPr>
    </w:lvl>
    <w:lvl w:ilvl="5" w:tentative="0">
      <w:start w:val="1"/>
      <w:numFmt w:val="decimal"/>
      <w:lvlText w:val="%1.%2.%3.%4.%5.%6."/>
      <w:lvlJc w:val="left"/>
      <w:rPr>
        <w:rFonts w:hint="default" w:cs="Times New Roman"/>
      </w:rPr>
    </w:lvl>
    <w:lvl w:ilvl="6" w:tentative="0">
      <w:start w:val="1"/>
      <w:numFmt w:val="decimal"/>
      <w:lvlText w:val="%1.%2.%3.%4.%5.%6.%7."/>
      <w:lvlJc w:val="left"/>
      <w:rPr>
        <w:rFonts w:hint="default" w:cs="Times New Roman"/>
      </w:rPr>
    </w:lvl>
    <w:lvl w:ilvl="7" w:tentative="0">
      <w:start w:val="1"/>
      <w:numFmt w:val="decimal"/>
      <w:lvlText w:val="%1.%2.%3.%4.%5.%6.%7.%8."/>
      <w:lvlJc w:val="left"/>
      <w:rPr>
        <w:rFonts w:hint="default" w:cs="Times New Roman"/>
      </w:rPr>
    </w:lvl>
    <w:lvl w:ilvl="8" w:tentative="0">
      <w:start w:val="1"/>
      <w:numFmt w:val="decimal"/>
      <w:lvlText w:val="%1.%2.%3.%4.%5.%6.%7.%8.%9."/>
      <w:lvlJc w:val="left"/>
      <w:rPr>
        <w:rFonts w:hint="default" w:cs="Times New Roman"/>
      </w:rPr>
    </w:lvl>
  </w:abstractNum>
  <w:abstractNum w:abstractNumId="3">
    <w:nsid w:val="13C11504"/>
    <w:multiLevelType w:val="multilevel"/>
    <w:tmpl w:val="13C1150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4">
    <w:nsid w:val="15156886"/>
    <w:multiLevelType w:val="multilevel"/>
    <w:tmpl w:val="15156886"/>
    <w:lvl w:ilvl="0" w:tentative="0">
      <w:start w:val="1"/>
      <w:numFmt w:val="decimal"/>
      <w:lvlText w:val="%1"/>
      <w:lvlJc w:val="left"/>
      <w:pPr>
        <w:ind w:left="432" w:hanging="432"/>
      </w:pPr>
      <w:rPr>
        <w:rFonts w:hint="default" w:cs="Times New Roman"/>
      </w:rPr>
    </w:lvl>
    <w:lvl w:ilvl="1" w:tentative="0">
      <w:start w:val="1"/>
      <w:numFmt w:val="decimal"/>
      <w:pStyle w:val="3"/>
      <w:lvlText w:val="%1.%2"/>
      <w:lvlJc w:val="left"/>
      <w:pPr>
        <w:ind w:left="576" w:hanging="576"/>
      </w:pPr>
      <w:rPr>
        <w:rFonts w:hint="default" w:cs="Times New Roman"/>
      </w:rPr>
    </w:lvl>
    <w:lvl w:ilvl="2" w:tentative="0">
      <w:start w:val="1"/>
      <w:numFmt w:val="decimal"/>
      <w:pStyle w:val="70"/>
      <w:lvlText w:val="%1.%2.%3"/>
      <w:lvlJc w:val="left"/>
      <w:pPr>
        <w:ind w:left="720" w:hanging="720"/>
      </w:pPr>
      <w:rPr>
        <w:rFonts w:hint="default" w:cs="Times New Roman"/>
        <w:b w:val="0"/>
      </w:rPr>
    </w:lvl>
    <w:lvl w:ilvl="3" w:tentative="0">
      <w:start w:val="1"/>
      <w:numFmt w:val="decimal"/>
      <w:lvlText w:val="%1.%2.%3.%4"/>
      <w:lvlJc w:val="left"/>
      <w:pPr>
        <w:ind w:left="864" w:hanging="864"/>
      </w:pPr>
      <w:rPr>
        <w:rFonts w:hint="default" w:cs="Times New Roman"/>
      </w:rPr>
    </w:lvl>
    <w:lvl w:ilvl="4" w:tentative="0">
      <w:start w:val="1"/>
      <w:numFmt w:val="decimal"/>
      <w:lvlText w:val="%1.%2.%3.%4.%5"/>
      <w:lvlJc w:val="left"/>
      <w:pPr>
        <w:ind w:left="1008" w:hanging="1008"/>
      </w:pPr>
      <w:rPr>
        <w:rFonts w:hint="default" w:cs="Times New Roman"/>
      </w:rPr>
    </w:lvl>
    <w:lvl w:ilvl="5" w:tentative="0">
      <w:start w:val="1"/>
      <w:numFmt w:val="decimal"/>
      <w:lvlText w:val="%1.%2.%3.%4.%5.%6"/>
      <w:lvlJc w:val="left"/>
      <w:pPr>
        <w:ind w:left="1152" w:hanging="1152"/>
      </w:pPr>
      <w:rPr>
        <w:rFonts w:hint="default" w:cs="Times New Roman"/>
      </w:rPr>
    </w:lvl>
    <w:lvl w:ilvl="6" w:tentative="0">
      <w:start w:val="1"/>
      <w:numFmt w:val="decimal"/>
      <w:lvlText w:val="%1.%2.%3.%4.%5.%6.%7"/>
      <w:lvlJc w:val="left"/>
      <w:pPr>
        <w:ind w:left="1296" w:hanging="1296"/>
      </w:pPr>
      <w:rPr>
        <w:rFonts w:hint="default" w:cs="Times New Roman"/>
      </w:rPr>
    </w:lvl>
    <w:lvl w:ilvl="7" w:tentative="0">
      <w:start w:val="1"/>
      <w:numFmt w:val="decimal"/>
      <w:lvlText w:val="%1.%2.%3.%4.%5.%6.%7.%8"/>
      <w:lvlJc w:val="left"/>
      <w:pPr>
        <w:ind w:left="1440" w:hanging="1440"/>
      </w:pPr>
      <w:rPr>
        <w:rFonts w:hint="default" w:cs="Times New Roman"/>
      </w:rPr>
    </w:lvl>
    <w:lvl w:ilvl="8" w:tentative="0">
      <w:start w:val="1"/>
      <w:numFmt w:val="decimal"/>
      <w:lvlText w:val="%1.%2.%3.%4.%5.%6.%7.%8.%9"/>
      <w:lvlJc w:val="left"/>
      <w:pPr>
        <w:ind w:left="1584" w:hanging="1584"/>
      </w:pPr>
      <w:rPr>
        <w:rFonts w:hint="default" w:cs="Times New Roman"/>
      </w:rPr>
    </w:lvl>
  </w:abstractNum>
  <w:abstractNum w:abstractNumId="5">
    <w:nsid w:val="20384AAF"/>
    <w:multiLevelType w:val="multilevel"/>
    <w:tmpl w:val="20384AAF"/>
    <w:lvl w:ilvl="0" w:tentative="0">
      <w:start w:val="1"/>
      <w:numFmt w:val="decimal"/>
      <w:pStyle w:val="141"/>
      <w:lvlText w:val="%1)"/>
      <w:lvlJc w:val="left"/>
      <w:pPr>
        <w:ind w:left="1070" w:hanging="360"/>
      </w:pPr>
      <w:rPr>
        <w:rFonts w:hint="default" w:cs="Times New Roman"/>
      </w:rPr>
    </w:lvl>
    <w:lvl w:ilvl="1" w:tentative="0">
      <w:start w:val="1"/>
      <w:numFmt w:val="lowerLetter"/>
      <w:lvlText w:val="%2."/>
      <w:lvlJc w:val="left"/>
      <w:pPr>
        <w:ind w:left="1790" w:hanging="360"/>
      </w:pPr>
      <w:rPr>
        <w:rFonts w:cs="Times New Roman"/>
      </w:rPr>
    </w:lvl>
    <w:lvl w:ilvl="2" w:tentative="0">
      <w:start w:val="1"/>
      <w:numFmt w:val="lowerRoman"/>
      <w:lvlText w:val="%3."/>
      <w:lvlJc w:val="right"/>
      <w:pPr>
        <w:ind w:left="2510" w:hanging="180"/>
      </w:pPr>
      <w:rPr>
        <w:rFonts w:cs="Times New Roman"/>
      </w:rPr>
    </w:lvl>
    <w:lvl w:ilvl="3" w:tentative="0">
      <w:start w:val="1"/>
      <w:numFmt w:val="decimal"/>
      <w:lvlText w:val="%4."/>
      <w:lvlJc w:val="left"/>
      <w:pPr>
        <w:ind w:left="3230" w:hanging="360"/>
      </w:pPr>
      <w:rPr>
        <w:rFonts w:cs="Times New Roman"/>
      </w:rPr>
    </w:lvl>
    <w:lvl w:ilvl="4" w:tentative="0">
      <w:start w:val="1"/>
      <w:numFmt w:val="lowerLetter"/>
      <w:lvlText w:val="%5."/>
      <w:lvlJc w:val="left"/>
      <w:pPr>
        <w:ind w:left="3950" w:hanging="360"/>
      </w:pPr>
      <w:rPr>
        <w:rFonts w:cs="Times New Roman"/>
      </w:rPr>
    </w:lvl>
    <w:lvl w:ilvl="5" w:tentative="0">
      <w:start w:val="1"/>
      <w:numFmt w:val="lowerRoman"/>
      <w:lvlText w:val="%6."/>
      <w:lvlJc w:val="right"/>
      <w:pPr>
        <w:ind w:left="4670" w:hanging="180"/>
      </w:pPr>
      <w:rPr>
        <w:rFonts w:cs="Times New Roman"/>
      </w:rPr>
    </w:lvl>
    <w:lvl w:ilvl="6" w:tentative="0">
      <w:start w:val="1"/>
      <w:numFmt w:val="decimal"/>
      <w:lvlText w:val="%7."/>
      <w:lvlJc w:val="left"/>
      <w:pPr>
        <w:ind w:left="5390" w:hanging="360"/>
      </w:pPr>
      <w:rPr>
        <w:rFonts w:cs="Times New Roman"/>
      </w:rPr>
    </w:lvl>
    <w:lvl w:ilvl="7" w:tentative="0">
      <w:start w:val="1"/>
      <w:numFmt w:val="lowerLetter"/>
      <w:lvlText w:val="%8."/>
      <w:lvlJc w:val="left"/>
      <w:pPr>
        <w:ind w:left="6110" w:hanging="360"/>
      </w:pPr>
      <w:rPr>
        <w:rFonts w:cs="Times New Roman"/>
      </w:rPr>
    </w:lvl>
    <w:lvl w:ilvl="8" w:tentative="0">
      <w:start w:val="1"/>
      <w:numFmt w:val="lowerRoman"/>
      <w:lvlText w:val="%9."/>
      <w:lvlJc w:val="right"/>
      <w:pPr>
        <w:ind w:left="6830" w:hanging="180"/>
      </w:pPr>
      <w:rPr>
        <w:rFonts w:cs="Times New Roman"/>
      </w:rPr>
    </w:lvl>
  </w:abstractNum>
  <w:abstractNum w:abstractNumId="6">
    <w:nsid w:val="2454541D"/>
    <w:multiLevelType w:val="multilevel"/>
    <w:tmpl w:val="2454541D"/>
    <w:lvl w:ilvl="0" w:tentative="0">
      <w:start w:val="1"/>
      <w:numFmt w:val="upperRoman"/>
      <w:lvlText w:val="Статья %1."/>
      <w:lvlJc w:val="left"/>
      <w:pPr>
        <w:tabs>
          <w:tab w:val="left" w:pos="1440"/>
        </w:tabs>
      </w:pPr>
      <w:rPr>
        <w:rFonts w:cs="Times New Roman"/>
      </w:rPr>
    </w:lvl>
    <w:lvl w:ilvl="1" w:tentative="0">
      <w:start w:val="1"/>
      <w:numFmt w:val="decimalZero"/>
      <w:isLgl/>
      <w:lvlText w:val="Раздел %1.%2"/>
      <w:lvlJc w:val="left"/>
      <w:pPr>
        <w:tabs>
          <w:tab w:val="left" w:pos="1080"/>
        </w:tabs>
      </w:pPr>
      <w:rPr>
        <w:rFonts w:cs="Times New Roman"/>
      </w:rPr>
    </w:lvl>
    <w:lvl w:ilvl="2" w:tentative="0">
      <w:start w:val="1"/>
      <w:numFmt w:val="lowerLetter"/>
      <w:lvlText w:val="(%3)"/>
      <w:lvlJc w:val="left"/>
      <w:pPr>
        <w:tabs>
          <w:tab w:val="left" w:pos="720"/>
        </w:tabs>
        <w:ind w:left="720" w:hanging="432"/>
      </w:pPr>
      <w:rPr>
        <w:rFonts w:cs="Times New Roman"/>
      </w:rPr>
    </w:lvl>
    <w:lvl w:ilvl="3" w:tentative="0">
      <w:start w:val="1"/>
      <w:numFmt w:val="lowerRoman"/>
      <w:pStyle w:val="7"/>
      <w:lvlText w:val="(%4)"/>
      <w:lvlJc w:val="right"/>
      <w:pPr>
        <w:tabs>
          <w:tab w:val="left" w:pos="864"/>
        </w:tabs>
        <w:ind w:left="864" w:hanging="144"/>
      </w:pPr>
      <w:rPr>
        <w:rFonts w:cs="Times New Roman"/>
      </w:rPr>
    </w:lvl>
    <w:lvl w:ilvl="4" w:tentative="0">
      <w:start w:val="1"/>
      <w:numFmt w:val="decimal"/>
      <w:lvlText w:val="%5)"/>
      <w:lvlJc w:val="left"/>
      <w:pPr>
        <w:tabs>
          <w:tab w:val="left" w:pos="1008"/>
        </w:tabs>
        <w:ind w:left="1008" w:hanging="432"/>
      </w:pPr>
      <w:rPr>
        <w:rFonts w:cs="Times New Roman"/>
      </w:rPr>
    </w:lvl>
    <w:lvl w:ilvl="5" w:tentative="0">
      <w:start w:val="1"/>
      <w:numFmt w:val="lowerLetter"/>
      <w:lvlText w:val="%6)"/>
      <w:lvlJc w:val="left"/>
      <w:pPr>
        <w:tabs>
          <w:tab w:val="left" w:pos="1152"/>
        </w:tabs>
        <w:ind w:left="1152" w:hanging="432"/>
      </w:pPr>
      <w:rPr>
        <w:rFonts w:cs="Times New Roman"/>
      </w:rPr>
    </w:lvl>
    <w:lvl w:ilvl="6" w:tentative="0">
      <w:start w:val="1"/>
      <w:numFmt w:val="lowerRoman"/>
      <w:lvlText w:val="%7)"/>
      <w:lvlJc w:val="right"/>
      <w:pPr>
        <w:tabs>
          <w:tab w:val="left" w:pos="1296"/>
        </w:tabs>
        <w:ind w:left="1296" w:hanging="288"/>
      </w:pPr>
      <w:rPr>
        <w:rFonts w:cs="Times New Roman"/>
      </w:rPr>
    </w:lvl>
    <w:lvl w:ilvl="7" w:tentative="0">
      <w:start w:val="1"/>
      <w:numFmt w:val="lowerLetter"/>
      <w:lvlText w:val="%8."/>
      <w:lvlJc w:val="left"/>
      <w:pPr>
        <w:tabs>
          <w:tab w:val="left" w:pos="1440"/>
        </w:tabs>
        <w:ind w:left="1440" w:hanging="432"/>
      </w:pPr>
      <w:rPr>
        <w:rFonts w:cs="Times New Roman"/>
      </w:rPr>
    </w:lvl>
    <w:lvl w:ilvl="8" w:tentative="0">
      <w:start w:val="1"/>
      <w:numFmt w:val="lowerRoman"/>
      <w:lvlText w:val="%9."/>
      <w:lvlJc w:val="right"/>
      <w:pPr>
        <w:tabs>
          <w:tab w:val="left" w:pos="1584"/>
        </w:tabs>
        <w:ind w:left="1584" w:hanging="144"/>
      </w:pPr>
      <w:rPr>
        <w:rFonts w:cs="Times New Roman"/>
      </w:rPr>
    </w:lvl>
  </w:abstractNum>
  <w:abstractNum w:abstractNumId="7">
    <w:nsid w:val="28CE187C"/>
    <w:multiLevelType w:val="singleLevel"/>
    <w:tmpl w:val="28CE187C"/>
    <w:lvl w:ilvl="0" w:tentative="0">
      <w:start w:val="1"/>
      <w:numFmt w:val="russianLower"/>
      <w:pStyle w:val="71"/>
      <w:lvlText w:val="%1)"/>
      <w:lvlJc w:val="left"/>
      <w:pPr>
        <w:tabs>
          <w:tab w:val="left" w:pos="785"/>
        </w:tabs>
        <w:ind w:left="785" w:hanging="360"/>
      </w:pPr>
      <w:rPr>
        <w:rFonts w:hint="default" w:ascii="Times New Roman" w:hAnsi="Times New Roman" w:cs="Times New Roman"/>
        <w:b w:val="0"/>
        <w:bCs w:val="0"/>
        <w:i w:val="0"/>
        <w:iCs w:val="0"/>
        <w:caps w:val="0"/>
        <w:smallCaps w:val="0"/>
        <w:strike w:val="0"/>
        <w:dstrike w:val="0"/>
        <w:snapToGrid w:val="0"/>
        <w:vanish w:val="0"/>
        <w:color w:val="000000"/>
        <w:spacing w:val="0"/>
        <w:w w:val="0"/>
        <w:kern w:val="0"/>
        <w:position w:val="0"/>
        <w:sz w:val="2"/>
        <w:szCs w:val="24"/>
        <w:u w:val="none"/>
        <w:vertAlign w:val="baseline"/>
      </w:rPr>
    </w:lvl>
  </w:abstractNum>
  <w:abstractNum w:abstractNumId="8">
    <w:nsid w:val="29822D05"/>
    <w:multiLevelType w:val="multilevel"/>
    <w:tmpl w:val="29822D05"/>
    <w:lvl w:ilvl="0" w:tentative="0">
      <w:start w:val="2"/>
      <w:numFmt w:val="decimal"/>
      <w:lvlText w:val="%1"/>
      <w:lvlJc w:val="left"/>
      <w:pPr>
        <w:ind w:left="390" w:hanging="390"/>
      </w:pPr>
      <w:rPr>
        <w:rFonts w:hint="default" w:cs="Times New Roman"/>
      </w:rPr>
    </w:lvl>
    <w:lvl w:ilvl="1" w:tentative="0">
      <w:start w:val="1"/>
      <w:numFmt w:val="decimal"/>
      <w:pStyle w:val="92"/>
      <w:lvlText w:val="%1.%2"/>
      <w:lvlJc w:val="left"/>
      <w:pPr>
        <w:ind w:left="720" w:hanging="720"/>
      </w:pPr>
      <w:rPr>
        <w:rFonts w:hint="default" w:cs="Times New Roman"/>
      </w:rPr>
    </w:lvl>
    <w:lvl w:ilvl="2" w:tentative="0">
      <w:start w:val="1"/>
      <w:numFmt w:val="decimal"/>
      <w:lvlText w:val="%1.%2.%3"/>
      <w:lvlJc w:val="left"/>
      <w:pPr>
        <w:ind w:left="720" w:hanging="720"/>
      </w:pPr>
      <w:rPr>
        <w:rFonts w:hint="default" w:cs="Times New Roman"/>
      </w:rPr>
    </w:lvl>
    <w:lvl w:ilvl="3" w:tentative="0">
      <w:start w:val="1"/>
      <w:numFmt w:val="decimal"/>
      <w:lvlText w:val="%1.%2.%3.%4"/>
      <w:lvlJc w:val="left"/>
      <w:pPr>
        <w:ind w:left="1080" w:hanging="1080"/>
      </w:pPr>
      <w:rPr>
        <w:rFonts w:hint="default" w:cs="Times New Roman"/>
      </w:rPr>
    </w:lvl>
    <w:lvl w:ilvl="4" w:tentative="0">
      <w:start w:val="1"/>
      <w:numFmt w:val="decimal"/>
      <w:lvlText w:val="%1.%2.%3.%4.%5"/>
      <w:lvlJc w:val="left"/>
      <w:pPr>
        <w:ind w:left="1440" w:hanging="1440"/>
      </w:pPr>
      <w:rPr>
        <w:rFonts w:hint="default" w:cs="Times New Roman"/>
      </w:rPr>
    </w:lvl>
    <w:lvl w:ilvl="5" w:tentative="0">
      <w:start w:val="1"/>
      <w:numFmt w:val="decimal"/>
      <w:lvlText w:val="%1.%2.%3.%4.%5.%6"/>
      <w:lvlJc w:val="left"/>
      <w:pPr>
        <w:ind w:left="1440" w:hanging="1440"/>
      </w:pPr>
      <w:rPr>
        <w:rFonts w:hint="default" w:cs="Times New Roman"/>
      </w:rPr>
    </w:lvl>
    <w:lvl w:ilvl="6" w:tentative="0">
      <w:start w:val="1"/>
      <w:numFmt w:val="decimal"/>
      <w:lvlText w:val="%1.%2.%3.%4.%5.%6.%7"/>
      <w:lvlJc w:val="left"/>
      <w:pPr>
        <w:ind w:left="1800" w:hanging="1800"/>
      </w:pPr>
      <w:rPr>
        <w:rFonts w:hint="default" w:cs="Times New Roman"/>
      </w:rPr>
    </w:lvl>
    <w:lvl w:ilvl="7" w:tentative="0">
      <w:start w:val="1"/>
      <w:numFmt w:val="decimal"/>
      <w:lvlText w:val="%1.%2.%3.%4.%5.%6.%7.%8"/>
      <w:lvlJc w:val="left"/>
      <w:pPr>
        <w:ind w:left="1800" w:hanging="1800"/>
      </w:pPr>
      <w:rPr>
        <w:rFonts w:hint="default" w:cs="Times New Roman"/>
      </w:rPr>
    </w:lvl>
    <w:lvl w:ilvl="8" w:tentative="0">
      <w:start w:val="1"/>
      <w:numFmt w:val="decimal"/>
      <w:lvlText w:val="%1.%2.%3.%4.%5.%6.%7.%8.%9"/>
      <w:lvlJc w:val="left"/>
      <w:pPr>
        <w:ind w:left="2160" w:hanging="2160"/>
      </w:pPr>
      <w:rPr>
        <w:rFonts w:hint="default" w:cs="Times New Roman"/>
      </w:rPr>
    </w:lvl>
  </w:abstractNum>
  <w:abstractNum w:abstractNumId="9">
    <w:nsid w:val="29D32CFD"/>
    <w:multiLevelType w:val="multilevel"/>
    <w:tmpl w:val="29D32CFD"/>
    <w:lvl w:ilvl="0" w:tentative="0">
      <w:start w:val="1"/>
      <w:numFmt w:val="decimal"/>
      <w:lvlText w:val="%1)"/>
      <w:lvlJc w:val="left"/>
      <w:pPr>
        <w:ind w:left="1429" w:hanging="360"/>
      </w:pPr>
      <w:rPr>
        <w:rFonts w:cs="Times New Roman"/>
      </w:rPr>
    </w:lvl>
    <w:lvl w:ilvl="1" w:tentative="0">
      <w:start w:val="1"/>
      <w:numFmt w:val="lowerLetter"/>
      <w:lvlText w:val="%2."/>
      <w:lvlJc w:val="left"/>
      <w:pPr>
        <w:ind w:left="2149" w:hanging="360"/>
      </w:pPr>
      <w:rPr>
        <w:rFonts w:cs="Times New Roman"/>
      </w:rPr>
    </w:lvl>
    <w:lvl w:ilvl="2" w:tentative="0">
      <w:start w:val="1"/>
      <w:numFmt w:val="lowerRoman"/>
      <w:lvlText w:val="%3."/>
      <w:lvlJc w:val="right"/>
      <w:pPr>
        <w:ind w:left="2869" w:hanging="180"/>
      </w:pPr>
      <w:rPr>
        <w:rFonts w:cs="Times New Roman"/>
      </w:rPr>
    </w:lvl>
    <w:lvl w:ilvl="3" w:tentative="0">
      <w:start w:val="1"/>
      <w:numFmt w:val="decimal"/>
      <w:lvlText w:val="%4."/>
      <w:lvlJc w:val="left"/>
      <w:pPr>
        <w:ind w:left="3589" w:hanging="360"/>
      </w:pPr>
      <w:rPr>
        <w:rFonts w:cs="Times New Roman"/>
      </w:rPr>
    </w:lvl>
    <w:lvl w:ilvl="4" w:tentative="0">
      <w:start w:val="1"/>
      <w:numFmt w:val="lowerLetter"/>
      <w:lvlText w:val="%5."/>
      <w:lvlJc w:val="left"/>
      <w:pPr>
        <w:ind w:left="4309" w:hanging="360"/>
      </w:pPr>
      <w:rPr>
        <w:rFonts w:cs="Times New Roman"/>
      </w:rPr>
    </w:lvl>
    <w:lvl w:ilvl="5" w:tentative="0">
      <w:start w:val="1"/>
      <w:numFmt w:val="lowerRoman"/>
      <w:lvlText w:val="%6."/>
      <w:lvlJc w:val="right"/>
      <w:pPr>
        <w:ind w:left="5029" w:hanging="180"/>
      </w:pPr>
      <w:rPr>
        <w:rFonts w:cs="Times New Roman"/>
      </w:rPr>
    </w:lvl>
    <w:lvl w:ilvl="6" w:tentative="0">
      <w:start w:val="1"/>
      <w:numFmt w:val="decimal"/>
      <w:lvlText w:val="%7."/>
      <w:lvlJc w:val="left"/>
      <w:pPr>
        <w:ind w:left="5749" w:hanging="360"/>
      </w:pPr>
      <w:rPr>
        <w:rFonts w:cs="Times New Roman"/>
      </w:rPr>
    </w:lvl>
    <w:lvl w:ilvl="7" w:tentative="0">
      <w:start w:val="1"/>
      <w:numFmt w:val="lowerLetter"/>
      <w:lvlText w:val="%8."/>
      <w:lvlJc w:val="left"/>
      <w:pPr>
        <w:ind w:left="6469" w:hanging="360"/>
      </w:pPr>
      <w:rPr>
        <w:rFonts w:cs="Times New Roman"/>
      </w:rPr>
    </w:lvl>
    <w:lvl w:ilvl="8" w:tentative="0">
      <w:start w:val="1"/>
      <w:numFmt w:val="lowerRoman"/>
      <w:lvlText w:val="%9."/>
      <w:lvlJc w:val="right"/>
      <w:pPr>
        <w:ind w:left="7189" w:hanging="180"/>
      </w:pPr>
      <w:rPr>
        <w:rFonts w:cs="Times New Roman"/>
      </w:rPr>
    </w:lvl>
  </w:abstractNum>
  <w:abstractNum w:abstractNumId="10">
    <w:nsid w:val="2B372732"/>
    <w:multiLevelType w:val="multilevel"/>
    <w:tmpl w:val="2B372732"/>
    <w:lvl w:ilvl="0" w:tentative="0">
      <w:start w:val="8"/>
      <w:numFmt w:val="decimal"/>
      <w:lvlText w:val="%1"/>
      <w:lvlJc w:val="left"/>
      <w:pPr>
        <w:ind w:left="480" w:hanging="480"/>
      </w:pPr>
      <w:rPr>
        <w:rFonts w:hint="default" w:cs="Times New Roman"/>
      </w:rPr>
    </w:lvl>
    <w:lvl w:ilvl="1" w:tentative="0">
      <w:start w:val="2"/>
      <w:numFmt w:val="decimal"/>
      <w:lvlText w:val="%1.%2"/>
      <w:lvlJc w:val="left"/>
      <w:pPr>
        <w:ind w:left="480" w:hanging="480"/>
      </w:pPr>
      <w:rPr>
        <w:rFonts w:hint="default" w:cs="Times New Roman"/>
      </w:rPr>
    </w:lvl>
    <w:lvl w:ilvl="2" w:tentative="0">
      <w:start w:val="1"/>
      <w:numFmt w:val="decimal"/>
      <w:lvlText w:val="%1.%2.%3"/>
      <w:lvlJc w:val="left"/>
      <w:pPr>
        <w:ind w:left="720" w:hanging="720"/>
      </w:pPr>
      <w:rPr>
        <w:rFonts w:hint="default" w:cs="Times New Roman"/>
      </w:rPr>
    </w:lvl>
    <w:lvl w:ilvl="3" w:tentative="0">
      <w:start w:val="1"/>
      <w:numFmt w:val="decimal"/>
      <w:lvlText w:val="%1.%2.%3.%4"/>
      <w:lvlJc w:val="left"/>
      <w:pPr>
        <w:ind w:left="720" w:hanging="720"/>
      </w:pPr>
      <w:rPr>
        <w:rFonts w:hint="default" w:cs="Times New Roman"/>
      </w:rPr>
    </w:lvl>
    <w:lvl w:ilvl="4" w:tentative="0">
      <w:start w:val="1"/>
      <w:numFmt w:val="decimal"/>
      <w:lvlText w:val="%1.%2.%3.%4.%5"/>
      <w:lvlJc w:val="left"/>
      <w:pPr>
        <w:ind w:left="1080" w:hanging="1080"/>
      </w:pPr>
      <w:rPr>
        <w:rFonts w:hint="default" w:cs="Times New Roman"/>
      </w:rPr>
    </w:lvl>
    <w:lvl w:ilvl="5" w:tentative="0">
      <w:start w:val="1"/>
      <w:numFmt w:val="decimal"/>
      <w:lvlText w:val="%1.%2.%3.%4.%5.%6"/>
      <w:lvlJc w:val="left"/>
      <w:pPr>
        <w:ind w:left="1080" w:hanging="1080"/>
      </w:pPr>
      <w:rPr>
        <w:rFonts w:hint="default" w:cs="Times New Roman"/>
      </w:rPr>
    </w:lvl>
    <w:lvl w:ilvl="6" w:tentative="0">
      <w:start w:val="1"/>
      <w:numFmt w:val="decimal"/>
      <w:lvlText w:val="%1.%2.%3.%4.%5.%6.%7"/>
      <w:lvlJc w:val="left"/>
      <w:pPr>
        <w:ind w:left="1440" w:hanging="1440"/>
      </w:pPr>
      <w:rPr>
        <w:rFonts w:hint="default" w:cs="Times New Roman"/>
      </w:rPr>
    </w:lvl>
    <w:lvl w:ilvl="7" w:tentative="0">
      <w:start w:val="1"/>
      <w:numFmt w:val="decimal"/>
      <w:lvlText w:val="%1.%2.%3.%4.%5.%6.%7.%8"/>
      <w:lvlJc w:val="left"/>
      <w:pPr>
        <w:ind w:left="1440" w:hanging="1440"/>
      </w:pPr>
      <w:rPr>
        <w:rFonts w:hint="default" w:cs="Times New Roman"/>
      </w:rPr>
    </w:lvl>
    <w:lvl w:ilvl="8" w:tentative="0">
      <w:start w:val="1"/>
      <w:numFmt w:val="decimal"/>
      <w:lvlText w:val="%1.%2.%3.%4.%5.%6.%7.%8.%9"/>
      <w:lvlJc w:val="left"/>
      <w:pPr>
        <w:ind w:left="1800" w:hanging="1800"/>
      </w:pPr>
      <w:rPr>
        <w:rFonts w:hint="default" w:cs="Times New Roman"/>
      </w:rPr>
    </w:lvl>
  </w:abstractNum>
  <w:abstractNum w:abstractNumId="11">
    <w:nsid w:val="2B842D44"/>
    <w:multiLevelType w:val="multilevel"/>
    <w:tmpl w:val="2B842D44"/>
    <w:lvl w:ilvl="0" w:tentative="0">
      <w:start w:val="7"/>
      <w:numFmt w:val="decimal"/>
      <w:lvlText w:val="%1."/>
      <w:lvlJc w:val="left"/>
      <w:pPr>
        <w:ind w:left="540" w:hanging="540"/>
      </w:pPr>
      <w:rPr>
        <w:rFonts w:hint="default" w:cs="Times New Roman"/>
      </w:rPr>
    </w:lvl>
    <w:lvl w:ilvl="1" w:tentative="0">
      <w:start w:val="2"/>
      <w:numFmt w:val="decimal"/>
      <w:lvlText w:val="%1.%2."/>
      <w:lvlJc w:val="left"/>
      <w:pPr>
        <w:ind w:left="611" w:hanging="540"/>
      </w:pPr>
      <w:rPr>
        <w:rFonts w:hint="default" w:cs="Times New Roman"/>
      </w:rPr>
    </w:lvl>
    <w:lvl w:ilvl="2" w:tentative="0">
      <w:start w:val="2"/>
      <w:numFmt w:val="decimal"/>
      <w:lvlText w:val="%1.%2.%3."/>
      <w:lvlJc w:val="left"/>
      <w:pPr>
        <w:ind w:left="862" w:hanging="720"/>
      </w:pPr>
      <w:rPr>
        <w:rFonts w:hint="default" w:cs="Times New Roman"/>
      </w:rPr>
    </w:lvl>
    <w:lvl w:ilvl="3" w:tentative="0">
      <w:start w:val="1"/>
      <w:numFmt w:val="decimal"/>
      <w:lvlText w:val="%1.%2.%3.%4."/>
      <w:lvlJc w:val="left"/>
      <w:pPr>
        <w:ind w:left="933" w:hanging="720"/>
      </w:pPr>
      <w:rPr>
        <w:rFonts w:hint="default" w:cs="Times New Roman"/>
      </w:rPr>
    </w:lvl>
    <w:lvl w:ilvl="4" w:tentative="0">
      <w:start w:val="1"/>
      <w:numFmt w:val="decimal"/>
      <w:lvlText w:val="%1.%2.%3.%4.%5."/>
      <w:lvlJc w:val="left"/>
      <w:pPr>
        <w:ind w:left="1364" w:hanging="1080"/>
      </w:pPr>
      <w:rPr>
        <w:rFonts w:hint="default" w:cs="Times New Roman"/>
      </w:rPr>
    </w:lvl>
    <w:lvl w:ilvl="5" w:tentative="0">
      <w:start w:val="1"/>
      <w:numFmt w:val="decimal"/>
      <w:lvlText w:val="%1.%2.%3.%4.%5.%6."/>
      <w:lvlJc w:val="left"/>
      <w:pPr>
        <w:ind w:left="1435" w:hanging="1080"/>
      </w:pPr>
      <w:rPr>
        <w:rFonts w:hint="default" w:cs="Times New Roman"/>
      </w:rPr>
    </w:lvl>
    <w:lvl w:ilvl="6" w:tentative="0">
      <w:start w:val="1"/>
      <w:numFmt w:val="decimal"/>
      <w:lvlText w:val="%1.%2.%3.%4.%5.%6.%7."/>
      <w:lvlJc w:val="left"/>
      <w:pPr>
        <w:ind w:left="1866" w:hanging="1440"/>
      </w:pPr>
      <w:rPr>
        <w:rFonts w:hint="default" w:cs="Times New Roman"/>
      </w:rPr>
    </w:lvl>
    <w:lvl w:ilvl="7" w:tentative="0">
      <w:start w:val="1"/>
      <w:numFmt w:val="decimal"/>
      <w:lvlText w:val="%1.%2.%3.%4.%5.%6.%7.%8."/>
      <w:lvlJc w:val="left"/>
      <w:pPr>
        <w:ind w:left="1937" w:hanging="1440"/>
      </w:pPr>
      <w:rPr>
        <w:rFonts w:hint="default" w:cs="Times New Roman"/>
      </w:rPr>
    </w:lvl>
    <w:lvl w:ilvl="8" w:tentative="0">
      <w:start w:val="1"/>
      <w:numFmt w:val="decimal"/>
      <w:lvlText w:val="%1.%2.%3.%4.%5.%6.%7.%8.%9."/>
      <w:lvlJc w:val="left"/>
      <w:pPr>
        <w:ind w:left="2368" w:hanging="1800"/>
      </w:pPr>
      <w:rPr>
        <w:rFonts w:hint="default" w:cs="Times New Roman"/>
      </w:rPr>
    </w:lvl>
  </w:abstractNum>
  <w:abstractNum w:abstractNumId="12">
    <w:nsid w:val="2DB00721"/>
    <w:multiLevelType w:val="multilevel"/>
    <w:tmpl w:val="2DB00721"/>
    <w:lvl w:ilvl="0" w:tentative="0">
      <w:start w:val="3"/>
      <w:numFmt w:val="decimal"/>
      <w:lvlText w:val="%1."/>
      <w:lvlJc w:val="left"/>
      <w:pPr>
        <w:ind w:left="360" w:hanging="360"/>
      </w:pPr>
      <w:rPr>
        <w:rFonts w:hint="default" w:cs="Times New Roman"/>
      </w:rPr>
    </w:lvl>
    <w:lvl w:ilvl="1" w:tentative="0">
      <w:start w:val="1"/>
      <w:numFmt w:val="decimal"/>
      <w:lvlText w:val="%1.%2."/>
      <w:lvlJc w:val="left"/>
      <w:pPr>
        <w:ind w:left="360" w:hanging="360"/>
      </w:pPr>
      <w:rPr>
        <w:rFonts w:hint="default" w:cs="Times New Roman"/>
      </w:rPr>
    </w:lvl>
    <w:lvl w:ilvl="2" w:tentative="0">
      <w:start w:val="1"/>
      <w:numFmt w:val="decimal"/>
      <w:lvlText w:val="%1.%2.%3."/>
      <w:lvlJc w:val="left"/>
      <w:pPr>
        <w:ind w:left="720" w:hanging="720"/>
      </w:pPr>
      <w:rPr>
        <w:rFonts w:hint="default" w:cs="Times New Roman"/>
      </w:rPr>
    </w:lvl>
    <w:lvl w:ilvl="3" w:tentative="0">
      <w:start w:val="1"/>
      <w:numFmt w:val="decimal"/>
      <w:lvlText w:val="%1.%2.%3.%4."/>
      <w:lvlJc w:val="left"/>
      <w:pPr>
        <w:ind w:left="720" w:hanging="720"/>
      </w:pPr>
      <w:rPr>
        <w:rFonts w:hint="default" w:cs="Times New Roman"/>
      </w:rPr>
    </w:lvl>
    <w:lvl w:ilvl="4" w:tentative="0">
      <w:start w:val="1"/>
      <w:numFmt w:val="decimal"/>
      <w:lvlText w:val="%1.%2.%3.%4.%5."/>
      <w:lvlJc w:val="left"/>
      <w:pPr>
        <w:ind w:left="1080" w:hanging="1080"/>
      </w:pPr>
      <w:rPr>
        <w:rFonts w:hint="default" w:cs="Times New Roman"/>
      </w:rPr>
    </w:lvl>
    <w:lvl w:ilvl="5" w:tentative="0">
      <w:start w:val="1"/>
      <w:numFmt w:val="decimal"/>
      <w:lvlText w:val="%1.%2.%3.%4.%5.%6."/>
      <w:lvlJc w:val="left"/>
      <w:pPr>
        <w:ind w:left="1080" w:hanging="1080"/>
      </w:pPr>
      <w:rPr>
        <w:rFonts w:hint="default" w:cs="Times New Roman"/>
      </w:rPr>
    </w:lvl>
    <w:lvl w:ilvl="6" w:tentative="0">
      <w:start w:val="1"/>
      <w:numFmt w:val="decimal"/>
      <w:lvlText w:val="%1.%2.%3.%4.%5.%6.%7."/>
      <w:lvlJc w:val="left"/>
      <w:pPr>
        <w:ind w:left="1440" w:hanging="1440"/>
      </w:pPr>
      <w:rPr>
        <w:rFonts w:hint="default" w:cs="Times New Roman"/>
      </w:rPr>
    </w:lvl>
    <w:lvl w:ilvl="7" w:tentative="0">
      <w:start w:val="1"/>
      <w:numFmt w:val="decimal"/>
      <w:lvlText w:val="%1.%2.%3.%4.%5.%6.%7.%8."/>
      <w:lvlJc w:val="left"/>
      <w:pPr>
        <w:ind w:left="1440" w:hanging="1440"/>
      </w:pPr>
      <w:rPr>
        <w:rFonts w:hint="default" w:cs="Times New Roman"/>
      </w:rPr>
    </w:lvl>
    <w:lvl w:ilvl="8" w:tentative="0">
      <w:start w:val="1"/>
      <w:numFmt w:val="decimal"/>
      <w:lvlText w:val="%1.%2.%3.%4.%5.%6.%7.%8.%9."/>
      <w:lvlJc w:val="left"/>
      <w:pPr>
        <w:ind w:left="1800" w:hanging="1800"/>
      </w:pPr>
      <w:rPr>
        <w:rFonts w:hint="default" w:cs="Times New Roman"/>
      </w:rPr>
    </w:lvl>
  </w:abstractNum>
  <w:abstractNum w:abstractNumId="13">
    <w:nsid w:val="341C5868"/>
    <w:multiLevelType w:val="multilevel"/>
    <w:tmpl w:val="341C5868"/>
    <w:lvl w:ilvl="0" w:tentative="0">
      <w:start w:val="1"/>
      <w:numFmt w:val="decimal"/>
      <w:lvlText w:val="%1."/>
      <w:lvlJc w:val="left"/>
      <w:pPr>
        <w:ind w:left="371" w:hanging="360"/>
      </w:pPr>
      <w:rPr>
        <w:rFonts w:hint="default"/>
        <w:b/>
        <w:color w:val="auto"/>
      </w:rPr>
    </w:lvl>
    <w:lvl w:ilvl="1" w:tentative="0">
      <w:start w:val="1"/>
      <w:numFmt w:val="lowerLetter"/>
      <w:lvlText w:val="%2."/>
      <w:lvlJc w:val="left"/>
      <w:pPr>
        <w:ind w:left="1091" w:hanging="360"/>
      </w:pPr>
    </w:lvl>
    <w:lvl w:ilvl="2" w:tentative="0">
      <w:start w:val="1"/>
      <w:numFmt w:val="lowerRoman"/>
      <w:lvlText w:val="%3."/>
      <w:lvlJc w:val="right"/>
      <w:pPr>
        <w:ind w:left="1811" w:hanging="180"/>
      </w:pPr>
    </w:lvl>
    <w:lvl w:ilvl="3" w:tentative="0">
      <w:start w:val="1"/>
      <w:numFmt w:val="decimal"/>
      <w:lvlText w:val="%4."/>
      <w:lvlJc w:val="left"/>
      <w:pPr>
        <w:ind w:left="2531" w:hanging="360"/>
      </w:pPr>
    </w:lvl>
    <w:lvl w:ilvl="4" w:tentative="0">
      <w:start w:val="1"/>
      <w:numFmt w:val="lowerLetter"/>
      <w:lvlText w:val="%5."/>
      <w:lvlJc w:val="left"/>
      <w:pPr>
        <w:ind w:left="3251" w:hanging="360"/>
      </w:pPr>
    </w:lvl>
    <w:lvl w:ilvl="5" w:tentative="0">
      <w:start w:val="1"/>
      <w:numFmt w:val="lowerRoman"/>
      <w:lvlText w:val="%6."/>
      <w:lvlJc w:val="right"/>
      <w:pPr>
        <w:ind w:left="3971" w:hanging="180"/>
      </w:pPr>
    </w:lvl>
    <w:lvl w:ilvl="6" w:tentative="0">
      <w:start w:val="1"/>
      <w:numFmt w:val="decimal"/>
      <w:lvlText w:val="%7."/>
      <w:lvlJc w:val="left"/>
      <w:pPr>
        <w:ind w:left="4691" w:hanging="360"/>
      </w:pPr>
    </w:lvl>
    <w:lvl w:ilvl="7" w:tentative="0">
      <w:start w:val="1"/>
      <w:numFmt w:val="lowerLetter"/>
      <w:lvlText w:val="%8."/>
      <w:lvlJc w:val="left"/>
      <w:pPr>
        <w:ind w:left="5411" w:hanging="360"/>
      </w:pPr>
    </w:lvl>
    <w:lvl w:ilvl="8" w:tentative="0">
      <w:start w:val="1"/>
      <w:numFmt w:val="lowerRoman"/>
      <w:lvlText w:val="%9."/>
      <w:lvlJc w:val="right"/>
      <w:pPr>
        <w:ind w:left="6131" w:hanging="180"/>
      </w:pPr>
    </w:lvl>
  </w:abstractNum>
  <w:abstractNum w:abstractNumId="14">
    <w:nsid w:val="39D30CCA"/>
    <w:multiLevelType w:val="multilevel"/>
    <w:tmpl w:val="39D30CCA"/>
    <w:lvl w:ilvl="0" w:tentative="0">
      <w:start w:val="8"/>
      <w:numFmt w:val="decimal"/>
      <w:lvlText w:val="%1."/>
      <w:lvlJc w:val="left"/>
      <w:pPr>
        <w:ind w:left="360" w:hanging="360"/>
      </w:pPr>
      <w:rPr>
        <w:rFonts w:hint="default" w:cs="Times New Roman"/>
      </w:rPr>
    </w:lvl>
    <w:lvl w:ilvl="1" w:tentative="0">
      <w:start w:val="1"/>
      <w:numFmt w:val="decimal"/>
      <w:lvlText w:val="%1.%2."/>
      <w:lvlJc w:val="left"/>
      <w:pPr>
        <w:ind w:left="431" w:hanging="360"/>
      </w:pPr>
      <w:rPr>
        <w:rFonts w:hint="default" w:cs="Times New Roman"/>
      </w:rPr>
    </w:lvl>
    <w:lvl w:ilvl="2" w:tentative="0">
      <w:start w:val="1"/>
      <w:numFmt w:val="decimal"/>
      <w:lvlText w:val="%1.%2.%3."/>
      <w:lvlJc w:val="left"/>
      <w:pPr>
        <w:ind w:left="862" w:hanging="720"/>
      </w:pPr>
      <w:rPr>
        <w:rFonts w:hint="default" w:cs="Times New Roman"/>
      </w:rPr>
    </w:lvl>
    <w:lvl w:ilvl="3" w:tentative="0">
      <w:start w:val="1"/>
      <w:numFmt w:val="decimal"/>
      <w:lvlText w:val="%1.%2.%3.%4."/>
      <w:lvlJc w:val="left"/>
      <w:pPr>
        <w:ind w:left="933" w:hanging="720"/>
      </w:pPr>
      <w:rPr>
        <w:rFonts w:hint="default" w:cs="Times New Roman"/>
      </w:rPr>
    </w:lvl>
    <w:lvl w:ilvl="4" w:tentative="0">
      <w:start w:val="1"/>
      <w:numFmt w:val="decimal"/>
      <w:lvlText w:val="%1.%2.%3.%4.%5."/>
      <w:lvlJc w:val="left"/>
      <w:pPr>
        <w:ind w:left="1364" w:hanging="1080"/>
      </w:pPr>
      <w:rPr>
        <w:rFonts w:hint="default" w:cs="Times New Roman"/>
      </w:rPr>
    </w:lvl>
    <w:lvl w:ilvl="5" w:tentative="0">
      <w:start w:val="1"/>
      <w:numFmt w:val="decimal"/>
      <w:lvlText w:val="%1.%2.%3.%4.%5.%6."/>
      <w:lvlJc w:val="left"/>
      <w:pPr>
        <w:ind w:left="1435" w:hanging="1080"/>
      </w:pPr>
      <w:rPr>
        <w:rFonts w:hint="default" w:cs="Times New Roman"/>
      </w:rPr>
    </w:lvl>
    <w:lvl w:ilvl="6" w:tentative="0">
      <w:start w:val="1"/>
      <w:numFmt w:val="decimal"/>
      <w:lvlText w:val="%1.%2.%3.%4.%5.%6.%7."/>
      <w:lvlJc w:val="left"/>
      <w:pPr>
        <w:ind w:left="1866" w:hanging="1440"/>
      </w:pPr>
      <w:rPr>
        <w:rFonts w:hint="default" w:cs="Times New Roman"/>
      </w:rPr>
    </w:lvl>
    <w:lvl w:ilvl="7" w:tentative="0">
      <w:start w:val="1"/>
      <w:numFmt w:val="decimal"/>
      <w:lvlText w:val="%1.%2.%3.%4.%5.%6.%7.%8."/>
      <w:lvlJc w:val="left"/>
      <w:pPr>
        <w:ind w:left="1937" w:hanging="1440"/>
      </w:pPr>
      <w:rPr>
        <w:rFonts w:hint="default" w:cs="Times New Roman"/>
      </w:rPr>
    </w:lvl>
    <w:lvl w:ilvl="8" w:tentative="0">
      <w:start w:val="1"/>
      <w:numFmt w:val="decimal"/>
      <w:lvlText w:val="%1.%2.%3.%4.%5.%6.%7.%8.%9."/>
      <w:lvlJc w:val="left"/>
      <w:pPr>
        <w:ind w:left="2368" w:hanging="1800"/>
      </w:pPr>
      <w:rPr>
        <w:rFonts w:hint="default" w:cs="Times New Roman"/>
      </w:rPr>
    </w:lvl>
  </w:abstractNum>
  <w:abstractNum w:abstractNumId="15">
    <w:nsid w:val="3A480961"/>
    <w:multiLevelType w:val="multilevel"/>
    <w:tmpl w:val="3A480961"/>
    <w:lvl w:ilvl="0" w:tentative="0">
      <w:start w:val="1"/>
      <w:numFmt w:val="bullet"/>
      <w:lvlText w:val=""/>
      <w:lvlJc w:val="left"/>
      <w:pPr>
        <w:ind w:left="1211"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16">
    <w:nsid w:val="441E7958"/>
    <w:multiLevelType w:val="multilevel"/>
    <w:tmpl w:val="441E7958"/>
    <w:lvl w:ilvl="0" w:tentative="0">
      <w:start w:val="4"/>
      <w:numFmt w:val="decimal"/>
      <w:lvlText w:val="%1."/>
      <w:lvlJc w:val="left"/>
      <w:pPr>
        <w:ind w:left="705" w:hanging="705"/>
      </w:pPr>
      <w:rPr>
        <w:rFonts w:hint="default" w:cs="Times New Roman"/>
      </w:rPr>
    </w:lvl>
    <w:lvl w:ilvl="1" w:tentative="0">
      <w:start w:val="1"/>
      <w:numFmt w:val="decimal"/>
      <w:lvlText w:val="%1.%2."/>
      <w:lvlJc w:val="left"/>
      <w:pPr>
        <w:ind w:left="705" w:hanging="705"/>
      </w:pPr>
      <w:rPr>
        <w:rFonts w:hint="default" w:cs="Times New Roman"/>
      </w:rPr>
    </w:lvl>
    <w:lvl w:ilvl="2" w:tentative="0">
      <w:start w:val="5"/>
      <w:numFmt w:val="decimal"/>
      <w:lvlText w:val="%1.%2.%3."/>
      <w:lvlJc w:val="left"/>
      <w:pPr>
        <w:ind w:left="720" w:hanging="720"/>
      </w:pPr>
      <w:rPr>
        <w:rFonts w:hint="default" w:cs="Times New Roman"/>
      </w:rPr>
    </w:lvl>
    <w:lvl w:ilvl="3" w:tentative="0">
      <w:start w:val="4"/>
      <w:numFmt w:val="decimal"/>
      <w:lvlText w:val="%1.%2.%3.%4."/>
      <w:lvlJc w:val="left"/>
      <w:pPr>
        <w:ind w:left="720" w:hanging="720"/>
      </w:pPr>
      <w:rPr>
        <w:rFonts w:hint="default" w:cs="Times New Roman"/>
      </w:rPr>
    </w:lvl>
    <w:lvl w:ilvl="4" w:tentative="0">
      <w:start w:val="1"/>
      <w:numFmt w:val="decimal"/>
      <w:lvlText w:val="%1.%2.%3.%4.%5."/>
      <w:lvlJc w:val="left"/>
      <w:pPr>
        <w:ind w:left="1080" w:hanging="1080"/>
      </w:pPr>
      <w:rPr>
        <w:rFonts w:hint="default" w:cs="Times New Roman"/>
      </w:rPr>
    </w:lvl>
    <w:lvl w:ilvl="5" w:tentative="0">
      <w:start w:val="1"/>
      <w:numFmt w:val="decimal"/>
      <w:lvlText w:val="%1.%2.%3.%4.%5.%6."/>
      <w:lvlJc w:val="left"/>
      <w:pPr>
        <w:ind w:left="1080" w:hanging="1080"/>
      </w:pPr>
      <w:rPr>
        <w:rFonts w:hint="default" w:cs="Times New Roman"/>
      </w:rPr>
    </w:lvl>
    <w:lvl w:ilvl="6" w:tentative="0">
      <w:start w:val="1"/>
      <w:numFmt w:val="decimal"/>
      <w:lvlText w:val="%1.%2.%3.%4.%5.%6.%7."/>
      <w:lvlJc w:val="left"/>
      <w:pPr>
        <w:ind w:left="1440" w:hanging="1440"/>
      </w:pPr>
      <w:rPr>
        <w:rFonts w:hint="default" w:cs="Times New Roman"/>
      </w:rPr>
    </w:lvl>
    <w:lvl w:ilvl="7" w:tentative="0">
      <w:start w:val="1"/>
      <w:numFmt w:val="decimal"/>
      <w:lvlText w:val="%1.%2.%3.%4.%5.%6.%7.%8."/>
      <w:lvlJc w:val="left"/>
      <w:pPr>
        <w:ind w:left="1440" w:hanging="1440"/>
      </w:pPr>
      <w:rPr>
        <w:rFonts w:hint="default" w:cs="Times New Roman"/>
      </w:rPr>
    </w:lvl>
    <w:lvl w:ilvl="8" w:tentative="0">
      <w:start w:val="1"/>
      <w:numFmt w:val="decimal"/>
      <w:lvlText w:val="%1.%2.%3.%4.%5.%6.%7.%8.%9."/>
      <w:lvlJc w:val="left"/>
      <w:pPr>
        <w:ind w:left="1800" w:hanging="1800"/>
      </w:pPr>
      <w:rPr>
        <w:rFonts w:hint="default" w:cs="Times New Roman"/>
      </w:rPr>
    </w:lvl>
  </w:abstractNum>
  <w:abstractNum w:abstractNumId="17">
    <w:nsid w:val="507B4F4C"/>
    <w:multiLevelType w:val="multilevel"/>
    <w:tmpl w:val="507B4F4C"/>
    <w:lvl w:ilvl="0" w:tentative="0">
      <w:start w:val="1"/>
      <w:numFmt w:val="decimal"/>
      <w:pStyle w:val="147"/>
      <w:lvlText w:val="%1."/>
      <w:lvlJc w:val="left"/>
      <w:pPr>
        <w:ind w:left="5039" w:hanging="360"/>
      </w:pPr>
      <w:rPr>
        <w:rFonts w:cs="Times New Roman"/>
      </w:rPr>
    </w:lvl>
    <w:lvl w:ilvl="1" w:tentative="0">
      <w:start w:val="1"/>
      <w:numFmt w:val="decimal"/>
      <w:pStyle w:val="148"/>
      <w:isLgl/>
      <w:lvlText w:val="%1.%2."/>
      <w:lvlJc w:val="left"/>
      <w:pPr>
        <w:ind w:left="1288" w:hanging="720"/>
      </w:pPr>
      <w:rPr>
        <w:rFonts w:hint="default" w:ascii="Times New Roman" w:hAnsi="Times New Roman" w:cs="Times New Roman"/>
        <w:b w:val="0"/>
        <w:bCs w:val="0"/>
        <w:i w:val="0"/>
        <w:iCs w:val="0"/>
        <w:caps w:val="0"/>
        <w:smallCaps w:val="0"/>
        <w:strike w:val="0"/>
        <w:dstrike w:val="0"/>
        <w:vanish w:val="0"/>
        <w:spacing w:val="0"/>
        <w:kern w:val="0"/>
        <w:position w:val="0"/>
        <w:u w:val="none"/>
        <w:vertAlign w:val="baseline"/>
      </w:rPr>
    </w:lvl>
    <w:lvl w:ilvl="2" w:tentative="0">
      <w:start w:val="1"/>
      <w:numFmt w:val="decimal"/>
      <w:pStyle w:val="149"/>
      <w:isLgl/>
      <w:lvlText w:val="%1.%2.%3."/>
      <w:lvlJc w:val="left"/>
      <w:pPr>
        <w:ind w:left="720" w:hanging="720"/>
      </w:pPr>
      <w:rPr>
        <w:rFonts w:hint="default" w:cs="Times New Roman"/>
        <w:b w:val="0"/>
      </w:rPr>
    </w:lvl>
    <w:lvl w:ilvl="3" w:tentative="0">
      <w:start w:val="1"/>
      <w:numFmt w:val="decimal"/>
      <w:pStyle w:val="150"/>
      <w:isLgl/>
      <w:lvlText w:val="%1.%2.%3.%4."/>
      <w:lvlJc w:val="left"/>
      <w:pPr>
        <w:ind w:left="2487" w:hanging="1080"/>
      </w:pPr>
      <w:rPr>
        <w:rFonts w:hint="default" w:cs="Times New Roman"/>
      </w:rPr>
    </w:lvl>
    <w:lvl w:ilvl="4" w:tentative="0">
      <w:start w:val="1"/>
      <w:numFmt w:val="decimal"/>
      <w:isLgl/>
      <w:lvlText w:val="%1.%2.%3.%4.%5."/>
      <w:lvlJc w:val="left"/>
      <w:pPr>
        <w:ind w:left="2836" w:hanging="1080"/>
      </w:pPr>
      <w:rPr>
        <w:rFonts w:hint="default" w:cs="Times New Roman"/>
      </w:rPr>
    </w:lvl>
    <w:lvl w:ilvl="5" w:tentative="0">
      <w:start w:val="1"/>
      <w:numFmt w:val="decimal"/>
      <w:isLgl/>
      <w:lvlText w:val="%1.%2.%3.%4.%5.%6."/>
      <w:lvlJc w:val="left"/>
      <w:pPr>
        <w:ind w:left="3545" w:hanging="1440"/>
      </w:pPr>
      <w:rPr>
        <w:rFonts w:hint="default" w:cs="Times New Roman"/>
      </w:rPr>
    </w:lvl>
    <w:lvl w:ilvl="6" w:tentative="0">
      <w:start w:val="1"/>
      <w:numFmt w:val="decimal"/>
      <w:isLgl/>
      <w:lvlText w:val="%1.%2.%3.%4.%5.%6.%7."/>
      <w:lvlJc w:val="left"/>
      <w:pPr>
        <w:ind w:left="4254" w:hanging="1800"/>
      </w:pPr>
      <w:rPr>
        <w:rFonts w:hint="default" w:cs="Times New Roman"/>
      </w:rPr>
    </w:lvl>
    <w:lvl w:ilvl="7" w:tentative="0">
      <w:start w:val="1"/>
      <w:numFmt w:val="decimal"/>
      <w:isLgl/>
      <w:lvlText w:val="%1.%2.%3.%4.%5.%6.%7.%8."/>
      <w:lvlJc w:val="left"/>
      <w:pPr>
        <w:ind w:left="4603" w:hanging="1800"/>
      </w:pPr>
      <w:rPr>
        <w:rFonts w:hint="default" w:cs="Times New Roman"/>
      </w:rPr>
    </w:lvl>
    <w:lvl w:ilvl="8" w:tentative="0">
      <w:start w:val="1"/>
      <w:numFmt w:val="decimal"/>
      <w:isLgl/>
      <w:lvlText w:val="%1.%2.%3.%4.%5.%6.%7.%8.%9."/>
      <w:lvlJc w:val="left"/>
      <w:pPr>
        <w:ind w:left="5312" w:hanging="2160"/>
      </w:pPr>
      <w:rPr>
        <w:rFonts w:hint="default" w:cs="Times New Roman"/>
      </w:rPr>
    </w:lvl>
  </w:abstractNum>
  <w:abstractNum w:abstractNumId="18">
    <w:nsid w:val="57EB0E47"/>
    <w:multiLevelType w:val="multilevel"/>
    <w:tmpl w:val="57EB0E47"/>
    <w:lvl w:ilvl="0" w:tentative="0">
      <w:start w:val="1"/>
      <w:numFmt w:val="russianLower"/>
      <w:pStyle w:val="143"/>
      <w:lvlText w:val="%1)"/>
      <w:lvlJc w:val="left"/>
      <w:pPr>
        <w:ind w:left="1069" w:hanging="360"/>
      </w:pPr>
      <w:rPr>
        <w:rFonts w:hint="default" w:cs="Times New Roman"/>
      </w:rPr>
    </w:lvl>
    <w:lvl w:ilvl="1" w:tentative="0">
      <w:start w:val="1"/>
      <w:numFmt w:val="lowerLetter"/>
      <w:lvlText w:val="%2."/>
      <w:lvlJc w:val="left"/>
      <w:pPr>
        <w:ind w:left="2509" w:hanging="360"/>
      </w:pPr>
      <w:rPr>
        <w:rFonts w:cs="Times New Roman"/>
      </w:rPr>
    </w:lvl>
    <w:lvl w:ilvl="2" w:tentative="0">
      <w:start w:val="1"/>
      <w:numFmt w:val="lowerRoman"/>
      <w:lvlText w:val="%3."/>
      <w:lvlJc w:val="right"/>
      <w:pPr>
        <w:ind w:left="3229" w:hanging="180"/>
      </w:pPr>
      <w:rPr>
        <w:rFonts w:cs="Times New Roman"/>
      </w:rPr>
    </w:lvl>
    <w:lvl w:ilvl="3" w:tentative="0">
      <w:start w:val="1"/>
      <w:numFmt w:val="decimal"/>
      <w:lvlText w:val="%4."/>
      <w:lvlJc w:val="left"/>
      <w:pPr>
        <w:ind w:left="3949" w:hanging="360"/>
      </w:pPr>
      <w:rPr>
        <w:rFonts w:cs="Times New Roman"/>
      </w:rPr>
    </w:lvl>
    <w:lvl w:ilvl="4" w:tentative="0">
      <w:start w:val="1"/>
      <w:numFmt w:val="lowerLetter"/>
      <w:lvlText w:val="%5."/>
      <w:lvlJc w:val="left"/>
      <w:pPr>
        <w:ind w:left="4669" w:hanging="360"/>
      </w:pPr>
      <w:rPr>
        <w:rFonts w:cs="Times New Roman"/>
      </w:rPr>
    </w:lvl>
    <w:lvl w:ilvl="5" w:tentative="0">
      <w:start w:val="1"/>
      <w:numFmt w:val="lowerRoman"/>
      <w:lvlText w:val="%6."/>
      <w:lvlJc w:val="right"/>
      <w:pPr>
        <w:ind w:left="5389" w:hanging="180"/>
      </w:pPr>
      <w:rPr>
        <w:rFonts w:cs="Times New Roman"/>
      </w:rPr>
    </w:lvl>
    <w:lvl w:ilvl="6" w:tentative="0">
      <w:start w:val="1"/>
      <w:numFmt w:val="decimal"/>
      <w:lvlText w:val="%7."/>
      <w:lvlJc w:val="left"/>
      <w:pPr>
        <w:ind w:left="6109" w:hanging="360"/>
      </w:pPr>
      <w:rPr>
        <w:rFonts w:cs="Times New Roman"/>
      </w:rPr>
    </w:lvl>
    <w:lvl w:ilvl="7" w:tentative="0">
      <w:start w:val="1"/>
      <w:numFmt w:val="lowerLetter"/>
      <w:lvlText w:val="%8."/>
      <w:lvlJc w:val="left"/>
      <w:pPr>
        <w:ind w:left="6829" w:hanging="360"/>
      </w:pPr>
      <w:rPr>
        <w:rFonts w:cs="Times New Roman"/>
      </w:rPr>
    </w:lvl>
    <w:lvl w:ilvl="8" w:tentative="0">
      <w:start w:val="1"/>
      <w:numFmt w:val="lowerRoman"/>
      <w:lvlText w:val="%9."/>
      <w:lvlJc w:val="right"/>
      <w:pPr>
        <w:ind w:left="7549" w:hanging="180"/>
      </w:pPr>
      <w:rPr>
        <w:rFonts w:cs="Times New Roman"/>
      </w:rPr>
    </w:lvl>
  </w:abstractNum>
  <w:abstractNum w:abstractNumId="19">
    <w:nsid w:val="58B72146"/>
    <w:multiLevelType w:val="multilevel"/>
    <w:tmpl w:val="58B72146"/>
    <w:lvl w:ilvl="0" w:tentative="0">
      <w:start w:val="3"/>
      <w:numFmt w:val="decimal"/>
      <w:pStyle w:val="68"/>
      <w:lvlText w:val="%1."/>
      <w:lvlJc w:val="left"/>
      <w:pPr>
        <w:ind w:left="540" w:hanging="540"/>
      </w:pPr>
      <w:rPr>
        <w:rFonts w:hint="default" w:cs="Times New Roman"/>
      </w:rPr>
    </w:lvl>
    <w:lvl w:ilvl="1" w:tentative="0">
      <w:start w:val="5"/>
      <w:numFmt w:val="decimal"/>
      <w:lvlText w:val="%1.%2."/>
      <w:lvlJc w:val="left"/>
      <w:pPr>
        <w:ind w:left="824" w:hanging="540"/>
      </w:pPr>
      <w:rPr>
        <w:rFonts w:hint="default" w:cs="Times New Roman"/>
      </w:rPr>
    </w:lvl>
    <w:lvl w:ilvl="2" w:tentative="0">
      <w:start w:val="1"/>
      <w:numFmt w:val="decimal"/>
      <w:lvlText w:val="%1.%2.%3."/>
      <w:lvlJc w:val="left"/>
      <w:pPr>
        <w:ind w:left="1713" w:hanging="720"/>
      </w:pPr>
      <w:rPr>
        <w:rFonts w:hint="default" w:cs="Times New Roman"/>
      </w:rPr>
    </w:lvl>
    <w:lvl w:ilvl="3" w:tentative="0">
      <w:start w:val="1"/>
      <w:numFmt w:val="decimal"/>
      <w:lvlText w:val="%1.%2.%3.%4."/>
      <w:lvlJc w:val="left"/>
      <w:pPr>
        <w:ind w:left="720" w:hanging="720"/>
      </w:pPr>
      <w:rPr>
        <w:rFonts w:hint="default" w:cs="Times New Roman"/>
      </w:rPr>
    </w:lvl>
    <w:lvl w:ilvl="4" w:tentative="0">
      <w:start w:val="1"/>
      <w:numFmt w:val="decimal"/>
      <w:lvlText w:val="%1.%2.%3.%4.%5."/>
      <w:lvlJc w:val="left"/>
      <w:pPr>
        <w:ind w:left="1080" w:hanging="1080"/>
      </w:pPr>
      <w:rPr>
        <w:rFonts w:hint="default" w:cs="Times New Roman"/>
      </w:rPr>
    </w:lvl>
    <w:lvl w:ilvl="5" w:tentative="0">
      <w:start w:val="1"/>
      <w:numFmt w:val="decimal"/>
      <w:lvlText w:val="%1.%2.%3.%4.%5.%6."/>
      <w:lvlJc w:val="left"/>
      <w:pPr>
        <w:ind w:left="1080" w:hanging="1080"/>
      </w:pPr>
      <w:rPr>
        <w:rFonts w:hint="default" w:cs="Times New Roman"/>
      </w:rPr>
    </w:lvl>
    <w:lvl w:ilvl="6" w:tentative="0">
      <w:start w:val="1"/>
      <w:numFmt w:val="decimal"/>
      <w:lvlText w:val="%1.%2.%3.%4.%5.%6.%7."/>
      <w:lvlJc w:val="left"/>
      <w:pPr>
        <w:ind w:left="1440" w:hanging="1440"/>
      </w:pPr>
      <w:rPr>
        <w:rFonts w:hint="default" w:cs="Times New Roman"/>
      </w:rPr>
    </w:lvl>
    <w:lvl w:ilvl="7" w:tentative="0">
      <w:start w:val="1"/>
      <w:numFmt w:val="decimal"/>
      <w:lvlText w:val="%1.%2.%3.%4.%5.%6.%7.%8."/>
      <w:lvlJc w:val="left"/>
      <w:pPr>
        <w:ind w:left="1440" w:hanging="1440"/>
      </w:pPr>
      <w:rPr>
        <w:rFonts w:hint="default" w:cs="Times New Roman"/>
      </w:rPr>
    </w:lvl>
    <w:lvl w:ilvl="8" w:tentative="0">
      <w:start w:val="1"/>
      <w:numFmt w:val="decimal"/>
      <w:lvlText w:val="%1.%2.%3.%4.%5.%6.%7.%8.%9."/>
      <w:lvlJc w:val="left"/>
      <w:pPr>
        <w:ind w:left="1800" w:hanging="1800"/>
      </w:pPr>
      <w:rPr>
        <w:rFonts w:hint="default" w:cs="Times New Roman"/>
      </w:rPr>
    </w:lvl>
  </w:abstractNum>
  <w:abstractNum w:abstractNumId="20">
    <w:nsid w:val="5A5D5F45"/>
    <w:multiLevelType w:val="multilevel"/>
    <w:tmpl w:val="5A5D5F45"/>
    <w:lvl w:ilvl="0" w:tentative="0">
      <w:start w:val="2"/>
      <w:numFmt w:val="decimal"/>
      <w:lvlText w:val="%1."/>
      <w:lvlJc w:val="left"/>
      <w:pPr>
        <w:ind w:left="360" w:hanging="360"/>
      </w:pPr>
      <w:rPr>
        <w:rFonts w:hint="default" w:cs="Times New Roman"/>
      </w:rPr>
    </w:lvl>
    <w:lvl w:ilvl="1" w:tentative="0">
      <w:start w:val="3"/>
      <w:numFmt w:val="decimal"/>
      <w:lvlText w:val="%1.%2."/>
      <w:lvlJc w:val="left"/>
      <w:pPr>
        <w:ind w:left="360" w:hanging="360"/>
      </w:pPr>
      <w:rPr>
        <w:rFonts w:hint="default" w:cs="Times New Roman"/>
      </w:rPr>
    </w:lvl>
    <w:lvl w:ilvl="2" w:tentative="0">
      <w:start w:val="1"/>
      <w:numFmt w:val="decimal"/>
      <w:lvlText w:val="%1.%2.%3."/>
      <w:lvlJc w:val="left"/>
      <w:pPr>
        <w:ind w:left="720" w:hanging="720"/>
      </w:pPr>
      <w:rPr>
        <w:rFonts w:hint="default" w:cs="Times New Roman"/>
        <w:b w:val="0"/>
      </w:rPr>
    </w:lvl>
    <w:lvl w:ilvl="3" w:tentative="0">
      <w:start w:val="1"/>
      <w:numFmt w:val="decimal"/>
      <w:lvlText w:val="%1.%2.%3.%4."/>
      <w:lvlJc w:val="left"/>
      <w:pPr>
        <w:ind w:left="720" w:hanging="720"/>
      </w:pPr>
      <w:rPr>
        <w:rFonts w:hint="default" w:cs="Times New Roman"/>
      </w:rPr>
    </w:lvl>
    <w:lvl w:ilvl="4" w:tentative="0">
      <w:start w:val="1"/>
      <w:numFmt w:val="decimal"/>
      <w:lvlText w:val="%1.%2.%3.%4.%5."/>
      <w:lvlJc w:val="left"/>
      <w:pPr>
        <w:ind w:left="1080" w:hanging="1080"/>
      </w:pPr>
      <w:rPr>
        <w:rFonts w:hint="default" w:cs="Times New Roman"/>
      </w:rPr>
    </w:lvl>
    <w:lvl w:ilvl="5" w:tentative="0">
      <w:start w:val="1"/>
      <w:numFmt w:val="decimal"/>
      <w:lvlText w:val="%1.%2.%3.%4.%5.%6."/>
      <w:lvlJc w:val="left"/>
      <w:pPr>
        <w:ind w:left="1080" w:hanging="1080"/>
      </w:pPr>
      <w:rPr>
        <w:rFonts w:hint="default" w:cs="Times New Roman"/>
      </w:rPr>
    </w:lvl>
    <w:lvl w:ilvl="6" w:tentative="0">
      <w:start w:val="1"/>
      <w:numFmt w:val="decimal"/>
      <w:lvlText w:val="%1.%2.%3.%4.%5.%6.%7."/>
      <w:lvlJc w:val="left"/>
      <w:pPr>
        <w:ind w:left="1440" w:hanging="1440"/>
      </w:pPr>
      <w:rPr>
        <w:rFonts w:hint="default" w:cs="Times New Roman"/>
      </w:rPr>
    </w:lvl>
    <w:lvl w:ilvl="7" w:tentative="0">
      <w:start w:val="1"/>
      <w:numFmt w:val="decimal"/>
      <w:lvlText w:val="%1.%2.%3.%4.%5.%6.%7.%8."/>
      <w:lvlJc w:val="left"/>
      <w:pPr>
        <w:ind w:left="1440" w:hanging="1440"/>
      </w:pPr>
      <w:rPr>
        <w:rFonts w:hint="default" w:cs="Times New Roman"/>
      </w:rPr>
    </w:lvl>
    <w:lvl w:ilvl="8" w:tentative="0">
      <w:start w:val="1"/>
      <w:numFmt w:val="decimal"/>
      <w:lvlText w:val="%1.%2.%3.%4.%5.%6.%7.%8.%9."/>
      <w:lvlJc w:val="left"/>
      <w:pPr>
        <w:ind w:left="1800" w:hanging="1800"/>
      </w:pPr>
      <w:rPr>
        <w:rFonts w:hint="default" w:cs="Times New Roman"/>
      </w:rPr>
    </w:lvl>
  </w:abstractNum>
  <w:abstractNum w:abstractNumId="21">
    <w:nsid w:val="695777C3"/>
    <w:multiLevelType w:val="multilevel"/>
    <w:tmpl w:val="695777C3"/>
    <w:lvl w:ilvl="0" w:tentative="0">
      <w:start w:val="1"/>
      <w:numFmt w:val="bullet"/>
      <w:pStyle w:val="145"/>
      <w:lvlText w:val=""/>
      <w:lvlJc w:val="left"/>
      <w:pPr>
        <w:ind w:left="1068" w:hanging="360"/>
      </w:pPr>
      <w:rPr>
        <w:rFonts w:hint="default" w:ascii="Symbol" w:hAnsi="Symbol"/>
      </w:rPr>
    </w:lvl>
    <w:lvl w:ilvl="1" w:tentative="0">
      <w:start w:val="1"/>
      <w:numFmt w:val="bullet"/>
      <w:lvlText w:val="o"/>
      <w:lvlJc w:val="left"/>
      <w:pPr>
        <w:ind w:left="1788" w:hanging="360"/>
      </w:pPr>
      <w:rPr>
        <w:rFonts w:hint="default" w:ascii="Courier New" w:hAnsi="Courier New"/>
      </w:rPr>
    </w:lvl>
    <w:lvl w:ilvl="2" w:tentative="0">
      <w:start w:val="1"/>
      <w:numFmt w:val="bullet"/>
      <w:lvlText w:val=""/>
      <w:lvlJc w:val="left"/>
      <w:pPr>
        <w:ind w:left="2508" w:hanging="360"/>
      </w:pPr>
      <w:rPr>
        <w:rFonts w:hint="default" w:ascii="Wingdings" w:hAnsi="Wingdings"/>
      </w:rPr>
    </w:lvl>
    <w:lvl w:ilvl="3" w:tentative="0">
      <w:start w:val="1"/>
      <w:numFmt w:val="bullet"/>
      <w:lvlText w:val=""/>
      <w:lvlJc w:val="left"/>
      <w:pPr>
        <w:ind w:left="3228" w:hanging="360"/>
      </w:pPr>
      <w:rPr>
        <w:rFonts w:hint="default" w:ascii="Symbol" w:hAnsi="Symbol"/>
      </w:rPr>
    </w:lvl>
    <w:lvl w:ilvl="4" w:tentative="0">
      <w:start w:val="1"/>
      <w:numFmt w:val="bullet"/>
      <w:lvlText w:val="o"/>
      <w:lvlJc w:val="left"/>
      <w:pPr>
        <w:ind w:left="3948" w:hanging="360"/>
      </w:pPr>
      <w:rPr>
        <w:rFonts w:hint="default" w:ascii="Courier New" w:hAnsi="Courier New"/>
      </w:rPr>
    </w:lvl>
    <w:lvl w:ilvl="5" w:tentative="0">
      <w:start w:val="1"/>
      <w:numFmt w:val="bullet"/>
      <w:lvlText w:val=""/>
      <w:lvlJc w:val="left"/>
      <w:pPr>
        <w:ind w:left="4668" w:hanging="360"/>
      </w:pPr>
      <w:rPr>
        <w:rFonts w:hint="default" w:ascii="Wingdings" w:hAnsi="Wingdings"/>
      </w:rPr>
    </w:lvl>
    <w:lvl w:ilvl="6" w:tentative="0">
      <w:start w:val="1"/>
      <w:numFmt w:val="bullet"/>
      <w:lvlText w:val=""/>
      <w:lvlJc w:val="left"/>
      <w:pPr>
        <w:ind w:left="5388" w:hanging="360"/>
      </w:pPr>
      <w:rPr>
        <w:rFonts w:hint="default" w:ascii="Symbol" w:hAnsi="Symbol"/>
      </w:rPr>
    </w:lvl>
    <w:lvl w:ilvl="7" w:tentative="0">
      <w:start w:val="1"/>
      <w:numFmt w:val="bullet"/>
      <w:lvlText w:val="o"/>
      <w:lvlJc w:val="left"/>
      <w:pPr>
        <w:ind w:left="6108" w:hanging="360"/>
      </w:pPr>
      <w:rPr>
        <w:rFonts w:hint="default" w:ascii="Courier New" w:hAnsi="Courier New"/>
      </w:rPr>
    </w:lvl>
    <w:lvl w:ilvl="8" w:tentative="0">
      <w:start w:val="1"/>
      <w:numFmt w:val="bullet"/>
      <w:lvlText w:val=""/>
      <w:lvlJc w:val="left"/>
      <w:pPr>
        <w:ind w:left="6828" w:hanging="360"/>
      </w:pPr>
      <w:rPr>
        <w:rFonts w:hint="default" w:ascii="Wingdings" w:hAnsi="Wingdings"/>
      </w:rPr>
    </w:lvl>
  </w:abstractNum>
  <w:abstractNum w:abstractNumId="22">
    <w:nsid w:val="756F628F"/>
    <w:multiLevelType w:val="multilevel"/>
    <w:tmpl w:val="756F628F"/>
    <w:lvl w:ilvl="0" w:tentative="0">
      <w:start w:val="4"/>
      <w:numFmt w:val="decimal"/>
      <w:lvlText w:val="%1."/>
      <w:lvlJc w:val="left"/>
      <w:pPr>
        <w:ind w:left="824" w:hanging="540"/>
      </w:pPr>
      <w:rPr>
        <w:rFonts w:hint="default" w:cs="Times New Roman"/>
      </w:rPr>
    </w:lvl>
    <w:lvl w:ilvl="1" w:tentative="0">
      <w:start w:val="1"/>
      <w:numFmt w:val="decimal"/>
      <w:lvlText w:val="%1.%2."/>
      <w:lvlJc w:val="left"/>
      <w:pPr>
        <w:ind w:left="682" w:hanging="540"/>
      </w:pPr>
      <w:rPr>
        <w:rFonts w:hint="default" w:cs="Times New Roman"/>
      </w:rPr>
    </w:lvl>
    <w:lvl w:ilvl="2" w:tentative="0">
      <w:start w:val="6"/>
      <w:numFmt w:val="decimal"/>
      <w:lvlText w:val="%1.%2.%3."/>
      <w:lvlJc w:val="left"/>
      <w:pPr>
        <w:ind w:left="862" w:hanging="720"/>
      </w:pPr>
      <w:rPr>
        <w:rFonts w:hint="default" w:cs="Times New Roman"/>
        <w:color w:val="000000" w:themeColor="text1"/>
        <w14:textFill>
          <w14:solidFill>
            <w14:schemeClr w14:val="tx1"/>
          </w14:solidFill>
        </w14:textFill>
      </w:rPr>
    </w:lvl>
    <w:lvl w:ilvl="3" w:tentative="0">
      <w:start w:val="1"/>
      <w:numFmt w:val="decimal"/>
      <w:lvlText w:val="%1.%2.%3.%4."/>
      <w:lvlJc w:val="left"/>
      <w:pPr>
        <w:ind w:left="720" w:hanging="720"/>
      </w:pPr>
      <w:rPr>
        <w:rFonts w:hint="default" w:cs="Times New Roman"/>
      </w:rPr>
    </w:lvl>
    <w:lvl w:ilvl="4" w:tentative="0">
      <w:start w:val="1"/>
      <w:numFmt w:val="decimal"/>
      <w:lvlText w:val="%1.%2.%3.%4.%5."/>
      <w:lvlJc w:val="left"/>
      <w:pPr>
        <w:ind w:left="1080" w:hanging="1080"/>
      </w:pPr>
      <w:rPr>
        <w:rFonts w:hint="default" w:cs="Times New Roman"/>
      </w:rPr>
    </w:lvl>
    <w:lvl w:ilvl="5" w:tentative="0">
      <w:start w:val="1"/>
      <w:numFmt w:val="decimal"/>
      <w:lvlText w:val="%1.%2.%3.%4.%5.%6."/>
      <w:lvlJc w:val="left"/>
      <w:pPr>
        <w:ind w:left="1080" w:hanging="1080"/>
      </w:pPr>
      <w:rPr>
        <w:rFonts w:hint="default" w:cs="Times New Roman"/>
      </w:rPr>
    </w:lvl>
    <w:lvl w:ilvl="6" w:tentative="0">
      <w:start w:val="1"/>
      <w:numFmt w:val="decimal"/>
      <w:lvlText w:val="%1.%2.%3.%4.%5.%6.%7."/>
      <w:lvlJc w:val="left"/>
      <w:pPr>
        <w:ind w:left="1440" w:hanging="1440"/>
      </w:pPr>
      <w:rPr>
        <w:rFonts w:hint="default" w:cs="Times New Roman"/>
      </w:rPr>
    </w:lvl>
    <w:lvl w:ilvl="7" w:tentative="0">
      <w:start w:val="1"/>
      <w:numFmt w:val="decimal"/>
      <w:lvlText w:val="%1.%2.%3.%4.%5.%6.%7.%8."/>
      <w:lvlJc w:val="left"/>
      <w:pPr>
        <w:ind w:left="1440" w:hanging="1440"/>
      </w:pPr>
      <w:rPr>
        <w:rFonts w:hint="default" w:cs="Times New Roman"/>
      </w:rPr>
    </w:lvl>
    <w:lvl w:ilvl="8" w:tentative="0">
      <w:start w:val="1"/>
      <w:numFmt w:val="decimal"/>
      <w:lvlText w:val="%1.%2.%3.%4.%5.%6.%7.%8.%9."/>
      <w:lvlJc w:val="left"/>
      <w:pPr>
        <w:ind w:left="1800" w:hanging="1800"/>
      </w:pPr>
      <w:rPr>
        <w:rFonts w:hint="default" w:cs="Times New Roman"/>
      </w:rPr>
    </w:lvl>
  </w:abstractNum>
  <w:abstractNum w:abstractNumId="23">
    <w:nsid w:val="77AE232B"/>
    <w:multiLevelType w:val="multilevel"/>
    <w:tmpl w:val="77AE232B"/>
    <w:lvl w:ilvl="0" w:tentative="0">
      <w:start w:val="4"/>
      <w:numFmt w:val="decimal"/>
      <w:lvlText w:val="%1."/>
      <w:lvlJc w:val="left"/>
      <w:pPr>
        <w:ind w:left="824" w:hanging="540"/>
      </w:pPr>
      <w:rPr>
        <w:rFonts w:hint="default" w:cs="Times New Roman"/>
      </w:rPr>
    </w:lvl>
    <w:lvl w:ilvl="1" w:tentative="0">
      <w:start w:val="1"/>
      <w:numFmt w:val="decimal"/>
      <w:lvlText w:val="%1.%2."/>
      <w:lvlJc w:val="left"/>
      <w:pPr>
        <w:ind w:left="824" w:hanging="540"/>
      </w:pPr>
      <w:rPr>
        <w:rFonts w:hint="default" w:cs="Times New Roman"/>
      </w:rPr>
    </w:lvl>
    <w:lvl w:ilvl="2" w:tentative="0">
      <w:start w:val="1"/>
      <w:numFmt w:val="decimal"/>
      <w:lvlText w:val="%1.%2.%3."/>
      <w:lvlJc w:val="left"/>
      <w:pPr>
        <w:ind w:left="720" w:hanging="720"/>
      </w:pPr>
      <w:rPr>
        <w:rFonts w:hint="default" w:cs="Times New Roman"/>
        <w:color w:val="000000" w:themeColor="text1"/>
        <w14:textFill>
          <w14:solidFill>
            <w14:schemeClr w14:val="tx1"/>
          </w14:solidFill>
        </w14:textFill>
      </w:rPr>
    </w:lvl>
    <w:lvl w:ilvl="3" w:tentative="0">
      <w:start w:val="1"/>
      <w:numFmt w:val="decimal"/>
      <w:lvlText w:val="%1.%2.%3.%4."/>
      <w:lvlJc w:val="left"/>
      <w:pPr>
        <w:ind w:left="720" w:hanging="720"/>
      </w:pPr>
      <w:rPr>
        <w:rFonts w:hint="default" w:cs="Times New Roman"/>
      </w:rPr>
    </w:lvl>
    <w:lvl w:ilvl="4" w:tentative="0">
      <w:start w:val="1"/>
      <w:numFmt w:val="decimal"/>
      <w:lvlText w:val="%1.%2.%3.%4.%5."/>
      <w:lvlJc w:val="left"/>
      <w:pPr>
        <w:ind w:left="1080" w:hanging="1080"/>
      </w:pPr>
      <w:rPr>
        <w:rFonts w:hint="default" w:cs="Times New Roman"/>
      </w:rPr>
    </w:lvl>
    <w:lvl w:ilvl="5" w:tentative="0">
      <w:start w:val="1"/>
      <w:numFmt w:val="decimal"/>
      <w:lvlText w:val="%1.%2.%3.%4.%5.%6."/>
      <w:lvlJc w:val="left"/>
      <w:pPr>
        <w:ind w:left="1080" w:hanging="1080"/>
      </w:pPr>
      <w:rPr>
        <w:rFonts w:hint="default" w:cs="Times New Roman"/>
      </w:rPr>
    </w:lvl>
    <w:lvl w:ilvl="6" w:tentative="0">
      <w:start w:val="1"/>
      <w:numFmt w:val="decimal"/>
      <w:lvlText w:val="%1.%2.%3.%4.%5.%6.%7."/>
      <w:lvlJc w:val="left"/>
      <w:pPr>
        <w:ind w:left="1440" w:hanging="1440"/>
      </w:pPr>
      <w:rPr>
        <w:rFonts w:hint="default" w:cs="Times New Roman"/>
      </w:rPr>
    </w:lvl>
    <w:lvl w:ilvl="7" w:tentative="0">
      <w:start w:val="1"/>
      <w:numFmt w:val="decimal"/>
      <w:lvlText w:val="%1.%2.%3.%4.%5.%6.%7.%8."/>
      <w:lvlJc w:val="left"/>
      <w:pPr>
        <w:ind w:left="1440" w:hanging="1440"/>
      </w:pPr>
      <w:rPr>
        <w:rFonts w:hint="default" w:cs="Times New Roman"/>
      </w:rPr>
    </w:lvl>
    <w:lvl w:ilvl="8" w:tentative="0">
      <w:start w:val="1"/>
      <w:numFmt w:val="decimal"/>
      <w:lvlText w:val="%1.%2.%3.%4.%5.%6.%7.%8.%9."/>
      <w:lvlJc w:val="left"/>
      <w:pPr>
        <w:ind w:left="1800" w:hanging="1800"/>
      </w:pPr>
      <w:rPr>
        <w:rFonts w:hint="default" w:cs="Times New Roman"/>
      </w:rPr>
    </w:lvl>
  </w:abstractNum>
  <w:abstractNum w:abstractNumId="24">
    <w:nsid w:val="78CB47E8"/>
    <w:multiLevelType w:val="multilevel"/>
    <w:tmpl w:val="78CB47E8"/>
    <w:lvl w:ilvl="0" w:tentative="0">
      <w:start w:val="1"/>
      <w:numFmt w:val="decimal"/>
      <w:lvlText w:val="%1."/>
      <w:lvlJc w:val="left"/>
      <w:pPr>
        <w:ind w:left="360" w:hanging="360"/>
      </w:pPr>
      <w:rPr>
        <w:rFonts w:cs="Times New Roman"/>
      </w:rPr>
    </w:lvl>
    <w:lvl w:ilvl="1" w:tentative="0">
      <w:start w:val="1"/>
      <w:numFmt w:val="decimal"/>
      <w:lvlText w:val="%1.%2."/>
      <w:lvlJc w:val="left"/>
      <w:pPr>
        <w:ind w:left="432" w:hanging="432"/>
      </w:pPr>
      <w:rPr>
        <w:rFonts w:cs="Times New Roman"/>
      </w:rPr>
    </w:lvl>
    <w:lvl w:ilvl="2" w:tentative="0">
      <w:start w:val="1"/>
      <w:numFmt w:val="decimal"/>
      <w:lvlText w:val="%1.%2.%3."/>
      <w:lvlJc w:val="left"/>
      <w:pPr>
        <w:ind w:left="504" w:hanging="504"/>
      </w:pPr>
      <w:rPr>
        <w:rFonts w:cs="Times New Roman"/>
        <w:color w:val="000000"/>
      </w:rPr>
    </w:lvl>
    <w:lvl w:ilvl="3" w:tentative="0">
      <w:start w:val="1"/>
      <w:numFmt w:val="decimal"/>
      <w:lvlText w:val="%1.%2.%3.%4."/>
      <w:lvlJc w:val="left"/>
      <w:pPr>
        <w:ind w:left="1728" w:hanging="648"/>
      </w:pPr>
      <w:rPr>
        <w:rFonts w:cs="Times New Roman"/>
      </w:rPr>
    </w:lvl>
    <w:lvl w:ilvl="4" w:tentative="0">
      <w:start w:val="1"/>
      <w:numFmt w:val="decimal"/>
      <w:lvlText w:val="%1.%2.%3.%4.%5."/>
      <w:lvlJc w:val="left"/>
      <w:pPr>
        <w:ind w:left="2232" w:hanging="792"/>
      </w:pPr>
      <w:rPr>
        <w:rFonts w:cs="Times New Roman"/>
      </w:rPr>
    </w:lvl>
    <w:lvl w:ilvl="5" w:tentative="0">
      <w:start w:val="1"/>
      <w:numFmt w:val="decimal"/>
      <w:lvlText w:val="%1.%2.%3.%4.%5.%6."/>
      <w:lvlJc w:val="left"/>
      <w:pPr>
        <w:ind w:left="2736" w:hanging="936"/>
      </w:pPr>
      <w:rPr>
        <w:rFonts w:cs="Times New Roman"/>
      </w:rPr>
    </w:lvl>
    <w:lvl w:ilvl="6" w:tentative="0">
      <w:start w:val="1"/>
      <w:numFmt w:val="decimal"/>
      <w:lvlText w:val="%1.%2.%3.%4.%5.%6.%7."/>
      <w:lvlJc w:val="left"/>
      <w:pPr>
        <w:ind w:left="3240" w:hanging="1080"/>
      </w:pPr>
      <w:rPr>
        <w:rFonts w:cs="Times New Roman"/>
      </w:rPr>
    </w:lvl>
    <w:lvl w:ilvl="7" w:tentative="0">
      <w:start w:val="1"/>
      <w:numFmt w:val="decimal"/>
      <w:lvlText w:val="%1.%2.%3.%4.%5.%6.%7.%8."/>
      <w:lvlJc w:val="left"/>
      <w:pPr>
        <w:ind w:left="3744" w:hanging="1224"/>
      </w:pPr>
      <w:rPr>
        <w:rFonts w:cs="Times New Roman"/>
      </w:rPr>
    </w:lvl>
    <w:lvl w:ilvl="8" w:tentative="0">
      <w:start w:val="1"/>
      <w:numFmt w:val="decimal"/>
      <w:lvlText w:val="%1.%2.%3.%4.%5.%6.%7.%8.%9."/>
      <w:lvlJc w:val="left"/>
      <w:pPr>
        <w:ind w:left="4320" w:hanging="1440"/>
      </w:pPr>
      <w:rPr>
        <w:rFonts w:cs="Times New Roman"/>
      </w:rPr>
    </w:lvl>
  </w:abstractNum>
  <w:abstractNum w:abstractNumId="25">
    <w:nsid w:val="79AC1126"/>
    <w:multiLevelType w:val="multilevel"/>
    <w:tmpl w:val="79AC1126"/>
    <w:lvl w:ilvl="0" w:tentative="0">
      <w:start w:val="3"/>
      <w:numFmt w:val="decimal"/>
      <w:lvlText w:val="%1"/>
      <w:lvlJc w:val="left"/>
      <w:pPr>
        <w:tabs>
          <w:tab w:val="left" w:pos="705"/>
        </w:tabs>
        <w:ind w:left="705" w:hanging="705"/>
      </w:pPr>
      <w:rPr>
        <w:rFonts w:hint="default" w:cs="Times New Roman"/>
      </w:rPr>
    </w:lvl>
    <w:lvl w:ilvl="1" w:tentative="0">
      <w:start w:val="1"/>
      <w:numFmt w:val="decimal"/>
      <w:lvlText w:val="%1.%2"/>
      <w:lvlJc w:val="left"/>
      <w:pPr>
        <w:tabs>
          <w:tab w:val="left" w:pos="1413"/>
        </w:tabs>
        <w:ind w:left="1413" w:hanging="705"/>
      </w:pPr>
      <w:rPr>
        <w:rFonts w:hint="default" w:cs="Times New Roman"/>
      </w:rPr>
    </w:lvl>
    <w:lvl w:ilvl="2" w:tentative="0">
      <w:start w:val="1"/>
      <w:numFmt w:val="decimal"/>
      <w:lvlRestart w:val="0"/>
      <w:pStyle w:val="72"/>
      <w:lvlText w:val="%1.%2.%3"/>
      <w:lvlJc w:val="left"/>
      <w:pPr>
        <w:tabs>
          <w:tab w:val="left" w:pos="2136"/>
        </w:tabs>
        <w:ind w:left="2136" w:hanging="720"/>
      </w:pPr>
      <w:rPr>
        <w:rFonts w:hint="default" w:cs="Times New Roman"/>
      </w:rPr>
    </w:lvl>
    <w:lvl w:ilvl="3" w:tentative="0">
      <w:start w:val="1"/>
      <w:numFmt w:val="decimal"/>
      <w:lvlText w:val="%1.%2.%3.%4"/>
      <w:lvlJc w:val="left"/>
      <w:pPr>
        <w:tabs>
          <w:tab w:val="left" w:pos="2844"/>
        </w:tabs>
        <w:ind w:left="2844" w:hanging="720"/>
      </w:pPr>
      <w:rPr>
        <w:rFonts w:hint="default" w:cs="Times New Roman"/>
      </w:rPr>
    </w:lvl>
    <w:lvl w:ilvl="4" w:tentative="0">
      <w:start w:val="1"/>
      <w:numFmt w:val="decimal"/>
      <w:lvlText w:val="%1.%2.%3.%4.%5"/>
      <w:lvlJc w:val="left"/>
      <w:pPr>
        <w:tabs>
          <w:tab w:val="left" w:pos="3912"/>
        </w:tabs>
        <w:ind w:left="3912" w:hanging="1080"/>
      </w:pPr>
      <w:rPr>
        <w:rFonts w:hint="default" w:cs="Times New Roman"/>
      </w:rPr>
    </w:lvl>
    <w:lvl w:ilvl="5" w:tentative="0">
      <w:start w:val="1"/>
      <w:numFmt w:val="decimal"/>
      <w:lvlText w:val="%1.%2.%3.%4.%5.%6"/>
      <w:lvlJc w:val="left"/>
      <w:pPr>
        <w:tabs>
          <w:tab w:val="left" w:pos="4620"/>
        </w:tabs>
        <w:ind w:left="4620" w:hanging="1080"/>
      </w:pPr>
      <w:rPr>
        <w:rFonts w:hint="default" w:cs="Times New Roman"/>
      </w:rPr>
    </w:lvl>
    <w:lvl w:ilvl="6" w:tentative="0">
      <w:start w:val="1"/>
      <w:numFmt w:val="decimal"/>
      <w:lvlText w:val="%1.%2.%3.%4.%5.%6.%7"/>
      <w:lvlJc w:val="left"/>
      <w:pPr>
        <w:tabs>
          <w:tab w:val="left" w:pos="5688"/>
        </w:tabs>
        <w:ind w:left="5688" w:hanging="1440"/>
      </w:pPr>
      <w:rPr>
        <w:rFonts w:hint="default" w:cs="Times New Roman"/>
      </w:rPr>
    </w:lvl>
    <w:lvl w:ilvl="7" w:tentative="0">
      <w:start w:val="1"/>
      <w:numFmt w:val="decimal"/>
      <w:lvlText w:val="%1.%2.%3.%4.%5.%6.%7.%8"/>
      <w:lvlJc w:val="left"/>
      <w:pPr>
        <w:tabs>
          <w:tab w:val="left" w:pos="6396"/>
        </w:tabs>
        <w:ind w:left="6396" w:hanging="1440"/>
      </w:pPr>
      <w:rPr>
        <w:rFonts w:hint="default" w:cs="Times New Roman"/>
      </w:rPr>
    </w:lvl>
    <w:lvl w:ilvl="8" w:tentative="0">
      <w:start w:val="1"/>
      <w:numFmt w:val="decimal"/>
      <w:lvlText w:val="%1.%2.%3.%4.%5.%6.%7.%8.%9"/>
      <w:lvlJc w:val="left"/>
      <w:pPr>
        <w:tabs>
          <w:tab w:val="left" w:pos="7464"/>
        </w:tabs>
        <w:ind w:left="7464" w:hanging="1800"/>
      </w:pPr>
      <w:rPr>
        <w:rFonts w:hint="default" w:cs="Times New Roman"/>
      </w:rPr>
    </w:lvl>
  </w:abstractNum>
  <w:abstractNum w:abstractNumId="26">
    <w:nsid w:val="7F040F27"/>
    <w:multiLevelType w:val="multilevel"/>
    <w:tmpl w:val="7F040F27"/>
    <w:lvl w:ilvl="0" w:tentative="0">
      <w:start w:val="1"/>
      <w:numFmt w:val="bullet"/>
      <w:lvlText w:val=""/>
      <w:lvlJc w:val="left"/>
      <w:pPr>
        <w:ind w:left="833"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4"/>
  </w:num>
  <w:num w:numId="2">
    <w:abstractNumId w:val="6"/>
  </w:num>
  <w:num w:numId="3">
    <w:abstractNumId w:val="0"/>
  </w:num>
  <w:num w:numId="4">
    <w:abstractNumId w:val="19"/>
  </w:num>
  <w:num w:numId="5">
    <w:abstractNumId w:val="7"/>
  </w:num>
  <w:num w:numId="6">
    <w:abstractNumId w:val="25"/>
  </w:num>
  <w:num w:numId="7">
    <w:abstractNumId w:val="1"/>
  </w:num>
  <w:num w:numId="8">
    <w:abstractNumId w:val="8"/>
  </w:num>
  <w:num w:numId="9">
    <w:abstractNumId w:val="5"/>
  </w:num>
  <w:num w:numId="10">
    <w:abstractNumId w:val="18"/>
  </w:num>
  <w:num w:numId="11">
    <w:abstractNumId w:val="21"/>
  </w:num>
  <w:num w:numId="12">
    <w:abstractNumId w:val="17"/>
  </w:num>
  <w:num w:numId="13">
    <w:abstractNumId w:val="24"/>
  </w:num>
  <w:num w:numId="14">
    <w:abstractNumId w:val="20"/>
  </w:num>
  <w:num w:numId="15">
    <w:abstractNumId w:val="9"/>
  </w:num>
  <w:num w:numId="16">
    <w:abstractNumId w:val="12"/>
  </w:num>
  <w:num w:numId="17">
    <w:abstractNumId w:val="23"/>
  </w:num>
  <w:num w:numId="18">
    <w:abstractNumId w:val="16"/>
  </w:num>
  <w:num w:numId="19">
    <w:abstractNumId w:val="22"/>
  </w:num>
  <w:num w:numId="20">
    <w:abstractNumId w:val="5"/>
    <w:lvlOverride w:ilvl="0">
      <w:startOverride w:val="1"/>
    </w:lvlOverride>
  </w:num>
  <w:num w:numId="21">
    <w:abstractNumId w:val="15"/>
    <w:lvlOverride w:ilvl="0">
      <w:lvl w:ilvl="0" w:tentative="1">
        <w:start w:val="0"/>
        <w:numFmt w:val="decimal"/>
        <w:lvlText w:val=""/>
        <w:lvlJc w:val="left"/>
        <w:rPr>
          <w:rFonts w:cs="Times New Roman"/>
        </w:rPr>
      </w:lvl>
    </w:lvlOverride>
    <w:lvlOverride w:ilvl="1">
      <w:lvl w:ilvl="1" w:tentative="1">
        <w:start w:val="0"/>
        <w:numFmt w:val="decimal"/>
        <w:lvlText w:val=""/>
        <w:lvlJc w:val="left"/>
        <w:rPr>
          <w:rFonts w:cs="Times New Roman"/>
        </w:rPr>
      </w:lvl>
    </w:lvlOverride>
    <w:lvlOverride w:ilvl="2">
      <w:lvl w:ilvl="2" w:tentative="1">
        <w:start w:val="0"/>
        <w:numFmt w:val="decimal"/>
        <w:lvlText w:val=""/>
        <w:lvlJc w:val="left"/>
        <w:rPr>
          <w:rFonts w:cs="Times New Roman"/>
        </w:rPr>
      </w:lvl>
    </w:lvlOverride>
    <w:lvlOverride w:ilvl="3">
      <w:lvl w:ilvl="3" w:tentative="1">
        <w:start w:val="1"/>
        <w:numFmt w:val="bullet"/>
        <w:lvlText w:val=""/>
        <w:lvlJc w:val="left"/>
        <w:pPr>
          <w:ind w:left="786" w:hanging="360"/>
        </w:pPr>
        <w:rPr>
          <w:rFonts w:hint="default" w:ascii="Symbol" w:hAnsi="Symbol"/>
        </w:rPr>
      </w:lvl>
    </w:lvlOverride>
  </w:num>
  <w:num w:numId="22">
    <w:abstractNumId w:val="11"/>
  </w:num>
  <w:num w:numId="23">
    <w:abstractNumId w:val="3"/>
  </w:num>
  <w:num w:numId="24">
    <w:abstractNumId w:val="14"/>
  </w:num>
  <w:num w:numId="25">
    <w:abstractNumId w:val="10"/>
  </w:num>
  <w:num w:numId="26">
    <w:abstractNumId w:val="2"/>
  </w:num>
  <w:num w:numId="27">
    <w:abstractNumId w:val="13"/>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F21"/>
    <w:rsid w:val="0003090F"/>
    <w:rsid w:val="00043EB3"/>
    <w:rsid w:val="00051D3B"/>
    <w:rsid w:val="000662FC"/>
    <w:rsid w:val="0006693B"/>
    <w:rsid w:val="001802E9"/>
    <w:rsid w:val="001A66BA"/>
    <w:rsid w:val="001F10F3"/>
    <w:rsid w:val="00245DA2"/>
    <w:rsid w:val="00266443"/>
    <w:rsid w:val="00276774"/>
    <w:rsid w:val="003812BC"/>
    <w:rsid w:val="003B3615"/>
    <w:rsid w:val="003B7C65"/>
    <w:rsid w:val="00420855"/>
    <w:rsid w:val="0047201C"/>
    <w:rsid w:val="00494F21"/>
    <w:rsid w:val="004E0D0C"/>
    <w:rsid w:val="005013B4"/>
    <w:rsid w:val="0050723B"/>
    <w:rsid w:val="005468CC"/>
    <w:rsid w:val="005A1948"/>
    <w:rsid w:val="005F03FA"/>
    <w:rsid w:val="006954D4"/>
    <w:rsid w:val="006A16CC"/>
    <w:rsid w:val="006D2444"/>
    <w:rsid w:val="006F7278"/>
    <w:rsid w:val="0070262A"/>
    <w:rsid w:val="00716B0D"/>
    <w:rsid w:val="00726080"/>
    <w:rsid w:val="00740D35"/>
    <w:rsid w:val="00751844"/>
    <w:rsid w:val="0075431C"/>
    <w:rsid w:val="007A6B1C"/>
    <w:rsid w:val="00886E9B"/>
    <w:rsid w:val="008878EE"/>
    <w:rsid w:val="008B241C"/>
    <w:rsid w:val="009A6DA7"/>
    <w:rsid w:val="009D69DE"/>
    <w:rsid w:val="00A15B15"/>
    <w:rsid w:val="00A55942"/>
    <w:rsid w:val="00A81274"/>
    <w:rsid w:val="00A814A2"/>
    <w:rsid w:val="00B77EDC"/>
    <w:rsid w:val="00BB05F7"/>
    <w:rsid w:val="00C27F48"/>
    <w:rsid w:val="00CB6D90"/>
    <w:rsid w:val="00CE607C"/>
    <w:rsid w:val="00D27732"/>
    <w:rsid w:val="00D43784"/>
    <w:rsid w:val="00D60765"/>
    <w:rsid w:val="00D82C13"/>
    <w:rsid w:val="00DA622B"/>
    <w:rsid w:val="00E0053C"/>
    <w:rsid w:val="00E75010"/>
    <w:rsid w:val="00EA0195"/>
    <w:rsid w:val="00EE54B5"/>
    <w:rsid w:val="00F021FF"/>
    <w:rsid w:val="00F95A16"/>
    <w:rsid w:val="00F96236"/>
    <w:rsid w:val="2A266C19"/>
    <w:rsid w:val="41A42F93"/>
    <w:rsid w:val="6F655ACF"/>
    <w:rsid w:val="71365D4B"/>
    <w:rsid w:val="74623A0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unhideWhenUsed="0" w:uiPriority="39" w:semiHidden="0" w:name="toc 7"/>
    <w:lsdException w:qFormat="1" w:unhideWhenUsed="0" w:uiPriority="39" w:semiHidden="0" w:name="toc 8"/>
    <w:lsdException w:unhideWhenUsed="0" w:uiPriority="39" w:semiHidden="0" w:name="toc 9"/>
    <w:lsdException w:uiPriority="99" w:name="Normal Indent"/>
    <w:lsdException w:qFormat="1" w:unhideWhenUsed="0" w:uiPriority="99" w:semiHidden="0"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qFormat="1" w:unhideWhenUsed="0" w:uiPriority="99" w:semiHidden="0" w:name="footnote reference"/>
    <w:lsdException w:qFormat="1" w:unhideWhenUsed="0" w:uiPriority="99" w:name="annotation reference"/>
    <w:lsdException w:uiPriority="99" w:name="line number"/>
    <w:lsdException w:qFormat="1" w:unhideWhenUsed="0" w:uiPriority="99" w:semiHidden="0" w:name="page number"/>
    <w:lsdException w:qFormat="1" w:unhideWhenUsed="0" w:uiPriority="99" w:semiHidden="0" w:name="endnote reference"/>
    <w:lsdException w:qFormat="1" w:uiPriority="99" w:name="endnote text"/>
    <w:lsdException w:uiPriority="99" w:name="table of authorities"/>
    <w:lsdException w:uiPriority="99" w:name="macro"/>
    <w:lsdException w:uiPriority="99" w:name="toa heading"/>
    <w:lsdException w:qFormat="1" w:unhideWhenUsed="0" w:uiPriority="99" w:semiHidden="0" w:name="List"/>
    <w:lsdException w:qFormat="1" w:unhideWhenUsed="0"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nhideWhenUsed="0" w:uiPriority="99" w:semiHidden="0" w:name="Body Text 3"/>
    <w:lsdException w:uiPriority="99"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1"/>
    <w:basedOn w:val="1"/>
    <w:next w:val="1"/>
    <w:link w:val="61"/>
    <w:qFormat/>
    <w:uiPriority w:val="9"/>
    <w:pPr>
      <w:keepNext/>
      <w:keepLines/>
      <w:spacing w:before="240" w:after="0"/>
      <w:outlineLvl w:val="0"/>
    </w:pPr>
    <w:rPr>
      <w:rFonts w:ascii="Cambria" w:hAnsi="Cambria" w:eastAsia="Times New Roman" w:cs="Times New Roman"/>
      <w:b/>
      <w:bCs/>
      <w:color w:val="365F91"/>
      <w:sz w:val="28"/>
      <w:szCs w:val="28"/>
      <w:lang w:val="zh-CN" w:eastAsia="ru-RU"/>
    </w:rPr>
  </w:style>
  <w:style w:type="paragraph" w:styleId="3">
    <w:name w:val="heading 2"/>
    <w:basedOn w:val="4"/>
    <w:next w:val="5"/>
    <w:link w:val="53"/>
    <w:qFormat/>
    <w:uiPriority w:val="9"/>
    <w:pPr>
      <w:numPr>
        <w:ilvl w:val="1"/>
        <w:numId w:val="1"/>
      </w:numPr>
      <w:outlineLvl w:val="1"/>
    </w:pPr>
    <w:rPr>
      <w:b/>
      <w:bCs/>
      <w:i/>
      <w:iCs/>
    </w:rPr>
  </w:style>
  <w:style w:type="paragraph" w:styleId="6">
    <w:name w:val="heading 3"/>
    <w:basedOn w:val="4"/>
    <w:next w:val="5"/>
    <w:link w:val="54"/>
    <w:qFormat/>
    <w:uiPriority w:val="9"/>
    <w:pPr>
      <w:ind w:left="720" w:hanging="720"/>
      <w:outlineLvl w:val="2"/>
    </w:pPr>
    <w:rPr>
      <w:b/>
      <w:bCs/>
    </w:rPr>
  </w:style>
  <w:style w:type="paragraph" w:styleId="7">
    <w:name w:val="heading 4"/>
    <w:basedOn w:val="1"/>
    <w:next w:val="1"/>
    <w:link w:val="55"/>
    <w:qFormat/>
    <w:uiPriority w:val="9"/>
    <w:pPr>
      <w:keepNext/>
      <w:numPr>
        <w:ilvl w:val="3"/>
        <w:numId w:val="2"/>
      </w:numPr>
      <w:spacing w:before="240" w:after="60" w:line="240" w:lineRule="auto"/>
      <w:jc w:val="both"/>
      <w:outlineLvl w:val="3"/>
    </w:pPr>
    <w:rPr>
      <w:rFonts w:ascii="Times New Roman" w:hAnsi="Times New Roman" w:eastAsia="Times New Roman" w:cs="Times New Roman"/>
      <w:b/>
      <w:bCs/>
      <w:sz w:val="28"/>
      <w:szCs w:val="28"/>
      <w:lang w:eastAsia="ru-RU"/>
    </w:rPr>
  </w:style>
  <w:style w:type="paragraph" w:styleId="8">
    <w:name w:val="heading 5"/>
    <w:basedOn w:val="1"/>
    <w:next w:val="1"/>
    <w:link w:val="56"/>
    <w:qFormat/>
    <w:uiPriority w:val="9"/>
    <w:pPr>
      <w:keepNext/>
      <w:overflowPunct w:val="0"/>
      <w:autoSpaceDE w:val="0"/>
      <w:autoSpaceDN w:val="0"/>
      <w:adjustRightInd w:val="0"/>
      <w:spacing w:after="0" w:line="360" w:lineRule="auto"/>
      <w:jc w:val="center"/>
      <w:textAlignment w:val="baseline"/>
      <w:outlineLvl w:val="4"/>
    </w:pPr>
    <w:rPr>
      <w:rFonts w:ascii="Times New Roman" w:hAnsi="Times New Roman" w:eastAsia="Times New Roman" w:cs="Times New Roman"/>
      <w:sz w:val="24"/>
      <w:szCs w:val="20"/>
      <w:lang w:eastAsia="ru-RU"/>
    </w:rPr>
  </w:style>
  <w:style w:type="paragraph" w:styleId="9">
    <w:name w:val="heading 6"/>
    <w:basedOn w:val="1"/>
    <w:next w:val="1"/>
    <w:link w:val="57"/>
    <w:qFormat/>
    <w:uiPriority w:val="9"/>
    <w:pPr>
      <w:keepNext/>
      <w:widowControl w:val="0"/>
      <w:autoSpaceDE w:val="0"/>
      <w:autoSpaceDN w:val="0"/>
      <w:adjustRightInd w:val="0"/>
      <w:spacing w:after="0" w:line="240" w:lineRule="auto"/>
      <w:ind w:left="-180"/>
      <w:jc w:val="both"/>
      <w:outlineLvl w:val="5"/>
    </w:pPr>
    <w:rPr>
      <w:rFonts w:ascii="Times New Roman" w:hAnsi="Times New Roman" w:eastAsia="Times New Roman" w:cs="Times New Roman"/>
      <w:b/>
      <w:bCs/>
      <w:sz w:val="24"/>
      <w:szCs w:val="18"/>
      <w:lang w:eastAsia="ru-RU"/>
    </w:rPr>
  </w:style>
  <w:style w:type="paragraph" w:styleId="10">
    <w:name w:val="heading 7"/>
    <w:basedOn w:val="1"/>
    <w:next w:val="1"/>
    <w:link w:val="58"/>
    <w:qFormat/>
    <w:uiPriority w:val="9"/>
    <w:pPr>
      <w:keepNext/>
      <w:overflowPunct w:val="0"/>
      <w:autoSpaceDE w:val="0"/>
      <w:autoSpaceDN w:val="0"/>
      <w:adjustRightInd w:val="0"/>
      <w:spacing w:after="0" w:line="360" w:lineRule="auto"/>
      <w:jc w:val="right"/>
      <w:textAlignment w:val="baseline"/>
      <w:outlineLvl w:val="6"/>
    </w:pPr>
    <w:rPr>
      <w:rFonts w:ascii="Times New Roman" w:hAnsi="Times New Roman" w:eastAsia="Times New Roman" w:cs="Times New Roman"/>
      <w:sz w:val="24"/>
      <w:szCs w:val="20"/>
      <w:lang w:eastAsia="ru-RU"/>
    </w:rPr>
  </w:style>
  <w:style w:type="paragraph" w:styleId="11">
    <w:name w:val="heading 8"/>
    <w:basedOn w:val="1"/>
    <w:next w:val="1"/>
    <w:link w:val="59"/>
    <w:qFormat/>
    <w:uiPriority w:val="9"/>
    <w:pPr>
      <w:spacing w:before="240" w:after="60" w:line="240" w:lineRule="auto"/>
      <w:outlineLvl w:val="7"/>
    </w:pPr>
    <w:rPr>
      <w:rFonts w:ascii="Times New Roman" w:hAnsi="Times New Roman" w:eastAsia="Times New Roman" w:cs="Times New Roman"/>
      <w:i/>
      <w:iCs/>
      <w:sz w:val="24"/>
      <w:szCs w:val="24"/>
      <w:lang w:eastAsia="ru-RU"/>
    </w:rPr>
  </w:style>
  <w:style w:type="paragraph" w:styleId="12">
    <w:name w:val="heading 9"/>
    <w:basedOn w:val="1"/>
    <w:next w:val="1"/>
    <w:link w:val="62"/>
    <w:semiHidden/>
    <w:unhideWhenUsed/>
    <w:qFormat/>
    <w:uiPriority w:val="9"/>
    <w:pPr>
      <w:keepNext/>
      <w:keepLines/>
      <w:spacing w:before="40" w:after="0"/>
      <w:outlineLvl w:val="8"/>
    </w:pPr>
    <w:rPr>
      <w:rFonts w:ascii="Cambria" w:hAnsi="Cambria" w:eastAsia="Times New Roman" w:cs="Times New Roman"/>
      <w:i/>
      <w:iCs/>
      <w:color w:val="404040"/>
      <w:sz w:val="20"/>
      <w:szCs w:val="20"/>
      <w:lang w:val="zh-CN" w:eastAsia="ru-RU"/>
    </w:rPr>
  </w:style>
  <w:style w:type="character" w:default="1" w:styleId="13">
    <w:name w:val="Default Paragraph Font"/>
    <w:semiHidden/>
    <w:unhideWhenUsed/>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4">
    <w:name w:val="Заголовок1"/>
    <w:basedOn w:val="1"/>
    <w:next w:val="5"/>
    <w:qFormat/>
    <w:uiPriority w:val="0"/>
    <w:pPr>
      <w:keepNext/>
      <w:widowControl w:val="0"/>
      <w:suppressAutoHyphens/>
      <w:spacing w:before="240" w:after="120" w:line="240" w:lineRule="auto"/>
    </w:pPr>
    <w:rPr>
      <w:rFonts w:ascii="Arial" w:hAnsi="Arial" w:eastAsia="Times New Roman" w:cs="Mangal"/>
      <w:kern w:val="1"/>
      <w:sz w:val="28"/>
      <w:szCs w:val="28"/>
      <w:lang w:eastAsia="zh-CN" w:bidi="hi-IN"/>
    </w:rPr>
  </w:style>
  <w:style w:type="paragraph" w:styleId="5">
    <w:name w:val="Body Text"/>
    <w:basedOn w:val="1"/>
    <w:link w:val="82"/>
    <w:qFormat/>
    <w:uiPriority w:val="99"/>
    <w:pPr>
      <w:widowControl w:val="0"/>
      <w:autoSpaceDE w:val="0"/>
      <w:autoSpaceDN w:val="0"/>
      <w:adjustRightInd w:val="0"/>
      <w:spacing w:before="120" w:after="120" w:line="240" w:lineRule="auto"/>
      <w:ind w:firstLine="11"/>
      <w:jc w:val="both"/>
    </w:pPr>
    <w:rPr>
      <w:rFonts w:ascii="Times New Roman" w:hAnsi="Times New Roman" w:eastAsia="Times New Roman" w:cs="Times New Roman"/>
      <w:sz w:val="20"/>
      <w:szCs w:val="20"/>
      <w:lang w:eastAsia="ru-RU"/>
    </w:rPr>
  </w:style>
  <w:style w:type="paragraph" w:styleId="15">
    <w:name w:val="Balloon Text"/>
    <w:basedOn w:val="1"/>
    <w:link w:val="76"/>
    <w:semiHidden/>
    <w:uiPriority w:val="99"/>
    <w:pPr>
      <w:spacing w:before="120" w:after="0" w:line="240" w:lineRule="auto"/>
      <w:ind w:firstLine="11"/>
      <w:jc w:val="both"/>
    </w:pPr>
    <w:rPr>
      <w:rFonts w:ascii="Tahoma" w:hAnsi="Tahoma" w:eastAsia="Times New Roman" w:cs="Tahoma"/>
      <w:sz w:val="16"/>
      <w:szCs w:val="16"/>
      <w:lang w:eastAsia="ru-RU"/>
    </w:rPr>
  </w:style>
  <w:style w:type="paragraph" w:styleId="16">
    <w:name w:val="Block Text"/>
    <w:basedOn w:val="1"/>
    <w:qFormat/>
    <w:uiPriority w:val="99"/>
    <w:pPr>
      <w:spacing w:after="0" w:line="240" w:lineRule="auto"/>
      <w:ind w:left="-993" w:right="5953"/>
    </w:pPr>
    <w:rPr>
      <w:rFonts w:ascii="Arial" w:hAnsi="Arial" w:eastAsia="Times New Roman" w:cs="Times New Roman"/>
      <w:sz w:val="24"/>
      <w:szCs w:val="20"/>
    </w:rPr>
  </w:style>
  <w:style w:type="paragraph" w:styleId="17">
    <w:name w:val="Body Text 2"/>
    <w:basedOn w:val="1"/>
    <w:link w:val="133"/>
    <w:unhideWhenUsed/>
    <w:qFormat/>
    <w:uiPriority w:val="99"/>
    <w:pPr>
      <w:widowControl w:val="0"/>
      <w:overflowPunct w:val="0"/>
      <w:autoSpaceDE w:val="0"/>
      <w:autoSpaceDN w:val="0"/>
      <w:adjustRightInd w:val="0"/>
      <w:spacing w:before="120" w:after="0" w:line="300" w:lineRule="auto"/>
      <w:jc w:val="both"/>
    </w:pPr>
    <w:rPr>
      <w:rFonts w:ascii="Times New Roman" w:hAnsi="Times New Roman" w:eastAsia="Times New Roman" w:cs="Times New Roman"/>
      <w:b/>
      <w:sz w:val="24"/>
      <w:szCs w:val="20"/>
      <w:lang w:eastAsia="ru-RU"/>
    </w:rPr>
  </w:style>
  <w:style w:type="paragraph" w:styleId="18">
    <w:name w:val="Body Text 3"/>
    <w:basedOn w:val="1"/>
    <w:link w:val="80"/>
    <w:qFormat/>
    <w:uiPriority w:val="99"/>
    <w:pPr>
      <w:shd w:val="clear" w:color="auto" w:fill="FFFFFF"/>
      <w:spacing w:before="115" w:after="0" w:line="322" w:lineRule="exact"/>
      <w:ind w:right="898" w:firstLine="11"/>
      <w:jc w:val="both"/>
    </w:pPr>
    <w:rPr>
      <w:rFonts w:ascii="Times New Roman" w:hAnsi="Times New Roman" w:eastAsia="Times New Roman" w:cs="Times New Roman"/>
      <w:w w:val="93"/>
      <w:sz w:val="24"/>
      <w:szCs w:val="24"/>
      <w:lang w:val="en-US" w:eastAsia="ru-RU"/>
    </w:rPr>
  </w:style>
  <w:style w:type="paragraph" w:styleId="19">
    <w:name w:val="Body Text Indent"/>
    <w:basedOn w:val="1"/>
    <w:link w:val="110"/>
    <w:uiPriority w:val="99"/>
    <w:pPr>
      <w:spacing w:before="120" w:after="120" w:line="240" w:lineRule="auto"/>
      <w:ind w:left="283" w:firstLine="11"/>
      <w:jc w:val="both"/>
    </w:pPr>
    <w:rPr>
      <w:rFonts w:ascii="Times New Roman" w:hAnsi="Times New Roman" w:eastAsia="Times New Roman" w:cs="Times New Roman"/>
      <w:sz w:val="24"/>
      <w:szCs w:val="24"/>
      <w:lang w:eastAsia="ru-RU"/>
    </w:rPr>
  </w:style>
  <w:style w:type="paragraph" w:styleId="20">
    <w:name w:val="Body Text Indent 3"/>
    <w:basedOn w:val="1"/>
    <w:link w:val="158"/>
    <w:qFormat/>
    <w:uiPriority w:val="99"/>
    <w:pPr>
      <w:overflowPunct w:val="0"/>
      <w:autoSpaceDE w:val="0"/>
      <w:autoSpaceDN w:val="0"/>
      <w:adjustRightInd w:val="0"/>
      <w:spacing w:after="0" w:line="360" w:lineRule="auto"/>
      <w:ind w:left="567" w:hanging="567"/>
      <w:jc w:val="both"/>
      <w:textAlignment w:val="baseline"/>
    </w:pPr>
    <w:rPr>
      <w:rFonts w:ascii="Times New Roman" w:hAnsi="Times New Roman" w:eastAsia="Times New Roman" w:cs="Times New Roman"/>
      <w:sz w:val="24"/>
      <w:szCs w:val="20"/>
      <w:lang w:eastAsia="ru-RU"/>
    </w:rPr>
  </w:style>
  <w:style w:type="paragraph" w:styleId="21">
    <w:name w:val="caption"/>
    <w:basedOn w:val="1"/>
    <w:qFormat/>
    <w:uiPriority w:val="35"/>
    <w:pPr>
      <w:widowControl w:val="0"/>
      <w:suppressLineNumbers/>
      <w:suppressAutoHyphens/>
      <w:spacing w:before="120" w:after="120" w:line="240" w:lineRule="auto"/>
    </w:pPr>
    <w:rPr>
      <w:rFonts w:ascii="Times New Roman" w:hAnsi="Times New Roman" w:eastAsia="Times New Roman" w:cs="Mangal"/>
      <w:i/>
      <w:iCs/>
      <w:kern w:val="1"/>
      <w:sz w:val="24"/>
      <w:szCs w:val="24"/>
      <w:lang w:eastAsia="zh-CN" w:bidi="hi-IN"/>
    </w:rPr>
  </w:style>
  <w:style w:type="character" w:styleId="22">
    <w:name w:val="annotation reference"/>
    <w:basedOn w:val="13"/>
    <w:semiHidden/>
    <w:qFormat/>
    <w:uiPriority w:val="99"/>
    <w:rPr>
      <w:rFonts w:cs="Times New Roman"/>
      <w:sz w:val="16"/>
      <w:szCs w:val="16"/>
    </w:rPr>
  </w:style>
  <w:style w:type="paragraph" w:styleId="23">
    <w:name w:val="annotation text"/>
    <w:basedOn w:val="1"/>
    <w:link w:val="74"/>
    <w:semiHidden/>
    <w:qFormat/>
    <w:uiPriority w:val="99"/>
    <w:pPr>
      <w:spacing w:before="120" w:after="0" w:line="240" w:lineRule="auto"/>
      <w:ind w:firstLine="11"/>
      <w:jc w:val="both"/>
    </w:pPr>
    <w:rPr>
      <w:rFonts w:ascii="Times New Roman" w:hAnsi="Times New Roman" w:eastAsia="Times New Roman" w:cs="Times New Roman"/>
      <w:sz w:val="20"/>
      <w:szCs w:val="20"/>
      <w:lang w:eastAsia="ru-RU"/>
    </w:rPr>
  </w:style>
  <w:style w:type="paragraph" w:styleId="24">
    <w:name w:val="annotation subject"/>
    <w:basedOn w:val="23"/>
    <w:next w:val="23"/>
    <w:link w:val="75"/>
    <w:semiHidden/>
    <w:qFormat/>
    <w:uiPriority w:val="99"/>
    <w:rPr>
      <w:b/>
      <w:bCs/>
    </w:rPr>
  </w:style>
  <w:style w:type="paragraph" w:styleId="25">
    <w:name w:val="Document Map"/>
    <w:basedOn w:val="1"/>
    <w:link w:val="67"/>
    <w:semiHidden/>
    <w:qFormat/>
    <w:uiPriority w:val="99"/>
    <w:pPr>
      <w:shd w:val="clear" w:color="auto" w:fill="000080"/>
      <w:spacing w:before="120" w:after="0" w:line="240" w:lineRule="auto"/>
      <w:ind w:firstLine="11"/>
      <w:jc w:val="both"/>
    </w:pPr>
    <w:rPr>
      <w:rFonts w:ascii="Tahoma" w:hAnsi="Tahoma" w:eastAsia="Times New Roman" w:cs="Tahoma"/>
      <w:sz w:val="20"/>
      <w:szCs w:val="20"/>
      <w:lang w:eastAsia="ru-RU"/>
    </w:rPr>
  </w:style>
  <w:style w:type="character" w:styleId="26">
    <w:name w:val="endnote reference"/>
    <w:basedOn w:val="13"/>
    <w:qFormat/>
    <w:uiPriority w:val="99"/>
    <w:rPr>
      <w:rFonts w:cs="Times New Roman"/>
      <w:vertAlign w:val="superscript"/>
    </w:rPr>
  </w:style>
  <w:style w:type="paragraph" w:styleId="27">
    <w:name w:val="endnote text"/>
    <w:basedOn w:val="1"/>
    <w:link w:val="210"/>
    <w:semiHidden/>
    <w:unhideWhenUsed/>
    <w:qFormat/>
    <w:uiPriority w:val="99"/>
    <w:pPr>
      <w:spacing w:after="0" w:line="240" w:lineRule="auto"/>
    </w:pPr>
    <w:rPr>
      <w:sz w:val="20"/>
      <w:szCs w:val="20"/>
    </w:rPr>
  </w:style>
  <w:style w:type="character" w:styleId="28">
    <w:name w:val="FollowedHyperlink"/>
    <w:basedOn w:val="13"/>
    <w:qFormat/>
    <w:uiPriority w:val="99"/>
    <w:rPr>
      <w:rFonts w:cs="Times New Roman"/>
      <w:color w:val="800080"/>
      <w:u w:val="single"/>
    </w:rPr>
  </w:style>
  <w:style w:type="paragraph" w:styleId="29">
    <w:name w:val="footer"/>
    <w:basedOn w:val="1"/>
    <w:link w:val="64"/>
    <w:qFormat/>
    <w:uiPriority w:val="99"/>
    <w:pPr>
      <w:tabs>
        <w:tab w:val="center" w:pos="4677"/>
        <w:tab w:val="right" w:pos="9355"/>
      </w:tabs>
      <w:spacing w:before="120" w:after="0" w:line="240" w:lineRule="auto"/>
      <w:ind w:firstLine="11"/>
      <w:jc w:val="both"/>
    </w:pPr>
    <w:rPr>
      <w:rFonts w:ascii="Times New Roman" w:hAnsi="Times New Roman" w:eastAsia="Times New Roman" w:cs="Times New Roman"/>
      <w:sz w:val="24"/>
      <w:szCs w:val="24"/>
      <w:lang w:eastAsia="ru-RU"/>
    </w:rPr>
  </w:style>
  <w:style w:type="character" w:styleId="30">
    <w:name w:val="footnote reference"/>
    <w:basedOn w:val="13"/>
    <w:qFormat/>
    <w:uiPriority w:val="99"/>
    <w:rPr>
      <w:rFonts w:cs="Times New Roman"/>
      <w:vertAlign w:val="superscript"/>
    </w:rPr>
  </w:style>
  <w:style w:type="paragraph" w:styleId="31">
    <w:name w:val="footnote text"/>
    <w:basedOn w:val="1"/>
    <w:link w:val="66"/>
    <w:qFormat/>
    <w:uiPriority w:val="99"/>
    <w:pPr>
      <w:spacing w:before="120" w:after="0" w:line="240" w:lineRule="auto"/>
      <w:ind w:firstLine="11"/>
      <w:jc w:val="both"/>
    </w:pPr>
    <w:rPr>
      <w:rFonts w:ascii="Times New Roman" w:hAnsi="Times New Roman" w:eastAsia="Times New Roman" w:cs="Times New Roman"/>
      <w:sz w:val="20"/>
      <w:szCs w:val="20"/>
      <w:lang w:eastAsia="ru-RU"/>
    </w:rPr>
  </w:style>
  <w:style w:type="paragraph" w:styleId="32">
    <w:name w:val="header"/>
    <w:basedOn w:val="1"/>
    <w:link w:val="63"/>
    <w:qFormat/>
    <w:uiPriority w:val="99"/>
    <w:pPr>
      <w:tabs>
        <w:tab w:val="center" w:pos="4677"/>
        <w:tab w:val="right" w:pos="9355"/>
      </w:tabs>
      <w:spacing w:before="120" w:after="0" w:line="240" w:lineRule="auto"/>
      <w:ind w:firstLine="11"/>
      <w:jc w:val="both"/>
    </w:pPr>
    <w:rPr>
      <w:rFonts w:ascii="Times New Roman" w:hAnsi="Times New Roman" w:eastAsia="Times New Roman" w:cs="Times New Roman"/>
      <w:sz w:val="24"/>
      <w:szCs w:val="24"/>
      <w:lang w:eastAsia="ru-RU"/>
    </w:rPr>
  </w:style>
  <w:style w:type="character" w:styleId="33">
    <w:name w:val="Hyperlink"/>
    <w:basedOn w:val="13"/>
    <w:qFormat/>
    <w:uiPriority w:val="99"/>
    <w:rPr>
      <w:rFonts w:cs="Times New Roman"/>
      <w:color w:val="0000FF"/>
      <w:u w:val="single"/>
    </w:rPr>
  </w:style>
  <w:style w:type="paragraph" w:styleId="34">
    <w:name w:val="List"/>
    <w:basedOn w:val="1"/>
    <w:qFormat/>
    <w:uiPriority w:val="99"/>
    <w:pPr>
      <w:spacing w:before="120" w:after="0" w:line="240" w:lineRule="auto"/>
      <w:ind w:left="283" w:hanging="283"/>
      <w:jc w:val="both"/>
    </w:pPr>
    <w:rPr>
      <w:rFonts w:ascii="Times New Roman" w:hAnsi="Times New Roman" w:eastAsia="Times New Roman" w:cs="Times New Roman"/>
      <w:sz w:val="20"/>
      <w:szCs w:val="20"/>
      <w:lang w:eastAsia="ru-RU"/>
    </w:rPr>
  </w:style>
  <w:style w:type="paragraph" w:styleId="35">
    <w:name w:val="List Bullet"/>
    <w:basedOn w:val="1"/>
    <w:qFormat/>
    <w:uiPriority w:val="99"/>
    <w:pPr>
      <w:numPr>
        <w:ilvl w:val="0"/>
        <w:numId w:val="3"/>
      </w:numPr>
      <w:tabs>
        <w:tab w:val="clear" w:pos="360"/>
      </w:tabs>
      <w:spacing w:before="120" w:after="0" w:line="240" w:lineRule="auto"/>
      <w:ind w:left="0" w:firstLine="11"/>
      <w:jc w:val="both"/>
    </w:pPr>
    <w:rPr>
      <w:rFonts w:ascii="Times New Roman" w:hAnsi="Times New Roman" w:eastAsia="Times New Roman" w:cs="Times New Roman"/>
      <w:sz w:val="24"/>
      <w:szCs w:val="24"/>
      <w:lang w:eastAsia="ru-RU"/>
    </w:rPr>
  </w:style>
  <w:style w:type="paragraph" w:styleId="36">
    <w:name w:val="Normal (Web)"/>
    <w:basedOn w:val="1"/>
    <w:qFormat/>
    <w:uiPriority w:val="99"/>
    <w:pPr>
      <w:suppressAutoHyphens/>
      <w:spacing w:before="100" w:after="100" w:line="240" w:lineRule="auto"/>
    </w:pPr>
    <w:rPr>
      <w:rFonts w:ascii="Verdana" w:hAnsi="Verdana" w:eastAsia="Times New Roman" w:cs="Verdana"/>
      <w:kern w:val="1"/>
      <w:sz w:val="18"/>
      <w:szCs w:val="18"/>
      <w:lang w:eastAsia="zh-CN" w:bidi="hi-IN"/>
    </w:rPr>
  </w:style>
  <w:style w:type="character" w:styleId="37">
    <w:name w:val="page number"/>
    <w:basedOn w:val="13"/>
    <w:qFormat/>
    <w:uiPriority w:val="99"/>
    <w:rPr>
      <w:sz w:val="20"/>
    </w:rPr>
  </w:style>
  <w:style w:type="paragraph" w:styleId="38">
    <w:name w:val="Plain Text"/>
    <w:basedOn w:val="1"/>
    <w:link w:val="73"/>
    <w:qFormat/>
    <w:uiPriority w:val="99"/>
    <w:pPr>
      <w:spacing w:before="120" w:after="0" w:line="240" w:lineRule="auto"/>
      <w:ind w:firstLine="11"/>
      <w:jc w:val="both"/>
    </w:pPr>
    <w:rPr>
      <w:rFonts w:ascii="Courier New" w:hAnsi="Courier New" w:eastAsia="Times New Roman" w:cs="Courier New"/>
      <w:sz w:val="20"/>
      <w:szCs w:val="20"/>
      <w:lang w:eastAsia="ru-RU"/>
    </w:rPr>
  </w:style>
  <w:style w:type="character" w:styleId="39">
    <w:name w:val="Strong"/>
    <w:basedOn w:val="13"/>
    <w:qFormat/>
    <w:uiPriority w:val="22"/>
    <w:rPr>
      <w:rFonts w:ascii="Times New Roman" w:hAnsi="Times New Roman"/>
      <w:b/>
    </w:rPr>
  </w:style>
  <w:style w:type="paragraph" w:styleId="40">
    <w:name w:val="Subtitle"/>
    <w:basedOn w:val="1"/>
    <w:next w:val="1"/>
    <w:link w:val="112"/>
    <w:qFormat/>
    <w:uiPriority w:val="11"/>
    <w:rPr>
      <w:rFonts w:ascii="Cambria" w:hAnsi="Cambria" w:eastAsia="Times New Roman" w:cs="Times New Roman"/>
      <w:i/>
      <w:iCs/>
      <w:color w:val="4F81BD"/>
      <w:spacing w:val="15"/>
      <w:sz w:val="24"/>
      <w:szCs w:val="24"/>
      <w:lang w:val="zh-CN" w:eastAsia="ru-RU"/>
    </w:rPr>
  </w:style>
  <w:style w:type="table" w:styleId="41">
    <w:name w:val="Table Grid"/>
    <w:basedOn w:val="14"/>
    <w:qFormat/>
    <w:uiPriority w:val="59"/>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42">
    <w:name w:val="Title"/>
    <w:basedOn w:val="4"/>
    <w:next w:val="5"/>
    <w:link w:val="126"/>
    <w:qFormat/>
    <w:uiPriority w:val="10"/>
    <w:pPr>
      <w:jc w:val="center"/>
    </w:pPr>
    <w:rPr>
      <w:b/>
      <w:bCs/>
      <w:sz w:val="36"/>
      <w:szCs w:val="36"/>
    </w:rPr>
  </w:style>
  <w:style w:type="paragraph" w:styleId="43">
    <w:name w:val="toc 1"/>
    <w:basedOn w:val="1"/>
    <w:next w:val="1"/>
    <w:autoRedefine/>
    <w:qFormat/>
    <w:uiPriority w:val="39"/>
    <w:pPr>
      <w:spacing w:before="360" w:after="360" w:line="240" w:lineRule="auto"/>
      <w:ind w:firstLine="11"/>
      <w:jc w:val="both"/>
    </w:pPr>
    <w:rPr>
      <w:rFonts w:ascii="Times New Roman" w:hAnsi="Times New Roman" w:eastAsia="Times New Roman" w:cs="Times New Roman"/>
      <w:b/>
      <w:bCs/>
      <w:caps/>
      <w:u w:val="single"/>
      <w:lang w:eastAsia="ru-RU"/>
    </w:rPr>
  </w:style>
  <w:style w:type="paragraph" w:styleId="44">
    <w:name w:val="toc 2"/>
    <w:basedOn w:val="1"/>
    <w:next w:val="1"/>
    <w:autoRedefine/>
    <w:qFormat/>
    <w:uiPriority w:val="39"/>
    <w:pPr>
      <w:tabs>
        <w:tab w:val="left" w:pos="581"/>
        <w:tab w:val="right" w:leader="dot" w:pos="9911"/>
      </w:tabs>
      <w:spacing w:before="120" w:after="0" w:line="240" w:lineRule="auto"/>
      <w:ind w:firstLine="11"/>
      <w:jc w:val="both"/>
    </w:pPr>
    <w:rPr>
      <w:rFonts w:ascii="Times New Roman" w:hAnsi="Times New Roman" w:eastAsia="Times New Roman" w:cs="Times New Roman"/>
      <w:b/>
      <w:bCs/>
      <w:smallCaps/>
      <w:lang w:eastAsia="ru-RU"/>
    </w:rPr>
  </w:style>
  <w:style w:type="paragraph" w:styleId="45">
    <w:name w:val="toc 3"/>
    <w:basedOn w:val="1"/>
    <w:next w:val="1"/>
    <w:autoRedefine/>
    <w:qFormat/>
    <w:uiPriority w:val="39"/>
    <w:pPr>
      <w:spacing w:before="120" w:after="0" w:line="240" w:lineRule="auto"/>
      <w:ind w:firstLine="11"/>
      <w:jc w:val="both"/>
    </w:pPr>
    <w:rPr>
      <w:rFonts w:ascii="Times New Roman" w:hAnsi="Times New Roman" w:eastAsia="Times New Roman" w:cs="Times New Roman"/>
      <w:smallCaps/>
      <w:lang w:eastAsia="ru-RU"/>
    </w:rPr>
  </w:style>
  <w:style w:type="paragraph" w:styleId="46">
    <w:name w:val="toc 4"/>
    <w:basedOn w:val="1"/>
    <w:next w:val="1"/>
    <w:autoRedefine/>
    <w:qFormat/>
    <w:uiPriority w:val="39"/>
    <w:pPr>
      <w:spacing w:before="120" w:after="0" w:line="240" w:lineRule="auto"/>
      <w:ind w:firstLine="11"/>
      <w:jc w:val="both"/>
    </w:pPr>
    <w:rPr>
      <w:rFonts w:ascii="Times New Roman" w:hAnsi="Times New Roman" w:eastAsia="Times New Roman" w:cs="Times New Roman"/>
      <w:lang w:eastAsia="ru-RU"/>
    </w:rPr>
  </w:style>
  <w:style w:type="paragraph" w:styleId="47">
    <w:name w:val="toc 5"/>
    <w:basedOn w:val="1"/>
    <w:next w:val="1"/>
    <w:autoRedefine/>
    <w:qFormat/>
    <w:uiPriority w:val="39"/>
    <w:pPr>
      <w:spacing w:before="120" w:after="0" w:line="240" w:lineRule="auto"/>
      <w:ind w:firstLine="11"/>
      <w:jc w:val="both"/>
    </w:pPr>
    <w:rPr>
      <w:rFonts w:ascii="Times New Roman" w:hAnsi="Times New Roman" w:eastAsia="Times New Roman" w:cs="Times New Roman"/>
      <w:lang w:eastAsia="ru-RU"/>
    </w:rPr>
  </w:style>
  <w:style w:type="paragraph" w:styleId="48">
    <w:name w:val="toc 6"/>
    <w:basedOn w:val="1"/>
    <w:next w:val="1"/>
    <w:autoRedefine/>
    <w:qFormat/>
    <w:uiPriority w:val="39"/>
    <w:pPr>
      <w:spacing w:before="120" w:after="0" w:line="240" w:lineRule="auto"/>
      <w:ind w:firstLine="11"/>
      <w:jc w:val="both"/>
    </w:pPr>
    <w:rPr>
      <w:rFonts w:ascii="Times New Roman" w:hAnsi="Times New Roman" w:eastAsia="Times New Roman" w:cs="Times New Roman"/>
      <w:lang w:eastAsia="ru-RU"/>
    </w:rPr>
  </w:style>
  <w:style w:type="paragraph" w:styleId="49">
    <w:name w:val="toc 7"/>
    <w:basedOn w:val="1"/>
    <w:next w:val="1"/>
    <w:autoRedefine/>
    <w:uiPriority w:val="39"/>
    <w:pPr>
      <w:spacing w:before="120" w:after="0" w:line="240" w:lineRule="auto"/>
      <w:ind w:firstLine="11"/>
      <w:jc w:val="both"/>
    </w:pPr>
    <w:rPr>
      <w:rFonts w:ascii="Times New Roman" w:hAnsi="Times New Roman" w:eastAsia="Times New Roman" w:cs="Times New Roman"/>
      <w:lang w:eastAsia="ru-RU"/>
    </w:rPr>
  </w:style>
  <w:style w:type="paragraph" w:styleId="50">
    <w:name w:val="toc 8"/>
    <w:basedOn w:val="1"/>
    <w:next w:val="1"/>
    <w:autoRedefine/>
    <w:qFormat/>
    <w:uiPriority w:val="39"/>
    <w:pPr>
      <w:spacing w:before="120" w:after="0" w:line="240" w:lineRule="auto"/>
      <w:ind w:firstLine="11"/>
      <w:jc w:val="both"/>
    </w:pPr>
    <w:rPr>
      <w:rFonts w:ascii="Times New Roman" w:hAnsi="Times New Roman" w:eastAsia="Times New Roman" w:cs="Times New Roman"/>
      <w:lang w:eastAsia="ru-RU"/>
    </w:rPr>
  </w:style>
  <w:style w:type="paragraph" w:styleId="51">
    <w:name w:val="toc 9"/>
    <w:basedOn w:val="1"/>
    <w:next w:val="1"/>
    <w:autoRedefine/>
    <w:uiPriority w:val="39"/>
    <w:pPr>
      <w:spacing w:before="120" w:after="0" w:line="240" w:lineRule="auto"/>
      <w:ind w:firstLine="11"/>
      <w:jc w:val="both"/>
    </w:pPr>
    <w:rPr>
      <w:rFonts w:ascii="Times New Roman" w:hAnsi="Times New Roman" w:eastAsia="Times New Roman" w:cs="Times New Roman"/>
      <w:lang w:eastAsia="ru-RU"/>
    </w:rPr>
  </w:style>
  <w:style w:type="paragraph" w:customStyle="1" w:styleId="52">
    <w:name w:val="Заголовок 1 Знак Знак21"/>
    <w:basedOn w:val="1"/>
    <w:next w:val="1"/>
    <w:qFormat/>
    <w:uiPriority w:val="9"/>
    <w:pPr>
      <w:keepNext/>
      <w:keepLines/>
      <w:spacing w:before="480" w:after="0" w:line="240" w:lineRule="auto"/>
      <w:ind w:firstLine="11"/>
      <w:jc w:val="both"/>
      <w:outlineLvl w:val="0"/>
    </w:pPr>
    <w:rPr>
      <w:rFonts w:ascii="Cambria" w:hAnsi="Cambria" w:eastAsia="Times New Roman" w:cs="Times New Roman"/>
      <w:b/>
      <w:bCs/>
      <w:color w:val="365F91"/>
      <w:sz w:val="28"/>
      <w:szCs w:val="28"/>
      <w:lang w:eastAsia="ru-RU"/>
    </w:rPr>
  </w:style>
  <w:style w:type="character" w:customStyle="1" w:styleId="53">
    <w:name w:val="Заголовок 2 Знак"/>
    <w:basedOn w:val="13"/>
    <w:link w:val="3"/>
    <w:qFormat/>
    <w:uiPriority w:val="9"/>
    <w:rPr>
      <w:rFonts w:ascii="Arial" w:hAnsi="Arial" w:eastAsia="Times New Roman" w:cs="Mangal"/>
      <w:b/>
      <w:bCs/>
      <w:i/>
      <w:iCs/>
      <w:kern w:val="1"/>
      <w:sz w:val="28"/>
      <w:szCs w:val="28"/>
      <w:lang w:eastAsia="zh-CN" w:bidi="hi-IN"/>
    </w:rPr>
  </w:style>
  <w:style w:type="character" w:customStyle="1" w:styleId="54">
    <w:name w:val="Заголовок 3 Знак"/>
    <w:basedOn w:val="13"/>
    <w:link w:val="6"/>
    <w:qFormat/>
    <w:uiPriority w:val="9"/>
    <w:rPr>
      <w:rFonts w:ascii="Arial" w:hAnsi="Arial" w:eastAsia="Times New Roman" w:cs="Mangal"/>
      <w:b/>
      <w:bCs/>
      <w:kern w:val="1"/>
      <w:sz w:val="28"/>
      <w:szCs w:val="28"/>
      <w:lang w:eastAsia="zh-CN" w:bidi="hi-IN"/>
    </w:rPr>
  </w:style>
  <w:style w:type="character" w:customStyle="1" w:styleId="55">
    <w:name w:val="Заголовок 4 Знак"/>
    <w:basedOn w:val="13"/>
    <w:link w:val="7"/>
    <w:qFormat/>
    <w:uiPriority w:val="9"/>
    <w:rPr>
      <w:rFonts w:ascii="Times New Roman" w:hAnsi="Times New Roman" w:eastAsia="Times New Roman" w:cs="Times New Roman"/>
      <w:b/>
      <w:bCs/>
      <w:sz w:val="28"/>
      <w:szCs w:val="28"/>
      <w:lang w:eastAsia="ru-RU"/>
    </w:rPr>
  </w:style>
  <w:style w:type="character" w:customStyle="1" w:styleId="56">
    <w:name w:val="Заголовок 5 Знак"/>
    <w:basedOn w:val="13"/>
    <w:link w:val="8"/>
    <w:qFormat/>
    <w:uiPriority w:val="9"/>
    <w:rPr>
      <w:rFonts w:ascii="Times New Roman" w:hAnsi="Times New Roman" w:eastAsia="Times New Roman" w:cs="Times New Roman"/>
      <w:sz w:val="24"/>
      <w:szCs w:val="20"/>
      <w:lang w:eastAsia="ru-RU"/>
    </w:rPr>
  </w:style>
  <w:style w:type="character" w:customStyle="1" w:styleId="57">
    <w:name w:val="Заголовок 6 Знак"/>
    <w:basedOn w:val="13"/>
    <w:link w:val="9"/>
    <w:qFormat/>
    <w:uiPriority w:val="9"/>
    <w:rPr>
      <w:rFonts w:ascii="Times New Roman" w:hAnsi="Times New Roman" w:eastAsia="Times New Roman" w:cs="Times New Roman"/>
      <w:b/>
      <w:bCs/>
      <w:sz w:val="24"/>
      <w:szCs w:val="18"/>
      <w:lang w:eastAsia="ru-RU"/>
    </w:rPr>
  </w:style>
  <w:style w:type="character" w:customStyle="1" w:styleId="58">
    <w:name w:val="Заголовок 7 Знак"/>
    <w:basedOn w:val="13"/>
    <w:link w:val="10"/>
    <w:qFormat/>
    <w:uiPriority w:val="9"/>
    <w:rPr>
      <w:rFonts w:ascii="Times New Roman" w:hAnsi="Times New Roman" w:eastAsia="Times New Roman" w:cs="Times New Roman"/>
      <w:sz w:val="24"/>
      <w:szCs w:val="20"/>
      <w:lang w:eastAsia="ru-RU"/>
    </w:rPr>
  </w:style>
  <w:style w:type="character" w:customStyle="1" w:styleId="59">
    <w:name w:val="Заголовок 8 Знак"/>
    <w:basedOn w:val="13"/>
    <w:link w:val="11"/>
    <w:qFormat/>
    <w:uiPriority w:val="9"/>
    <w:rPr>
      <w:rFonts w:ascii="Times New Roman" w:hAnsi="Times New Roman" w:eastAsia="Times New Roman" w:cs="Times New Roman"/>
      <w:i/>
      <w:iCs/>
      <w:sz w:val="24"/>
      <w:szCs w:val="24"/>
      <w:lang w:eastAsia="ru-RU"/>
    </w:rPr>
  </w:style>
  <w:style w:type="paragraph" w:customStyle="1" w:styleId="60">
    <w:name w:val="Заголовок 91"/>
    <w:basedOn w:val="1"/>
    <w:next w:val="1"/>
    <w:unhideWhenUsed/>
    <w:qFormat/>
    <w:uiPriority w:val="9"/>
    <w:pPr>
      <w:keepNext/>
      <w:keepLines/>
      <w:spacing w:before="200" w:after="0" w:line="240" w:lineRule="auto"/>
      <w:ind w:firstLine="11"/>
      <w:jc w:val="both"/>
      <w:outlineLvl w:val="8"/>
    </w:pPr>
    <w:rPr>
      <w:rFonts w:ascii="Cambria" w:hAnsi="Cambria" w:eastAsia="Times New Roman" w:cs="Times New Roman"/>
      <w:i/>
      <w:iCs/>
      <w:color w:val="404040"/>
      <w:sz w:val="20"/>
      <w:szCs w:val="20"/>
      <w:lang w:eastAsia="ru-RU"/>
    </w:rPr>
  </w:style>
  <w:style w:type="character" w:customStyle="1" w:styleId="61">
    <w:name w:val="Заголовок 1 Знак"/>
    <w:basedOn w:val="13"/>
    <w:link w:val="2"/>
    <w:locked/>
    <w:uiPriority w:val="9"/>
    <w:rPr>
      <w:rFonts w:ascii="Cambria" w:hAnsi="Cambria" w:eastAsia="Times New Roman" w:cs="Times New Roman"/>
      <w:b/>
      <w:bCs/>
      <w:color w:val="365F91"/>
      <w:sz w:val="28"/>
      <w:szCs w:val="28"/>
      <w:lang w:val="zh-CN" w:eastAsia="ru-RU"/>
    </w:rPr>
  </w:style>
  <w:style w:type="character" w:customStyle="1" w:styleId="62">
    <w:name w:val="Заголовок 9 Знак"/>
    <w:basedOn w:val="13"/>
    <w:link w:val="12"/>
    <w:qFormat/>
    <w:locked/>
    <w:uiPriority w:val="9"/>
    <w:rPr>
      <w:rFonts w:ascii="Cambria" w:hAnsi="Cambria" w:eastAsia="Times New Roman" w:cs="Times New Roman"/>
      <w:i/>
      <w:iCs/>
      <w:color w:val="404040"/>
      <w:sz w:val="20"/>
      <w:szCs w:val="20"/>
      <w:lang w:val="zh-CN" w:eastAsia="ru-RU"/>
    </w:rPr>
  </w:style>
  <w:style w:type="character" w:customStyle="1" w:styleId="63">
    <w:name w:val="Верхний колонтитул Знак"/>
    <w:basedOn w:val="13"/>
    <w:link w:val="32"/>
    <w:qFormat/>
    <w:uiPriority w:val="99"/>
    <w:rPr>
      <w:rFonts w:ascii="Times New Roman" w:hAnsi="Times New Roman" w:eastAsia="Times New Roman" w:cs="Times New Roman"/>
      <w:sz w:val="24"/>
      <w:szCs w:val="24"/>
      <w:lang w:eastAsia="ru-RU"/>
    </w:rPr>
  </w:style>
  <w:style w:type="character" w:customStyle="1" w:styleId="64">
    <w:name w:val="Нижний колонтитул Знак"/>
    <w:basedOn w:val="13"/>
    <w:link w:val="29"/>
    <w:qFormat/>
    <w:uiPriority w:val="99"/>
    <w:rPr>
      <w:rFonts w:ascii="Times New Roman" w:hAnsi="Times New Roman" w:eastAsia="Times New Roman" w:cs="Times New Roman"/>
      <w:sz w:val="24"/>
      <w:szCs w:val="24"/>
      <w:lang w:eastAsia="ru-RU"/>
    </w:rPr>
  </w:style>
  <w:style w:type="paragraph" w:customStyle="1" w:styleId="65">
    <w:name w:val="Знак"/>
    <w:basedOn w:val="1"/>
    <w:qFormat/>
    <w:uiPriority w:val="0"/>
    <w:pPr>
      <w:spacing w:before="100" w:beforeAutospacing="1" w:after="100" w:afterAutospacing="1" w:line="240" w:lineRule="auto"/>
      <w:ind w:firstLine="11"/>
      <w:jc w:val="both"/>
    </w:pPr>
    <w:rPr>
      <w:rFonts w:ascii="Tahoma" w:hAnsi="Tahoma" w:eastAsia="Times New Roman" w:cs="Times New Roman"/>
      <w:sz w:val="20"/>
      <w:szCs w:val="20"/>
      <w:lang w:val="en-US"/>
    </w:rPr>
  </w:style>
  <w:style w:type="character" w:customStyle="1" w:styleId="66">
    <w:name w:val="Текст сноски Знак"/>
    <w:basedOn w:val="13"/>
    <w:link w:val="31"/>
    <w:qFormat/>
    <w:uiPriority w:val="99"/>
    <w:rPr>
      <w:rFonts w:ascii="Times New Roman" w:hAnsi="Times New Roman" w:eastAsia="Times New Roman" w:cs="Times New Roman"/>
      <w:sz w:val="20"/>
      <w:szCs w:val="20"/>
      <w:lang w:eastAsia="ru-RU"/>
    </w:rPr>
  </w:style>
  <w:style w:type="character" w:customStyle="1" w:styleId="67">
    <w:name w:val="Схема документа Знак"/>
    <w:basedOn w:val="13"/>
    <w:link w:val="25"/>
    <w:semiHidden/>
    <w:qFormat/>
    <w:uiPriority w:val="99"/>
    <w:rPr>
      <w:rFonts w:ascii="Tahoma" w:hAnsi="Tahoma" w:eastAsia="Times New Roman" w:cs="Tahoma"/>
      <w:sz w:val="20"/>
      <w:szCs w:val="20"/>
      <w:shd w:val="clear" w:color="auto" w:fill="000080"/>
      <w:lang w:eastAsia="ru-RU"/>
    </w:rPr>
  </w:style>
  <w:style w:type="paragraph" w:customStyle="1" w:styleId="68">
    <w:name w:val="Уровень 1"/>
    <w:basedOn w:val="1"/>
    <w:link w:val="153"/>
    <w:autoRedefine/>
    <w:qFormat/>
    <w:uiPriority w:val="0"/>
    <w:pPr>
      <w:numPr>
        <w:ilvl w:val="0"/>
        <w:numId w:val="4"/>
      </w:numPr>
      <w:tabs>
        <w:tab w:val="left" w:pos="1080"/>
      </w:tabs>
      <w:spacing w:after="0" w:line="240" w:lineRule="auto"/>
      <w:jc w:val="both"/>
    </w:pPr>
    <w:rPr>
      <w:rFonts w:ascii="Times New Roman" w:hAnsi="Times New Roman" w:eastAsia="Times New Roman" w:cs="Times New Roman"/>
      <w:caps/>
      <w:spacing w:val="28"/>
      <w:sz w:val="24"/>
      <w:szCs w:val="24"/>
      <w:lang w:eastAsia="ru-RU"/>
    </w:rPr>
  </w:style>
  <w:style w:type="paragraph" w:customStyle="1" w:styleId="69">
    <w:name w:val="Уровень 2"/>
    <w:basedOn w:val="1"/>
    <w:link w:val="88"/>
    <w:autoRedefine/>
    <w:qFormat/>
    <w:uiPriority w:val="0"/>
    <w:pPr>
      <w:spacing w:before="120" w:after="0" w:line="240" w:lineRule="auto"/>
      <w:ind w:firstLine="11"/>
      <w:jc w:val="both"/>
      <w:outlineLvl w:val="2"/>
    </w:pPr>
    <w:rPr>
      <w:rFonts w:ascii="Times New Roman" w:hAnsi="Times New Roman" w:eastAsia="Times New Roman" w:cs="Times New Roman"/>
      <w:b/>
      <w:sz w:val="24"/>
      <w:szCs w:val="24"/>
      <w:lang w:eastAsia="ru-RU"/>
    </w:rPr>
  </w:style>
  <w:style w:type="paragraph" w:customStyle="1" w:styleId="70">
    <w:name w:val="Уровень 3"/>
    <w:basedOn w:val="69"/>
    <w:link w:val="89"/>
    <w:autoRedefine/>
    <w:qFormat/>
    <w:uiPriority w:val="99"/>
    <w:pPr>
      <w:numPr>
        <w:ilvl w:val="2"/>
        <w:numId w:val="1"/>
      </w:numPr>
      <w:spacing w:before="0"/>
      <w:ind w:left="0" w:firstLine="0"/>
      <w:outlineLvl w:val="9"/>
    </w:pPr>
    <w:rPr>
      <w:b w:val="0"/>
    </w:rPr>
  </w:style>
  <w:style w:type="paragraph" w:customStyle="1" w:styleId="71">
    <w:name w:val="Маркированный"/>
    <w:basedOn w:val="35"/>
    <w:autoRedefine/>
    <w:qFormat/>
    <w:uiPriority w:val="0"/>
    <w:pPr>
      <w:numPr>
        <w:numId w:val="5"/>
      </w:numPr>
      <w:tabs>
        <w:tab w:val="left" w:pos="785"/>
      </w:tabs>
      <w:spacing w:before="0"/>
      <w:ind w:left="0" w:firstLine="360"/>
    </w:pPr>
  </w:style>
  <w:style w:type="paragraph" w:customStyle="1" w:styleId="72">
    <w:name w:val="Стиль1"/>
    <w:basedOn w:val="70"/>
    <w:autoRedefine/>
    <w:qFormat/>
    <w:uiPriority w:val="0"/>
    <w:pPr>
      <w:numPr>
        <w:numId w:val="6"/>
      </w:numPr>
      <w:tabs>
        <w:tab w:val="left" w:pos="2136"/>
      </w:tabs>
    </w:pPr>
    <w:rPr>
      <w:bCs/>
    </w:rPr>
  </w:style>
  <w:style w:type="character" w:customStyle="1" w:styleId="73">
    <w:name w:val="Текст Знак"/>
    <w:basedOn w:val="13"/>
    <w:link w:val="38"/>
    <w:qFormat/>
    <w:uiPriority w:val="99"/>
    <w:rPr>
      <w:rFonts w:ascii="Courier New" w:hAnsi="Courier New" w:eastAsia="Times New Roman" w:cs="Courier New"/>
      <w:sz w:val="20"/>
      <w:szCs w:val="20"/>
      <w:lang w:eastAsia="ru-RU"/>
    </w:rPr>
  </w:style>
  <w:style w:type="character" w:customStyle="1" w:styleId="74">
    <w:name w:val="Текст примечания Знак"/>
    <w:basedOn w:val="13"/>
    <w:link w:val="23"/>
    <w:semiHidden/>
    <w:qFormat/>
    <w:uiPriority w:val="99"/>
    <w:rPr>
      <w:rFonts w:ascii="Times New Roman" w:hAnsi="Times New Roman" w:eastAsia="Times New Roman" w:cs="Times New Roman"/>
      <w:sz w:val="20"/>
      <w:szCs w:val="20"/>
      <w:lang w:eastAsia="ru-RU"/>
    </w:rPr>
  </w:style>
  <w:style w:type="character" w:customStyle="1" w:styleId="75">
    <w:name w:val="Тема примечания Знак"/>
    <w:basedOn w:val="74"/>
    <w:link w:val="24"/>
    <w:semiHidden/>
    <w:qFormat/>
    <w:uiPriority w:val="99"/>
    <w:rPr>
      <w:rFonts w:ascii="Times New Roman" w:hAnsi="Times New Roman" w:eastAsia="Times New Roman" w:cs="Times New Roman"/>
      <w:b/>
      <w:bCs/>
      <w:sz w:val="20"/>
      <w:szCs w:val="20"/>
      <w:lang w:eastAsia="ru-RU"/>
    </w:rPr>
  </w:style>
  <w:style w:type="character" w:customStyle="1" w:styleId="76">
    <w:name w:val="Текст выноски Знак"/>
    <w:basedOn w:val="13"/>
    <w:link w:val="15"/>
    <w:semiHidden/>
    <w:qFormat/>
    <w:uiPriority w:val="99"/>
    <w:rPr>
      <w:rFonts w:ascii="Tahoma" w:hAnsi="Tahoma" w:eastAsia="Times New Roman" w:cs="Tahoma"/>
      <w:sz w:val="16"/>
      <w:szCs w:val="16"/>
      <w:lang w:eastAsia="ru-RU"/>
    </w:rPr>
  </w:style>
  <w:style w:type="paragraph" w:customStyle="1" w:styleId="77">
    <w:name w:val="Часть"/>
    <w:basedOn w:val="1"/>
    <w:autoRedefine/>
    <w:qFormat/>
    <w:uiPriority w:val="0"/>
    <w:pPr>
      <w:spacing w:before="120" w:after="0" w:line="240" w:lineRule="auto"/>
      <w:ind w:left="709" w:hanging="709"/>
      <w:jc w:val="both"/>
      <w:outlineLvl w:val="0"/>
    </w:pPr>
    <w:rPr>
      <w:rFonts w:ascii="Times New Roman" w:hAnsi="Times New Roman" w:eastAsia="Times New Roman" w:cs="Times New Roman"/>
      <w:b/>
      <w:caps/>
      <w:spacing w:val="40"/>
      <w:sz w:val="26"/>
      <w:szCs w:val="24"/>
      <w:lang w:eastAsia="ru-RU"/>
    </w:rPr>
  </w:style>
  <w:style w:type="paragraph" w:customStyle="1" w:styleId="78">
    <w:name w:val="Обычный1"/>
    <w:qFormat/>
    <w:uiPriority w:val="0"/>
    <w:pPr>
      <w:spacing w:before="100" w:after="100"/>
      <w:ind w:firstLine="11"/>
      <w:jc w:val="both"/>
    </w:pPr>
    <w:rPr>
      <w:rFonts w:ascii="Times New Roman" w:hAnsi="Times New Roman" w:eastAsia="Times New Roman" w:cs="Times New Roman"/>
      <w:sz w:val="24"/>
      <w:lang w:val="ru-RU" w:eastAsia="ru-RU" w:bidi="ar-SA"/>
    </w:rPr>
  </w:style>
  <w:style w:type="paragraph" w:customStyle="1" w:styleId="79">
    <w:name w:val="ConsNormal"/>
    <w:link w:val="106"/>
    <w:qFormat/>
    <w:uiPriority w:val="0"/>
    <w:pPr>
      <w:autoSpaceDE w:val="0"/>
      <w:autoSpaceDN w:val="0"/>
      <w:adjustRightInd w:val="0"/>
      <w:spacing w:before="120"/>
      <w:ind w:firstLine="720"/>
      <w:jc w:val="both"/>
    </w:pPr>
    <w:rPr>
      <w:rFonts w:ascii="Times New Roman" w:hAnsi="Times New Roman" w:eastAsia="Times New Roman" w:cs="Times New Roman"/>
      <w:lang w:val="ru-RU" w:eastAsia="ru-RU" w:bidi="ar-SA"/>
    </w:rPr>
  </w:style>
  <w:style w:type="character" w:customStyle="1" w:styleId="80">
    <w:name w:val="Основной текст 3 Знак"/>
    <w:basedOn w:val="13"/>
    <w:link w:val="18"/>
    <w:qFormat/>
    <w:uiPriority w:val="99"/>
    <w:rPr>
      <w:rFonts w:ascii="Times New Roman" w:hAnsi="Times New Roman" w:eastAsia="Times New Roman" w:cs="Times New Roman"/>
      <w:w w:val="93"/>
      <w:sz w:val="24"/>
      <w:szCs w:val="24"/>
      <w:shd w:val="clear" w:color="auto" w:fill="FFFFFF"/>
      <w:lang w:val="en-US" w:eastAsia="ru-RU"/>
    </w:rPr>
  </w:style>
  <w:style w:type="paragraph" w:customStyle="1" w:styleId="81">
    <w:name w:val="Основной шрифт абзаца Знак"/>
    <w:basedOn w:val="1"/>
    <w:qFormat/>
    <w:uiPriority w:val="0"/>
    <w:pPr>
      <w:spacing w:before="100" w:beforeAutospacing="1" w:after="100" w:afterAutospacing="1" w:line="240" w:lineRule="auto"/>
      <w:ind w:firstLine="11"/>
      <w:jc w:val="both"/>
    </w:pPr>
    <w:rPr>
      <w:rFonts w:ascii="Tahoma" w:hAnsi="Tahoma" w:eastAsia="Times New Roman" w:cs="Times New Roman"/>
      <w:sz w:val="20"/>
      <w:szCs w:val="20"/>
      <w:lang w:val="en-US"/>
    </w:rPr>
  </w:style>
  <w:style w:type="character" w:customStyle="1" w:styleId="82">
    <w:name w:val="Основной текст Знак"/>
    <w:basedOn w:val="13"/>
    <w:link w:val="5"/>
    <w:qFormat/>
    <w:uiPriority w:val="99"/>
    <w:rPr>
      <w:rFonts w:ascii="Times New Roman" w:hAnsi="Times New Roman" w:eastAsia="Times New Roman" w:cs="Times New Roman"/>
      <w:sz w:val="20"/>
      <w:szCs w:val="20"/>
      <w:lang w:eastAsia="ru-RU"/>
    </w:rPr>
  </w:style>
  <w:style w:type="paragraph" w:customStyle="1" w:styleId="83">
    <w:name w:val="Переменная часть"/>
    <w:basedOn w:val="1"/>
    <w:next w:val="1"/>
    <w:qFormat/>
    <w:uiPriority w:val="0"/>
    <w:pPr>
      <w:autoSpaceDE w:val="0"/>
      <w:autoSpaceDN w:val="0"/>
      <w:adjustRightInd w:val="0"/>
      <w:spacing w:before="120" w:after="0" w:line="240" w:lineRule="auto"/>
      <w:ind w:firstLine="720"/>
      <w:jc w:val="both"/>
    </w:pPr>
    <w:rPr>
      <w:rFonts w:ascii="Verdana" w:hAnsi="Verdana" w:eastAsia="Times New Roman" w:cs="Verdana"/>
      <w:lang w:eastAsia="ru-RU"/>
    </w:rPr>
  </w:style>
  <w:style w:type="paragraph" w:customStyle="1" w:styleId="84">
    <w:name w:val="Знак2"/>
    <w:basedOn w:val="1"/>
    <w:qFormat/>
    <w:uiPriority w:val="0"/>
    <w:pPr>
      <w:spacing w:before="100" w:beforeAutospacing="1" w:after="100" w:afterAutospacing="1" w:line="240" w:lineRule="auto"/>
      <w:ind w:firstLine="11"/>
      <w:jc w:val="both"/>
    </w:pPr>
    <w:rPr>
      <w:rFonts w:ascii="Tahoma" w:hAnsi="Tahoma" w:eastAsia="Times New Roman" w:cs="Times New Roman"/>
      <w:sz w:val="20"/>
      <w:szCs w:val="20"/>
      <w:lang w:val="en-US"/>
    </w:rPr>
  </w:style>
  <w:style w:type="paragraph" w:styleId="85">
    <w:name w:val="List Paragraph"/>
    <w:basedOn w:val="1"/>
    <w:link w:val="96"/>
    <w:qFormat/>
    <w:uiPriority w:val="34"/>
    <w:pPr>
      <w:spacing w:before="120" w:after="0" w:line="240" w:lineRule="auto"/>
      <w:ind w:left="708" w:firstLine="11"/>
      <w:jc w:val="both"/>
    </w:pPr>
    <w:rPr>
      <w:rFonts w:ascii="Times New Roman" w:hAnsi="Times New Roman" w:eastAsia="Times New Roman" w:cs="Times New Roman"/>
      <w:sz w:val="24"/>
      <w:szCs w:val="24"/>
      <w:lang w:eastAsia="ru-RU"/>
    </w:rPr>
  </w:style>
  <w:style w:type="paragraph" w:customStyle="1" w:styleId="86">
    <w:name w:val="Стиль2"/>
    <w:basedOn w:val="70"/>
    <w:link w:val="90"/>
    <w:qFormat/>
    <w:uiPriority w:val="0"/>
    <w:pPr>
      <w:numPr>
        <w:numId w:val="7"/>
      </w:numPr>
      <w:tabs>
        <w:tab w:val="left" w:pos="720"/>
        <w:tab w:val="left" w:pos="1080"/>
      </w:tabs>
    </w:pPr>
    <w:rPr>
      <w:b/>
      <w:sz w:val="23"/>
      <w:szCs w:val="23"/>
    </w:rPr>
  </w:style>
  <w:style w:type="paragraph" w:customStyle="1" w:styleId="87">
    <w:name w:val="Стиль3"/>
    <w:basedOn w:val="86"/>
    <w:qFormat/>
    <w:uiPriority w:val="0"/>
    <w:pPr>
      <w:numPr>
        <w:ilvl w:val="0"/>
        <w:numId w:val="0"/>
      </w:numPr>
    </w:pPr>
    <w:rPr>
      <w:b w:val="0"/>
    </w:rPr>
  </w:style>
  <w:style w:type="character" w:customStyle="1" w:styleId="88">
    <w:name w:val="Уровень 2 Знак"/>
    <w:basedOn w:val="13"/>
    <w:link w:val="69"/>
    <w:qFormat/>
    <w:locked/>
    <w:uiPriority w:val="0"/>
    <w:rPr>
      <w:rFonts w:ascii="Times New Roman" w:hAnsi="Times New Roman" w:eastAsia="Times New Roman" w:cs="Times New Roman"/>
      <w:b/>
      <w:sz w:val="24"/>
      <w:szCs w:val="24"/>
      <w:lang w:eastAsia="ru-RU"/>
    </w:rPr>
  </w:style>
  <w:style w:type="character" w:customStyle="1" w:styleId="89">
    <w:name w:val="Уровень 3 Знак"/>
    <w:basedOn w:val="88"/>
    <w:link w:val="70"/>
    <w:qFormat/>
    <w:locked/>
    <w:uiPriority w:val="99"/>
    <w:rPr>
      <w:rFonts w:ascii="Times New Roman" w:hAnsi="Times New Roman" w:eastAsia="Times New Roman" w:cs="Times New Roman"/>
      <w:b w:val="0"/>
      <w:sz w:val="24"/>
      <w:szCs w:val="24"/>
      <w:lang w:eastAsia="ru-RU"/>
    </w:rPr>
  </w:style>
  <w:style w:type="character" w:customStyle="1" w:styleId="90">
    <w:name w:val="Стиль2 Знак"/>
    <w:basedOn w:val="89"/>
    <w:link w:val="86"/>
    <w:qFormat/>
    <w:locked/>
    <w:uiPriority w:val="0"/>
    <w:rPr>
      <w:rFonts w:ascii="Times New Roman" w:hAnsi="Times New Roman" w:eastAsia="Times New Roman" w:cs="Times New Roman"/>
      <w:b/>
      <w:sz w:val="23"/>
      <w:szCs w:val="23"/>
      <w:lang w:eastAsia="ru-RU"/>
    </w:rPr>
  </w:style>
  <w:style w:type="character" w:styleId="91">
    <w:name w:val="Placeholder Text"/>
    <w:basedOn w:val="13"/>
    <w:semiHidden/>
    <w:qFormat/>
    <w:uiPriority w:val="99"/>
    <w:rPr>
      <w:rFonts w:cs="Times New Roman"/>
      <w:color w:val="808080"/>
    </w:rPr>
  </w:style>
  <w:style w:type="paragraph" w:customStyle="1" w:styleId="92">
    <w:name w:val="Стиль4"/>
    <w:basedOn w:val="69"/>
    <w:link w:val="93"/>
    <w:qFormat/>
    <w:uiPriority w:val="0"/>
    <w:pPr>
      <w:numPr>
        <w:ilvl w:val="1"/>
        <w:numId w:val="8"/>
      </w:numPr>
      <w:tabs>
        <w:tab w:val="left" w:pos="1080"/>
        <w:tab w:val="left" w:pos="1428"/>
      </w:tabs>
      <w:ind w:left="0" w:firstLine="11"/>
    </w:pPr>
    <w:rPr>
      <w:bCs/>
      <w:iCs/>
    </w:rPr>
  </w:style>
  <w:style w:type="character" w:customStyle="1" w:styleId="93">
    <w:name w:val="Стиль4 Знак"/>
    <w:basedOn w:val="88"/>
    <w:link w:val="92"/>
    <w:qFormat/>
    <w:locked/>
    <w:uiPriority w:val="0"/>
    <w:rPr>
      <w:rFonts w:ascii="Times New Roman" w:hAnsi="Times New Roman" w:eastAsia="Times New Roman" w:cs="Times New Roman"/>
      <w:bCs/>
      <w:iCs/>
      <w:sz w:val="24"/>
      <w:szCs w:val="24"/>
      <w:lang w:eastAsia="ru-RU"/>
    </w:rPr>
  </w:style>
  <w:style w:type="paragraph" w:customStyle="1" w:styleId="94">
    <w:name w:val="ConsPlusNormal"/>
    <w:link w:val="138"/>
    <w:qFormat/>
    <w:uiPriority w:val="0"/>
    <w:pPr>
      <w:widowControl w:val="0"/>
      <w:autoSpaceDE w:val="0"/>
      <w:autoSpaceDN w:val="0"/>
      <w:adjustRightInd w:val="0"/>
    </w:pPr>
    <w:rPr>
      <w:rFonts w:ascii="Arial" w:hAnsi="Arial" w:eastAsia="Times New Roman" w:cs="Arial"/>
      <w:lang w:val="ru-RU" w:eastAsia="ru-RU" w:bidi="ar-SA"/>
    </w:rPr>
  </w:style>
  <w:style w:type="paragraph" w:customStyle="1" w:styleId="95">
    <w:name w:val="Default"/>
    <w:qFormat/>
    <w:uiPriority w:val="0"/>
    <w:pPr>
      <w:autoSpaceDE w:val="0"/>
      <w:autoSpaceDN w:val="0"/>
      <w:adjustRightInd w:val="0"/>
    </w:pPr>
    <w:rPr>
      <w:rFonts w:ascii="Times New Roman" w:hAnsi="Times New Roman" w:eastAsia="Times New Roman" w:cs="Times New Roman"/>
      <w:color w:val="000000"/>
      <w:sz w:val="24"/>
      <w:szCs w:val="24"/>
      <w:lang w:val="ru-RU" w:eastAsia="en-US" w:bidi="ar-SA"/>
    </w:rPr>
  </w:style>
  <w:style w:type="character" w:customStyle="1" w:styleId="96">
    <w:name w:val="Абзац списка Знак"/>
    <w:link w:val="85"/>
    <w:qFormat/>
    <w:locked/>
    <w:uiPriority w:val="34"/>
    <w:rPr>
      <w:rFonts w:ascii="Times New Roman" w:hAnsi="Times New Roman" w:eastAsia="Times New Roman" w:cs="Times New Roman"/>
      <w:sz w:val="24"/>
      <w:szCs w:val="24"/>
      <w:lang w:eastAsia="ru-RU"/>
    </w:rPr>
  </w:style>
  <w:style w:type="character" w:customStyle="1" w:styleId="97">
    <w:name w:val="Стиль5"/>
    <w:basedOn w:val="13"/>
    <w:qFormat/>
    <w:uiPriority w:val="1"/>
    <w:rPr>
      <w:rFonts w:cs="Times New Roman"/>
      <w:i/>
    </w:rPr>
  </w:style>
  <w:style w:type="character" w:customStyle="1" w:styleId="98">
    <w:name w:val="grame"/>
    <w:basedOn w:val="13"/>
    <w:qFormat/>
    <w:uiPriority w:val="0"/>
    <w:rPr>
      <w:rFonts w:cs="Times New Roman"/>
    </w:rPr>
  </w:style>
  <w:style w:type="paragraph" w:customStyle="1" w:styleId="99">
    <w:name w:val="Текст1"/>
    <w:basedOn w:val="1"/>
    <w:link w:val="100"/>
    <w:uiPriority w:val="0"/>
    <w:pPr>
      <w:spacing w:after="0" w:line="240" w:lineRule="auto"/>
    </w:pPr>
    <w:rPr>
      <w:rFonts w:ascii="Courier New" w:hAnsi="Courier New" w:eastAsia="Times New Roman" w:cs="Times New Roman"/>
      <w:sz w:val="20"/>
      <w:szCs w:val="20"/>
      <w:lang w:eastAsia="ru-RU"/>
    </w:rPr>
  </w:style>
  <w:style w:type="character" w:customStyle="1" w:styleId="100">
    <w:name w:val="Plain Text Знак"/>
    <w:link w:val="99"/>
    <w:qFormat/>
    <w:locked/>
    <w:uiPriority w:val="0"/>
    <w:rPr>
      <w:rFonts w:ascii="Courier New" w:hAnsi="Courier New" w:eastAsia="Times New Roman" w:cs="Times New Roman"/>
      <w:sz w:val="20"/>
      <w:szCs w:val="20"/>
      <w:lang w:eastAsia="ru-RU"/>
    </w:rPr>
  </w:style>
  <w:style w:type="paragraph" w:customStyle="1" w:styleId="101">
    <w:name w:val="Пункт"/>
    <w:basedOn w:val="1"/>
    <w:qFormat/>
    <w:uiPriority w:val="0"/>
    <w:pPr>
      <w:tabs>
        <w:tab w:val="left" w:pos="1980"/>
      </w:tabs>
      <w:spacing w:after="0" w:line="240" w:lineRule="auto"/>
      <w:ind w:left="1404" w:hanging="504"/>
      <w:jc w:val="both"/>
    </w:pPr>
    <w:rPr>
      <w:rFonts w:ascii="Times New Roman" w:hAnsi="Times New Roman" w:eastAsia="Times New Roman" w:cs="Times New Roman"/>
      <w:sz w:val="24"/>
      <w:szCs w:val="24"/>
      <w:lang w:eastAsia="ru-RU"/>
    </w:rPr>
  </w:style>
  <w:style w:type="paragraph" w:customStyle="1" w:styleId="102">
    <w:name w:val="Основной текст с отступом1"/>
    <w:basedOn w:val="1"/>
    <w:link w:val="103"/>
    <w:qFormat/>
    <w:uiPriority w:val="0"/>
    <w:pPr>
      <w:spacing w:before="120" w:after="120" w:line="240" w:lineRule="auto"/>
      <w:ind w:left="283" w:firstLine="11"/>
      <w:jc w:val="both"/>
    </w:pPr>
    <w:rPr>
      <w:rFonts w:ascii="Times New Roman" w:hAnsi="Times New Roman" w:eastAsia="Times New Roman" w:cs="Times New Roman"/>
      <w:sz w:val="24"/>
      <w:szCs w:val="24"/>
      <w:lang w:eastAsia="ru-RU"/>
    </w:rPr>
  </w:style>
  <w:style w:type="character" w:customStyle="1" w:styleId="103">
    <w:name w:val="Body Text Indent Char"/>
    <w:link w:val="102"/>
    <w:qFormat/>
    <w:locked/>
    <w:uiPriority w:val="0"/>
    <w:rPr>
      <w:rFonts w:ascii="Times New Roman" w:hAnsi="Times New Roman" w:eastAsia="Times New Roman" w:cs="Times New Roman"/>
      <w:sz w:val="24"/>
      <w:szCs w:val="24"/>
      <w:lang w:eastAsia="ru-RU"/>
    </w:rPr>
  </w:style>
  <w:style w:type="paragraph" w:customStyle="1" w:styleId="104">
    <w:name w:val="Цитаты"/>
    <w:basedOn w:val="1"/>
    <w:qFormat/>
    <w:uiPriority w:val="0"/>
    <w:pPr>
      <w:autoSpaceDE w:val="0"/>
      <w:autoSpaceDN w:val="0"/>
      <w:spacing w:before="100" w:after="100" w:line="240" w:lineRule="auto"/>
      <w:ind w:left="360" w:right="360"/>
    </w:pPr>
    <w:rPr>
      <w:rFonts w:ascii="Times New Roman" w:hAnsi="Times New Roman" w:eastAsia="Times New Roman" w:cs="Times New Roman"/>
      <w:sz w:val="20"/>
      <w:szCs w:val="20"/>
      <w:lang w:eastAsia="ru-RU"/>
    </w:rPr>
  </w:style>
  <w:style w:type="paragraph" w:customStyle="1" w:styleId="105">
    <w:name w:val="ConsPlusNonformat"/>
    <w:qFormat/>
    <w:uiPriority w:val="0"/>
    <w:pPr>
      <w:autoSpaceDE w:val="0"/>
      <w:autoSpaceDN w:val="0"/>
      <w:adjustRightInd w:val="0"/>
    </w:pPr>
    <w:rPr>
      <w:rFonts w:ascii="Courier New" w:hAnsi="Courier New" w:eastAsia="Times New Roman" w:cs="Courier New"/>
      <w:lang w:val="ru-RU" w:eastAsia="ru-RU" w:bidi="ar-SA"/>
    </w:rPr>
  </w:style>
  <w:style w:type="character" w:customStyle="1" w:styleId="106">
    <w:name w:val="ConsNormal Знак"/>
    <w:link w:val="79"/>
    <w:qFormat/>
    <w:locked/>
    <w:uiPriority w:val="0"/>
    <w:rPr>
      <w:rFonts w:ascii="Times New Roman" w:hAnsi="Times New Roman" w:eastAsia="Times New Roman" w:cs="Times New Roman"/>
      <w:sz w:val="20"/>
      <w:szCs w:val="20"/>
      <w:lang w:eastAsia="ru-RU"/>
    </w:rPr>
  </w:style>
  <w:style w:type="paragraph" w:customStyle="1" w:styleId="107">
    <w:name w:val="western"/>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108">
    <w:name w:val="Базовый"/>
    <w:qFormat/>
    <w:uiPriority w:val="0"/>
    <w:pPr>
      <w:suppressAutoHyphens/>
      <w:spacing w:after="200" w:line="276" w:lineRule="auto"/>
    </w:pPr>
    <w:rPr>
      <w:rFonts w:ascii="Calibri" w:hAnsi="Calibri" w:eastAsia="SimSun" w:cs="Times New Roman"/>
      <w:sz w:val="22"/>
      <w:szCs w:val="22"/>
      <w:lang w:val="ru-RU" w:eastAsia="ru-RU" w:bidi="ar-SA"/>
    </w:rPr>
  </w:style>
  <w:style w:type="paragraph" w:customStyle="1" w:styleId="109">
    <w:name w:val="Прижатый влево"/>
    <w:basedOn w:val="1"/>
    <w:next w:val="1"/>
    <w:qFormat/>
    <w:uiPriority w:val="99"/>
    <w:pPr>
      <w:autoSpaceDE w:val="0"/>
      <w:autoSpaceDN w:val="0"/>
      <w:adjustRightInd w:val="0"/>
      <w:spacing w:after="0" w:line="240" w:lineRule="auto"/>
    </w:pPr>
    <w:rPr>
      <w:rFonts w:ascii="Arial" w:hAnsi="Arial" w:eastAsia="Times New Roman" w:cs="Arial"/>
      <w:sz w:val="24"/>
      <w:szCs w:val="24"/>
    </w:rPr>
  </w:style>
  <w:style w:type="character" w:customStyle="1" w:styleId="110">
    <w:name w:val="Основной текст с отступом Знак"/>
    <w:basedOn w:val="13"/>
    <w:link w:val="19"/>
    <w:qFormat/>
    <w:uiPriority w:val="99"/>
    <w:rPr>
      <w:rFonts w:ascii="Times New Roman" w:hAnsi="Times New Roman" w:eastAsia="Times New Roman" w:cs="Times New Roman"/>
      <w:sz w:val="24"/>
      <w:szCs w:val="24"/>
      <w:lang w:eastAsia="ru-RU"/>
    </w:rPr>
  </w:style>
  <w:style w:type="paragraph" w:customStyle="1" w:styleId="111">
    <w:name w:val="Подзаголовок1"/>
    <w:basedOn w:val="1"/>
    <w:next w:val="1"/>
    <w:qFormat/>
    <w:uiPriority w:val="11"/>
    <w:pPr>
      <w:spacing w:before="120" w:after="0" w:line="240" w:lineRule="auto"/>
      <w:ind w:firstLine="11"/>
      <w:jc w:val="both"/>
    </w:pPr>
    <w:rPr>
      <w:rFonts w:ascii="Cambria" w:hAnsi="Cambria" w:eastAsia="Times New Roman" w:cs="Times New Roman"/>
      <w:i/>
      <w:iCs/>
      <w:color w:val="4F81BD"/>
      <w:spacing w:val="15"/>
      <w:sz w:val="24"/>
      <w:szCs w:val="24"/>
      <w:lang w:eastAsia="ru-RU"/>
    </w:rPr>
  </w:style>
  <w:style w:type="character" w:customStyle="1" w:styleId="112">
    <w:name w:val="Подзаголовок Знак"/>
    <w:basedOn w:val="13"/>
    <w:link w:val="40"/>
    <w:qFormat/>
    <w:locked/>
    <w:uiPriority w:val="11"/>
    <w:rPr>
      <w:rFonts w:ascii="Cambria" w:hAnsi="Cambria" w:eastAsia="Times New Roman" w:cs="Times New Roman"/>
      <w:i/>
      <w:iCs/>
      <w:color w:val="4F81BD"/>
      <w:spacing w:val="15"/>
      <w:sz w:val="24"/>
      <w:szCs w:val="24"/>
      <w:lang w:val="zh-CN" w:eastAsia="ru-RU"/>
    </w:rPr>
  </w:style>
  <w:style w:type="character" w:customStyle="1" w:styleId="113">
    <w:name w:val="blk"/>
    <w:basedOn w:val="13"/>
    <w:qFormat/>
    <w:uiPriority w:val="0"/>
    <w:rPr>
      <w:rFonts w:cs="Times New Roman"/>
    </w:rPr>
  </w:style>
  <w:style w:type="paragraph" w:customStyle="1" w:styleId="114">
    <w:name w:val="Таблицы (моноширинный)"/>
    <w:basedOn w:val="1"/>
    <w:next w:val="1"/>
    <w:qFormat/>
    <w:uiPriority w:val="99"/>
    <w:pPr>
      <w:widowControl w:val="0"/>
      <w:autoSpaceDE w:val="0"/>
      <w:autoSpaceDN w:val="0"/>
      <w:adjustRightInd w:val="0"/>
      <w:spacing w:after="0" w:line="240" w:lineRule="auto"/>
      <w:jc w:val="both"/>
    </w:pPr>
    <w:rPr>
      <w:rFonts w:ascii="Courier New" w:hAnsi="Courier New" w:eastAsia="Times New Roman" w:cs="Courier New"/>
      <w:sz w:val="20"/>
      <w:szCs w:val="20"/>
      <w:lang w:eastAsia="ru-RU"/>
    </w:rPr>
  </w:style>
  <w:style w:type="character" w:customStyle="1" w:styleId="115">
    <w:name w:val="WW8Num1z0"/>
    <w:qFormat/>
    <w:uiPriority w:val="0"/>
  </w:style>
  <w:style w:type="character" w:customStyle="1" w:styleId="116">
    <w:name w:val="WW8Num1z1"/>
    <w:qFormat/>
    <w:uiPriority w:val="0"/>
  </w:style>
  <w:style w:type="character" w:customStyle="1" w:styleId="117">
    <w:name w:val="WW8Num1z2"/>
    <w:qFormat/>
    <w:uiPriority w:val="0"/>
  </w:style>
  <w:style w:type="character" w:customStyle="1" w:styleId="118">
    <w:name w:val="WW8Num1z3"/>
    <w:qFormat/>
    <w:uiPriority w:val="0"/>
  </w:style>
  <w:style w:type="character" w:customStyle="1" w:styleId="119">
    <w:name w:val="WW8Num1z4"/>
    <w:qFormat/>
    <w:uiPriority w:val="0"/>
  </w:style>
  <w:style w:type="character" w:customStyle="1" w:styleId="120">
    <w:name w:val="WW8Num1z5"/>
    <w:qFormat/>
    <w:uiPriority w:val="0"/>
  </w:style>
  <w:style w:type="character" w:customStyle="1" w:styleId="121">
    <w:name w:val="WW8Num1z6"/>
    <w:uiPriority w:val="0"/>
  </w:style>
  <w:style w:type="character" w:customStyle="1" w:styleId="122">
    <w:name w:val="WW8Num1z7"/>
    <w:qFormat/>
    <w:uiPriority w:val="0"/>
  </w:style>
  <w:style w:type="character" w:customStyle="1" w:styleId="123">
    <w:name w:val="WW8Num1z8"/>
    <w:uiPriority w:val="0"/>
  </w:style>
  <w:style w:type="paragraph" w:customStyle="1" w:styleId="124">
    <w:name w:val="Указатель1"/>
    <w:basedOn w:val="1"/>
    <w:qFormat/>
    <w:uiPriority w:val="0"/>
    <w:pPr>
      <w:widowControl w:val="0"/>
      <w:suppressLineNumbers/>
      <w:suppressAutoHyphens/>
      <w:spacing w:after="0" w:line="240" w:lineRule="auto"/>
    </w:pPr>
    <w:rPr>
      <w:rFonts w:ascii="Times New Roman" w:hAnsi="Times New Roman" w:eastAsia="Times New Roman" w:cs="Mangal"/>
      <w:kern w:val="1"/>
      <w:sz w:val="24"/>
      <w:szCs w:val="24"/>
      <w:lang w:eastAsia="zh-CN" w:bidi="hi-IN"/>
    </w:rPr>
  </w:style>
  <w:style w:type="paragraph" w:customStyle="1" w:styleId="125">
    <w:name w:val="Цитата1"/>
    <w:basedOn w:val="1"/>
    <w:qFormat/>
    <w:uiPriority w:val="0"/>
    <w:pPr>
      <w:widowControl w:val="0"/>
      <w:suppressAutoHyphens/>
      <w:spacing w:after="283" w:line="240" w:lineRule="auto"/>
      <w:ind w:left="567" w:right="567"/>
    </w:pPr>
    <w:rPr>
      <w:rFonts w:ascii="Times New Roman" w:hAnsi="Times New Roman" w:eastAsia="Times New Roman" w:cs="Mangal"/>
      <w:kern w:val="1"/>
      <w:sz w:val="24"/>
      <w:szCs w:val="24"/>
      <w:lang w:eastAsia="zh-CN" w:bidi="hi-IN"/>
    </w:rPr>
  </w:style>
  <w:style w:type="character" w:customStyle="1" w:styleId="126">
    <w:name w:val="Заголовок Знак"/>
    <w:basedOn w:val="13"/>
    <w:link w:val="42"/>
    <w:qFormat/>
    <w:uiPriority w:val="10"/>
    <w:rPr>
      <w:rFonts w:ascii="Arial" w:hAnsi="Arial" w:eastAsia="Times New Roman" w:cs="Mangal"/>
      <w:b/>
      <w:bCs/>
      <w:kern w:val="1"/>
      <w:sz w:val="36"/>
      <w:szCs w:val="36"/>
      <w:lang w:eastAsia="zh-CN" w:bidi="hi-IN"/>
    </w:rPr>
  </w:style>
  <w:style w:type="paragraph" w:customStyle="1" w:styleId="127">
    <w:name w:val="Содержимое таблицы"/>
    <w:basedOn w:val="1"/>
    <w:qFormat/>
    <w:uiPriority w:val="0"/>
    <w:pPr>
      <w:widowControl w:val="0"/>
      <w:suppressLineNumbers/>
      <w:suppressAutoHyphens/>
      <w:spacing w:after="0" w:line="240" w:lineRule="auto"/>
    </w:pPr>
    <w:rPr>
      <w:rFonts w:ascii="Times New Roman" w:hAnsi="Times New Roman" w:eastAsia="Times New Roman" w:cs="Mangal"/>
      <w:kern w:val="1"/>
      <w:sz w:val="24"/>
      <w:szCs w:val="24"/>
      <w:lang w:eastAsia="zh-CN" w:bidi="hi-IN"/>
    </w:rPr>
  </w:style>
  <w:style w:type="paragraph" w:customStyle="1" w:styleId="128">
    <w:name w:val="Заголовок таблицы"/>
    <w:basedOn w:val="127"/>
    <w:qFormat/>
    <w:uiPriority w:val="0"/>
    <w:pPr>
      <w:jc w:val="center"/>
    </w:pPr>
    <w:rPr>
      <w:b/>
      <w:bCs/>
    </w:rPr>
  </w:style>
  <w:style w:type="paragraph" w:styleId="129">
    <w:name w:val="No Spacing"/>
    <w:link w:val="154"/>
    <w:qFormat/>
    <w:uiPriority w:val="1"/>
    <w:pPr>
      <w:widowControl w:val="0"/>
      <w:autoSpaceDE w:val="0"/>
      <w:autoSpaceDN w:val="0"/>
      <w:adjustRightInd w:val="0"/>
    </w:pPr>
    <w:rPr>
      <w:rFonts w:ascii="Arial" w:hAnsi="Arial" w:eastAsia="Times New Roman" w:cs="Arial"/>
      <w:sz w:val="18"/>
      <w:szCs w:val="18"/>
      <w:lang w:val="ru-RU" w:eastAsia="ru-RU" w:bidi="ar-SA"/>
    </w:rPr>
  </w:style>
  <w:style w:type="character" w:customStyle="1" w:styleId="130">
    <w:name w:val="Font Style11"/>
    <w:qFormat/>
    <w:uiPriority w:val="0"/>
    <w:rPr>
      <w:rFonts w:ascii="Times New Roman" w:hAnsi="Times New Roman"/>
      <w:b/>
      <w:spacing w:val="10"/>
      <w:sz w:val="20"/>
    </w:rPr>
  </w:style>
  <w:style w:type="paragraph" w:customStyle="1" w:styleId="131">
    <w:name w:val="Текст абзаца"/>
    <w:basedOn w:val="1"/>
    <w:link w:val="132"/>
    <w:qFormat/>
    <w:uiPriority w:val="0"/>
    <w:pPr>
      <w:spacing w:after="0" w:line="240" w:lineRule="auto"/>
      <w:ind w:firstLine="709"/>
      <w:jc w:val="both"/>
    </w:pPr>
    <w:rPr>
      <w:rFonts w:ascii="Times New Roman" w:hAnsi="Times New Roman" w:eastAsia="SimSun" w:cs="Times New Roman"/>
      <w:sz w:val="24"/>
      <w:szCs w:val="24"/>
      <w:lang w:eastAsia="ru-RU"/>
    </w:rPr>
  </w:style>
  <w:style w:type="character" w:customStyle="1" w:styleId="132">
    <w:name w:val="Текст абзаца Char"/>
    <w:link w:val="131"/>
    <w:qFormat/>
    <w:locked/>
    <w:uiPriority w:val="0"/>
    <w:rPr>
      <w:rFonts w:ascii="Times New Roman" w:hAnsi="Times New Roman" w:eastAsia="SimSun" w:cs="Times New Roman"/>
      <w:sz w:val="24"/>
      <w:szCs w:val="24"/>
      <w:lang w:eastAsia="ru-RU"/>
    </w:rPr>
  </w:style>
  <w:style w:type="character" w:customStyle="1" w:styleId="133">
    <w:name w:val="Основной текст 2 Знак"/>
    <w:basedOn w:val="13"/>
    <w:link w:val="17"/>
    <w:qFormat/>
    <w:uiPriority w:val="99"/>
    <w:rPr>
      <w:rFonts w:ascii="Times New Roman" w:hAnsi="Times New Roman" w:eastAsia="Times New Roman" w:cs="Times New Roman"/>
      <w:b/>
      <w:sz w:val="24"/>
      <w:szCs w:val="20"/>
      <w:lang w:eastAsia="ru-RU"/>
    </w:rPr>
  </w:style>
  <w:style w:type="paragraph" w:customStyle="1" w:styleId="134">
    <w:name w:val="Текст концевой сноски1"/>
    <w:basedOn w:val="1"/>
    <w:next w:val="27"/>
    <w:link w:val="135"/>
    <w:qFormat/>
    <w:uiPriority w:val="99"/>
    <w:pPr>
      <w:autoSpaceDE w:val="0"/>
      <w:autoSpaceDN w:val="0"/>
      <w:spacing w:after="0" w:line="240" w:lineRule="auto"/>
    </w:pPr>
    <w:rPr>
      <w:rFonts w:ascii="Times New Roman" w:hAnsi="Times New Roman" w:eastAsia="Times New Roman" w:cs="Times New Roman"/>
      <w:sz w:val="20"/>
      <w:szCs w:val="20"/>
      <w:lang w:val="zh-CN" w:eastAsia="ru-RU"/>
    </w:rPr>
  </w:style>
  <w:style w:type="character" w:customStyle="1" w:styleId="135">
    <w:name w:val="Текст концевой сноски Знак"/>
    <w:basedOn w:val="13"/>
    <w:link w:val="134"/>
    <w:qFormat/>
    <w:locked/>
    <w:uiPriority w:val="99"/>
    <w:rPr>
      <w:rFonts w:ascii="Times New Roman" w:hAnsi="Times New Roman" w:eastAsia="Times New Roman" w:cs="Times New Roman"/>
      <w:sz w:val="20"/>
      <w:szCs w:val="20"/>
      <w:lang w:val="zh-CN" w:eastAsia="ru-RU"/>
    </w:rPr>
  </w:style>
  <w:style w:type="character" w:customStyle="1" w:styleId="136">
    <w:name w:val="product-spec-item__name-inner"/>
    <w:basedOn w:val="13"/>
    <w:uiPriority w:val="0"/>
    <w:rPr>
      <w:rFonts w:cs="Times New Roman"/>
    </w:rPr>
  </w:style>
  <w:style w:type="character" w:customStyle="1" w:styleId="137">
    <w:name w:val="product-spec-item__value-inner"/>
    <w:basedOn w:val="13"/>
    <w:qFormat/>
    <w:uiPriority w:val="0"/>
    <w:rPr>
      <w:rFonts w:cs="Times New Roman"/>
    </w:rPr>
  </w:style>
  <w:style w:type="character" w:customStyle="1" w:styleId="138">
    <w:name w:val="ConsPlusNormal Знак"/>
    <w:basedOn w:val="13"/>
    <w:link w:val="94"/>
    <w:qFormat/>
    <w:locked/>
    <w:uiPriority w:val="0"/>
    <w:rPr>
      <w:rFonts w:ascii="Arial" w:hAnsi="Arial" w:eastAsia="Times New Roman" w:cs="Arial"/>
      <w:sz w:val="20"/>
      <w:szCs w:val="20"/>
      <w:lang w:eastAsia="ru-RU"/>
    </w:rPr>
  </w:style>
  <w:style w:type="character" w:customStyle="1" w:styleId="139">
    <w:name w:val="b-dotted-line__title"/>
    <w:basedOn w:val="13"/>
    <w:qFormat/>
    <w:uiPriority w:val="0"/>
    <w:rPr>
      <w:rFonts w:cs="Times New Roman"/>
    </w:rPr>
  </w:style>
  <w:style w:type="character" w:customStyle="1" w:styleId="140">
    <w:name w:val="apple-converted-space"/>
    <w:basedOn w:val="13"/>
    <w:qFormat/>
    <w:uiPriority w:val="0"/>
    <w:rPr>
      <w:rFonts w:cs="Times New Roman"/>
    </w:rPr>
  </w:style>
  <w:style w:type="paragraph" w:customStyle="1" w:styleId="141">
    <w:name w:val="Цифровое перечисление"/>
    <w:basedOn w:val="1"/>
    <w:next w:val="1"/>
    <w:link w:val="142"/>
    <w:qFormat/>
    <w:uiPriority w:val="0"/>
    <w:pPr>
      <w:widowControl w:val="0"/>
      <w:numPr>
        <w:ilvl w:val="0"/>
        <w:numId w:val="9"/>
      </w:numPr>
      <w:tabs>
        <w:tab w:val="left" w:pos="1560"/>
      </w:tabs>
      <w:spacing w:after="0" w:line="240" w:lineRule="auto"/>
      <w:jc w:val="both"/>
    </w:pPr>
    <w:rPr>
      <w:rFonts w:ascii="Times New Roman" w:hAnsi="Times New Roman" w:eastAsia="Times New Roman" w:cs="Times New Roman"/>
      <w:sz w:val="28"/>
      <w:szCs w:val="27"/>
      <w:lang w:eastAsia="ru-RU"/>
    </w:rPr>
  </w:style>
  <w:style w:type="character" w:customStyle="1" w:styleId="142">
    <w:name w:val="Цифровое перечисление Знак"/>
    <w:basedOn w:val="13"/>
    <w:link w:val="141"/>
    <w:qFormat/>
    <w:locked/>
    <w:uiPriority w:val="0"/>
    <w:rPr>
      <w:rFonts w:ascii="Times New Roman" w:hAnsi="Times New Roman" w:eastAsia="Times New Roman" w:cs="Times New Roman"/>
      <w:sz w:val="28"/>
      <w:szCs w:val="27"/>
      <w:lang w:eastAsia="ru-RU"/>
    </w:rPr>
  </w:style>
  <w:style w:type="paragraph" w:customStyle="1" w:styleId="143">
    <w:name w:val="Буквенное обозначение подпунктов"/>
    <w:basedOn w:val="1"/>
    <w:next w:val="1"/>
    <w:link w:val="144"/>
    <w:qFormat/>
    <w:uiPriority w:val="0"/>
    <w:pPr>
      <w:widowControl w:val="0"/>
      <w:numPr>
        <w:ilvl w:val="0"/>
        <w:numId w:val="10"/>
      </w:numPr>
      <w:tabs>
        <w:tab w:val="left" w:pos="1560"/>
      </w:tabs>
      <w:spacing w:after="0" w:line="240" w:lineRule="auto"/>
      <w:contextualSpacing/>
      <w:jc w:val="both"/>
    </w:pPr>
    <w:rPr>
      <w:rFonts w:ascii="Times New Roman" w:hAnsi="Times New Roman" w:eastAsia="Times New Roman" w:cs="Times New Roman"/>
      <w:sz w:val="28"/>
      <w:szCs w:val="27"/>
      <w:lang w:eastAsia="ru-RU"/>
    </w:rPr>
  </w:style>
  <w:style w:type="character" w:customStyle="1" w:styleId="144">
    <w:name w:val="Буквенное обозначение подпунктов Знак"/>
    <w:basedOn w:val="13"/>
    <w:link w:val="143"/>
    <w:qFormat/>
    <w:locked/>
    <w:uiPriority w:val="0"/>
    <w:rPr>
      <w:rFonts w:ascii="Times New Roman" w:hAnsi="Times New Roman" w:eastAsia="Times New Roman" w:cs="Times New Roman"/>
      <w:sz w:val="28"/>
      <w:szCs w:val="27"/>
      <w:lang w:eastAsia="ru-RU"/>
    </w:rPr>
  </w:style>
  <w:style w:type="paragraph" w:customStyle="1" w:styleId="145">
    <w:name w:val="Перечисление"/>
    <w:basedOn w:val="1"/>
    <w:link w:val="146"/>
    <w:qFormat/>
    <w:uiPriority w:val="0"/>
    <w:pPr>
      <w:widowControl w:val="0"/>
      <w:numPr>
        <w:ilvl w:val="0"/>
        <w:numId w:val="11"/>
      </w:numPr>
      <w:tabs>
        <w:tab w:val="left" w:pos="1560"/>
      </w:tabs>
      <w:spacing w:after="0" w:line="240" w:lineRule="auto"/>
      <w:ind w:left="0" w:firstLine="993"/>
      <w:contextualSpacing/>
      <w:jc w:val="both"/>
    </w:pPr>
    <w:rPr>
      <w:rFonts w:ascii="Times New Roman" w:hAnsi="Times New Roman" w:eastAsia="Times New Roman" w:cs="Times New Roman"/>
      <w:sz w:val="28"/>
      <w:szCs w:val="27"/>
      <w:lang w:eastAsia="ru-RU"/>
    </w:rPr>
  </w:style>
  <w:style w:type="character" w:customStyle="1" w:styleId="146">
    <w:name w:val="Перечисление Знак"/>
    <w:basedOn w:val="13"/>
    <w:link w:val="145"/>
    <w:qFormat/>
    <w:locked/>
    <w:uiPriority w:val="0"/>
    <w:rPr>
      <w:rFonts w:ascii="Times New Roman" w:hAnsi="Times New Roman" w:eastAsia="Times New Roman" w:cs="Times New Roman"/>
      <w:sz w:val="28"/>
      <w:szCs w:val="27"/>
      <w:lang w:eastAsia="ru-RU"/>
    </w:rPr>
  </w:style>
  <w:style w:type="paragraph" w:customStyle="1" w:styleId="147">
    <w:name w:val="Заголовок (жирный)"/>
    <w:basedOn w:val="1"/>
    <w:qFormat/>
    <w:uiPriority w:val="0"/>
    <w:pPr>
      <w:keepNext/>
      <w:widowControl w:val="0"/>
      <w:numPr>
        <w:ilvl w:val="0"/>
        <w:numId w:val="12"/>
      </w:numPr>
      <w:tabs>
        <w:tab w:val="left" w:pos="1701"/>
      </w:tabs>
      <w:spacing w:after="0" w:line="240" w:lineRule="auto"/>
      <w:ind w:left="0" w:firstLine="709"/>
      <w:jc w:val="both"/>
      <w:outlineLvl w:val="0"/>
    </w:pPr>
    <w:rPr>
      <w:rFonts w:ascii="Times New Roman" w:hAnsi="Times New Roman" w:eastAsia="Times New Roman" w:cs="Times New Roman"/>
      <w:b/>
      <w:sz w:val="28"/>
      <w:szCs w:val="28"/>
      <w:lang w:eastAsia="ko-KR"/>
    </w:rPr>
  </w:style>
  <w:style w:type="paragraph" w:customStyle="1" w:styleId="148">
    <w:name w:val="Пункт с номером"/>
    <w:basedOn w:val="1"/>
    <w:link w:val="152"/>
    <w:qFormat/>
    <w:uiPriority w:val="0"/>
    <w:pPr>
      <w:widowControl w:val="0"/>
      <w:numPr>
        <w:ilvl w:val="1"/>
        <w:numId w:val="12"/>
      </w:numPr>
      <w:tabs>
        <w:tab w:val="left" w:pos="1560"/>
      </w:tabs>
      <w:spacing w:after="0" w:line="240" w:lineRule="auto"/>
      <w:ind w:left="0" w:firstLine="709"/>
      <w:contextualSpacing/>
      <w:jc w:val="both"/>
    </w:pPr>
    <w:rPr>
      <w:rFonts w:ascii="Times New Roman" w:hAnsi="Times New Roman" w:eastAsia="Times New Roman" w:cs="Times New Roman"/>
      <w:sz w:val="28"/>
      <w:szCs w:val="28"/>
      <w:lang w:eastAsia="ru-RU"/>
    </w:rPr>
  </w:style>
  <w:style w:type="paragraph" w:customStyle="1" w:styleId="149">
    <w:name w:val="Подпункт"/>
    <w:basedOn w:val="148"/>
    <w:link w:val="151"/>
    <w:qFormat/>
    <w:uiPriority w:val="0"/>
    <w:pPr>
      <w:numPr>
        <w:ilvl w:val="2"/>
      </w:numPr>
      <w:ind w:left="2510" w:hanging="180"/>
    </w:pPr>
    <w:rPr>
      <w:szCs w:val="27"/>
    </w:rPr>
  </w:style>
  <w:style w:type="paragraph" w:customStyle="1" w:styleId="150">
    <w:name w:val="Под. подпункт"/>
    <w:basedOn w:val="148"/>
    <w:qFormat/>
    <w:uiPriority w:val="0"/>
    <w:pPr>
      <w:numPr>
        <w:ilvl w:val="3"/>
      </w:numPr>
      <w:ind w:left="3230" w:hanging="360"/>
    </w:pPr>
    <w:rPr>
      <w:szCs w:val="27"/>
    </w:rPr>
  </w:style>
  <w:style w:type="character" w:customStyle="1" w:styleId="151">
    <w:name w:val="Подпункт Знак"/>
    <w:basedOn w:val="13"/>
    <w:link w:val="149"/>
    <w:qFormat/>
    <w:locked/>
    <w:uiPriority w:val="0"/>
    <w:rPr>
      <w:rFonts w:ascii="Times New Roman" w:hAnsi="Times New Roman" w:eastAsia="Times New Roman" w:cs="Times New Roman"/>
      <w:sz w:val="28"/>
      <w:szCs w:val="27"/>
      <w:lang w:eastAsia="ru-RU"/>
    </w:rPr>
  </w:style>
  <w:style w:type="character" w:customStyle="1" w:styleId="152">
    <w:name w:val="Пункт с номером Знак"/>
    <w:basedOn w:val="13"/>
    <w:link w:val="148"/>
    <w:qFormat/>
    <w:locked/>
    <w:uiPriority w:val="0"/>
    <w:rPr>
      <w:rFonts w:ascii="Times New Roman" w:hAnsi="Times New Roman" w:eastAsia="Times New Roman" w:cs="Times New Roman"/>
      <w:sz w:val="28"/>
      <w:szCs w:val="28"/>
      <w:lang w:eastAsia="ru-RU"/>
    </w:rPr>
  </w:style>
  <w:style w:type="character" w:customStyle="1" w:styleId="153">
    <w:name w:val="Уровень 1 Знак"/>
    <w:basedOn w:val="13"/>
    <w:link w:val="68"/>
    <w:qFormat/>
    <w:locked/>
    <w:uiPriority w:val="0"/>
    <w:rPr>
      <w:rFonts w:ascii="Times New Roman" w:hAnsi="Times New Roman" w:eastAsia="Times New Roman" w:cs="Times New Roman"/>
      <w:caps/>
      <w:spacing w:val="28"/>
      <w:sz w:val="24"/>
      <w:szCs w:val="24"/>
      <w:lang w:eastAsia="ru-RU"/>
    </w:rPr>
  </w:style>
  <w:style w:type="character" w:customStyle="1" w:styleId="154">
    <w:name w:val="Без интервала Знак"/>
    <w:link w:val="129"/>
    <w:qFormat/>
    <w:locked/>
    <w:uiPriority w:val="1"/>
    <w:rPr>
      <w:rFonts w:ascii="Arial" w:hAnsi="Arial" w:eastAsia="Times New Roman" w:cs="Arial"/>
      <w:sz w:val="18"/>
      <w:szCs w:val="18"/>
      <w:lang w:eastAsia="ru-RU"/>
    </w:rPr>
  </w:style>
  <w:style w:type="paragraph" w:customStyle="1" w:styleId="155">
    <w:name w:val="Абзац списка1"/>
    <w:basedOn w:val="1"/>
    <w:link w:val="156"/>
    <w:qFormat/>
    <w:uiPriority w:val="0"/>
    <w:pPr>
      <w:spacing w:after="0" w:line="240" w:lineRule="auto"/>
      <w:ind w:left="720"/>
    </w:pPr>
    <w:rPr>
      <w:rFonts w:ascii="Times New Roman" w:hAnsi="Times New Roman" w:eastAsia="Times New Roman" w:cs="Times New Roman"/>
      <w:sz w:val="24"/>
      <w:szCs w:val="24"/>
      <w:lang w:eastAsia="ru-RU"/>
    </w:rPr>
  </w:style>
  <w:style w:type="character" w:customStyle="1" w:styleId="156">
    <w:name w:val="List Paragraph Char"/>
    <w:link w:val="155"/>
    <w:qFormat/>
    <w:locked/>
    <w:uiPriority w:val="0"/>
    <w:rPr>
      <w:rFonts w:ascii="Times New Roman" w:hAnsi="Times New Roman" w:eastAsia="Times New Roman" w:cs="Times New Roman"/>
      <w:sz w:val="24"/>
      <w:szCs w:val="24"/>
      <w:lang w:eastAsia="ru-RU"/>
    </w:rPr>
  </w:style>
  <w:style w:type="character" w:customStyle="1" w:styleId="157">
    <w:name w:val="ecattext"/>
    <w:qFormat/>
    <w:uiPriority w:val="0"/>
  </w:style>
  <w:style w:type="character" w:customStyle="1" w:styleId="158">
    <w:name w:val="Основной текст с отступом 3 Знак"/>
    <w:basedOn w:val="13"/>
    <w:link w:val="20"/>
    <w:qFormat/>
    <w:uiPriority w:val="99"/>
    <w:rPr>
      <w:rFonts w:ascii="Times New Roman" w:hAnsi="Times New Roman" w:eastAsia="Times New Roman" w:cs="Times New Roman"/>
      <w:sz w:val="24"/>
      <w:szCs w:val="20"/>
      <w:lang w:eastAsia="ru-RU"/>
    </w:rPr>
  </w:style>
  <w:style w:type="paragraph" w:customStyle="1" w:styleId="159">
    <w:name w:val="HeadText"/>
    <w:basedOn w:val="1"/>
    <w:qFormat/>
    <w:uiPriority w:val="0"/>
    <w:pPr>
      <w:widowControl w:val="0"/>
      <w:tabs>
        <w:tab w:val="left" w:pos="284"/>
        <w:tab w:val="left" w:pos="2640"/>
      </w:tabs>
      <w:spacing w:after="0" w:line="240" w:lineRule="auto"/>
    </w:pPr>
    <w:rPr>
      <w:rFonts w:ascii="Courier New" w:hAnsi="Courier New" w:eastAsia="Times New Roman" w:cs="Courier New"/>
      <w:b/>
      <w:bCs/>
      <w:color w:val="000000"/>
      <w:sz w:val="18"/>
      <w:szCs w:val="18"/>
      <w:lang w:eastAsia="ru-RU"/>
    </w:rPr>
  </w:style>
  <w:style w:type="table" w:customStyle="1" w:styleId="160">
    <w:name w:val="Сетка таблицы1"/>
    <w:basedOn w:val="14"/>
    <w:qFormat/>
    <w:uiPriority w:val="59"/>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1">
    <w:name w:val="p3"/>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162">
    <w:name w:val="p7"/>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163">
    <w:name w:val="p8"/>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164">
    <w:name w:val="textspanview"/>
    <w:basedOn w:val="13"/>
    <w:uiPriority w:val="0"/>
    <w:rPr>
      <w:rFonts w:cs="Times New Roman"/>
    </w:rPr>
  </w:style>
  <w:style w:type="paragraph" w:customStyle="1" w:styleId="165">
    <w:name w:val="Знак1 Знак Знак"/>
    <w:basedOn w:val="1"/>
    <w:qFormat/>
    <w:uiPriority w:val="0"/>
    <w:pPr>
      <w:spacing w:before="100" w:beforeAutospacing="1" w:after="100" w:afterAutospacing="1" w:line="240" w:lineRule="auto"/>
    </w:pPr>
    <w:rPr>
      <w:rFonts w:ascii="Tahoma" w:hAnsi="Tahoma" w:eastAsia="Times New Roman" w:cs="Times New Roman"/>
      <w:sz w:val="20"/>
      <w:szCs w:val="20"/>
      <w:lang w:val="en-US"/>
    </w:rPr>
  </w:style>
  <w:style w:type="paragraph" w:customStyle="1" w:styleId="166">
    <w:name w:val="Знак Знак Знак Знак Знак"/>
    <w:basedOn w:val="1"/>
    <w:qFormat/>
    <w:uiPriority w:val="0"/>
    <w:pPr>
      <w:widowControl w:val="0"/>
      <w:adjustRightInd w:val="0"/>
      <w:spacing w:line="240" w:lineRule="exact"/>
      <w:jc w:val="right"/>
    </w:pPr>
    <w:rPr>
      <w:rFonts w:ascii="Times New Roman" w:hAnsi="Times New Roman" w:eastAsia="Times New Roman" w:cs="Times New Roman"/>
      <w:sz w:val="20"/>
      <w:szCs w:val="20"/>
      <w:lang w:val="en-GB"/>
    </w:rPr>
  </w:style>
  <w:style w:type="paragraph" w:customStyle="1" w:styleId="167">
    <w:name w:val="Обычный_1"/>
    <w:basedOn w:val="1"/>
    <w:uiPriority w:val="0"/>
    <w:pPr>
      <w:widowControl w:val="0"/>
      <w:spacing w:before="120" w:after="0" w:line="240" w:lineRule="auto"/>
      <w:jc w:val="both"/>
    </w:pPr>
    <w:rPr>
      <w:rFonts w:ascii="Times New Roman CYR" w:hAnsi="Times New Roman CYR" w:eastAsia="Times New Roman" w:cs="Times New Roman"/>
      <w:sz w:val="24"/>
      <w:szCs w:val="20"/>
      <w:lang w:eastAsia="ru-RU"/>
    </w:rPr>
  </w:style>
  <w:style w:type="paragraph" w:customStyle="1" w:styleId="168">
    <w:name w:val="xl65"/>
    <w:basedOn w:val="1"/>
    <w:qFormat/>
    <w:uiPriority w:val="0"/>
    <w:pPr>
      <w:spacing w:before="100" w:beforeAutospacing="1" w:after="100" w:afterAutospacing="1" w:line="240" w:lineRule="auto"/>
      <w:jc w:val="center"/>
      <w:textAlignment w:val="center"/>
    </w:pPr>
    <w:rPr>
      <w:rFonts w:ascii="Times New Roman" w:hAnsi="Times New Roman" w:eastAsia="Times New Roman" w:cs="Times New Roman"/>
      <w:sz w:val="24"/>
      <w:szCs w:val="24"/>
      <w:lang w:eastAsia="ru-RU"/>
    </w:rPr>
  </w:style>
  <w:style w:type="paragraph" w:customStyle="1" w:styleId="169">
    <w:name w:val="xl6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lang w:eastAsia="ru-RU"/>
    </w:rPr>
  </w:style>
  <w:style w:type="paragraph" w:customStyle="1" w:styleId="170">
    <w:name w:val="xl67"/>
    <w:basedOn w:val="1"/>
    <w:qFormat/>
    <w:uiPriority w:val="0"/>
    <w:pPr>
      <w:spacing w:before="100" w:beforeAutospacing="1" w:after="100" w:afterAutospacing="1" w:line="240" w:lineRule="auto"/>
      <w:jc w:val="center"/>
      <w:textAlignment w:val="center"/>
    </w:pPr>
    <w:rPr>
      <w:rFonts w:ascii="Times New Roman" w:hAnsi="Times New Roman" w:eastAsia="Times New Roman" w:cs="Times New Roman"/>
      <w:sz w:val="24"/>
      <w:szCs w:val="24"/>
      <w:lang w:eastAsia="ru-RU"/>
    </w:rPr>
  </w:style>
  <w:style w:type="paragraph" w:customStyle="1" w:styleId="171">
    <w:name w:val="xl6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lang w:eastAsia="ru-RU"/>
    </w:rPr>
  </w:style>
  <w:style w:type="paragraph" w:customStyle="1" w:styleId="172">
    <w:name w:val="xl69"/>
    <w:basedOn w:val="1"/>
    <w:qFormat/>
    <w:uiPriority w:val="0"/>
    <w:pPr>
      <w:spacing w:before="100" w:beforeAutospacing="1" w:after="100" w:afterAutospacing="1" w:line="240" w:lineRule="auto"/>
      <w:textAlignment w:val="center"/>
    </w:pPr>
    <w:rPr>
      <w:rFonts w:ascii="Times New Roman" w:hAnsi="Times New Roman" w:eastAsia="Times New Roman" w:cs="Times New Roman"/>
      <w:sz w:val="24"/>
      <w:szCs w:val="24"/>
      <w:lang w:eastAsia="ru-RU"/>
    </w:rPr>
  </w:style>
  <w:style w:type="paragraph" w:customStyle="1" w:styleId="173">
    <w:name w:val="xl7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lang w:eastAsia="ru-RU"/>
    </w:rPr>
  </w:style>
  <w:style w:type="paragraph" w:customStyle="1" w:styleId="174">
    <w:name w:val="xl71"/>
    <w:basedOn w:val="1"/>
    <w:qFormat/>
    <w:uiPriority w:val="0"/>
    <w:pPr>
      <w:spacing w:before="100" w:beforeAutospacing="1" w:after="100" w:afterAutospacing="1" w:line="240" w:lineRule="auto"/>
    </w:pPr>
    <w:rPr>
      <w:rFonts w:ascii="Arial" w:hAnsi="Arial" w:eastAsia="Times New Roman" w:cs="Arial"/>
      <w:sz w:val="24"/>
      <w:szCs w:val="24"/>
      <w:lang w:eastAsia="ru-RU"/>
    </w:rPr>
  </w:style>
  <w:style w:type="paragraph" w:customStyle="1" w:styleId="175">
    <w:name w:val="xl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24"/>
      <w:szCs w:val="24"/>
      <w:lang w:eastAsia="ru-RU"/>
    </w:rPr>
  </w:style>
  <w:style w:type="paragraph" w:customStyle="1" w:styleId="176">
    <w:name w:val="ConsNonformat"/>
    <w:uiPriority w:val="0"/>
    <w:pPr>
      <w:widowControl w:val="0"/>
      <w:autoSpaceDE w:val="0"/>
      <w:autoSpaceDN w:val="0"/>
      <w:adjustRightInd w:val="0"/>
      <w:ind w:right="19772"/>
    </w:pPr>
    <w:rPr>
      <w:rFonts w:ascii="Courier New" w:hAnsi="Courier New" w:eastAsia="Times New Roman" w:cs="Courier New"/>
      <w:sz w:val="18"/>
      <w:szCs w:val="18"/>
      <w:lang w:val="ru-RU" w:eastAsia="ru-RU" w:bidi="ar-SA"/>
    </w:rPr>
  </w:style>
  <w:style w:type="character" w:customStyle="1" w:styleId="177">
    <w:name w:val="ConsNonformat Знак"/>
    <w:uiPriority w:val="0"/>
    <w:rPr>
      <w:rFonts w:ascii="Courier New" w:hAnsi="Courier New"/>
      <w:sz w:val="18"/>
      <w:lang w:val="ru-RU" w:eastAsia="ru-RU"/>
    </w:rPr>
  </w:style>
  <w:style w:type="character" w:customStyle="1" w:styleId="178">
    <w:name w:val="Заголовок 1 Знак1"/>
    <w:qFormat/>
    <w:uiPriority w:val="0"/>
    <w:rPr>
      <w:rFonts w:ascii="Arial" w:hAnsi="Arial"/>
      <w:b/>
      <w:sz w:val="18"/>
      <w:lang w:val="ru-RU" w:eastAsia="ru-RU"/>
    </w:rPr>
  </w:style>
  <w:style w:type="paragraph" w:customStyle="1" w:styleId="179">
    <w:name w:val="Основной текст 21"/>
    <w:basedOn w:val="1"/>
    <w:qFormat/>
    <w:uiPriority w:val="0"/>
    <w:pPr>
      <w:widowControl w:val="0"/>
      <w:spacing w:after="0" w:line="240" w:lineRule="auto"/>
      <w:jc w:val="both"/>
    </w:pPr>
    <w:rPr>
      <w:rFonts w:ascii="Times New Roman" w:hAnsi="Times New Roman" w:eastAsia="Times New Roman" w:cs="Arial"/>
      <w:sz w:val="24"/>
      <w:szCs w:val="18"/>
      <w:lang w:eastAsia="ru-RU"/>
    </w:rPr>
  </w:style>
  <w:style w:type="paragraph" w:customStyle="1" w:styleId="180">
    <w:name w:val="font0"/>
    <w:basedOn w:val="1"/>
    <w:uiPriority w:val="0"/>
    <w:pPr>
      <w:spacing w:before="100" w:beforeAutospacing="1" w:after="100" w:afterAutospacing="1" w:line="240" w:lineRule="auto"/>
    </w:pPr>
    <w:rPr>
      <w:rFonts w:ascii="Arial CYR" w:hAnsi="Arial CYR" w:eastAsia="Times New Roman" w:cs="Arial CYR"/>
      <w:sz w:val="20"/>
      <w:szCs w:val="20"/>
      <w:lang w:eastAsia="ru-RU"/>
    </w:rPr>
  </w:style>
  <w:style w:type="paragraph" w:customStyle="1" w:styleId="181">
    <w:name w:val="font1"/>
    <w:basedOn w:val="1"/>
    <w:qFormat/>
    <w:uiPriority w:val="0"/>
    <w:pPr>
      <w:spacing w:before="100" w:beforeAutospacing="1" w:after="100" w:afterAutospacing="1" w:line="240" w:lineRule="auto"/>
    </w:pPr>
    <w:rPr>
      <w:rFonts w:ascii="Arial CYR" w:hAnsi="Arial CYR" w:eastAsia="Times New Roman" w:cs="Arial CYR"/>
      <w:sz w:val="20"/>
      <w:szCs w:val="20"/>
      <w:lang w:eastAsia="ru-RU"/>
    </w:rPr>
  </w:style>
  <w:style w:type="paragraph" w:customStyle="1" w:styleId="182">
    <w:name w:val="font5"/>
    <w:basedOn w:val="1"/>
    <w:qFormat/>
    <w:uiPriority w:val="0"/>
    <w:pPr>
      <w:spacing w:before="100" w:beforeAutospacing="1" w:after="100" w:afterAutospacing="1" w:line="240" w:lineRule="auto"/>
    </w:pPr>
    <w:rPr>
      <w:rFonts w:ascii="Arial CYR" w:hAnsi="Arial CYR" w:eastAsia="Times New Roman" w:cs="Arial CYR"/>
      <w:b/>
      <w:bCs/>
      <w:sz w:val="20"/>
      <w:szCs w:val="20"/>
      <w:lang w:eastAsia="ru-RU"/>
    </w:rPr>
  </w:style>
  <w:style w:type="paragraph" w:customStyle="1" w:styleId="183">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lang w:eastAsia="ru-RU"/>
    </w:rPr>
  </w:style>
  <w:style w:type="paragraph" w:customStyle="1" w:styleId="184">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lang w:eastAsia="ru-RU"/>
    </w:rPr>
  </w:style>
  <w:style w:type="paragraph" w:customStyle="1" w:styleId="185">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New Roman" w:hAnsi="Times New Roman" w:eastAsia="Times New Roman" w:cs="Times New Roman"/>
      <w:sz w:val="24"/>
      <w:szCs w:val="24"/>
      <w:lang w:eastAsia="ru-RU"/>
    </w:rPr>
  </w:style>
  <w:style w:type="paragraph" w:customStyle="1" w:styleId="186">
    <w:name w:val="xl27"/>
    <w:basedOn w:val="1"/>
    <w:uiPriority w:val="0"/>
    <w:pPr>
      <w:pBdr>
        <w:top w:val="single" w:color="auto" w:sz="4" w:space="0"/>
        <w:left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lang w:eastAsia="ru-RU"/>
    </w:rPr>
  </w:style>
  <w:style w:type="paragraph" w:customStyle="1" w:styleId="187">
    <w:name w:val="xl28"/>
    <w:basedOn w:val="1"/>
    <w:qFormat/>
    <w:uiPriority w:val="0"/>
    <w:pPr>
      <w:pBdr>
        <w:top w:val="single" w:color="auto" w:sz="4" w:space="0"/>
        <w:left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lang w:eastAsia="ru-RU"/>
    </w:rPr>
  </w:style>
  <w:style w:type="paragraph" w:customStyle="1" w:styleId="188">
    <w:name w:val="xl29"/>
    <w:basedOn w:val="1"/>
    <w:qFormat/>
    <w:uiPriority w:val="0"/>
    <w:pPr>
      <w:pBdr>
        <w:top w:val="single" w:color="auto" w:sz="4" w:space="0"/>
        <w:left w:val="single" w:color="auto" w:sz="4" w:space="0"/>
        <w:bottom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24"/>
      <w:szCs w:val="24"/>
      <w:lang w:eastAsia="ru-RU"/>
    </w:rPr>
  </w:style>
  <w:style w:type="paragraph" w:customStyle="1" w:styleId="189">
    <w:name w:val="xl30"/>
    <w:basedOn w:val="1"/>
    <w:qFormat/>
    <w:uiPriority w:val="0"/>
    <w:pPr>
      <w:pBdr>
        <w:top w:val="single" w:color="auto" w:sz="4" w:space="0"/>
        <w:bottom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lang w:eastAsia="ru-RU"/>
    </w:rPr>
  </w:style>
  <w:style w:type="paragraph" w:customStyle="1" w:styleId="190">
    <w:name w:val="xl31"/>
    <w:basedOn w:val="1"/>
    <w:qFormat/>
    <w:uiPriority w:val="0"/>
    <w:pPr>
      <w:pBdr>
        <w:top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lang w:eastAsia="ru-RU"/>
    </w:rPr>
  </w:style>
  <w:style w:type="paragraph" w:customStyle="1" w:styleId="191">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b/>
      <w:bCs/>
      <w:sz w:val="24"/>
      <w:szCs w:val="24"/>
      <w:lang w:eastAsia="ru-RU"/>
    </w:rPr>
  </w:style>
  <w:style w:type="paragraph" w:customStyle="1" w:styleId="192">
    <w:name w:val="xl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193">
    <w:name w:val="xl3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24"/>
      <w:szCs w:val="24"/>
      <w:lang w:eastAsia="ru-RU"/>
    </w:rPr>
  </w:style>
  <w:style w:type="paragraph" w:customStyle="1" w:styleId="194">
    <w:name w:val="xl3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lang w:eastAsia="ru-RU"/>
    </w:rPr>
  </w:style>
  <w:style w:type="paragraph" w:customStyle="1" w:styleId="195">
    <w:name w:val="xl36"/>
    <w:basedOn w:val="1"/>
    <w:qFormat/>
    <w:uiPriority w:val="0"/>
    <w:pPr>
      <w:pBdr>
        <w:top w:val="single" w:color="auto" w:sz="4" w:space="0"/>
        <w:left w:val="single" w:color="auto" w:sz="4" w:space="0"/>
        <w:bottom w:val="single" w:color="auto" w:sz="4" w:space="0"/>
      </w:pBdr>
      <w:spacing w:before="100" w:beforeAutospacing="1" w:after="100" w:afterAutospacing="1" w:line="240" w:lineRule="auto"/>
    </w:pPr>
    <w:rPr>
      <w:rFonts w:ascii="Times New Roman" w:hAnsi="Times New Roman" w:eastAsia="Times New Roman" w:cs="Times New Roman"/>
      <w:b/>
      <w:bCs/>
      <w:sz w:val="24"/>
      <w:szCs w:val="24"/>
      <w:lang w:eastAsia="ru-RU"/>
    </w:rPr>
  </w:style>
  <w:style w:type="paragraph" w:customStyle="1" w:styleId="196">
    <w:name w:val="xl37"/>
    <w:basedOn w:val="1"/>
    <w:qFormat/>
    <w:uiPriority w:val="0"/>
    <w:pPr>
      <w:pBdr>
        <w:top w:val="single" w:color="auto" w:sz="4" w:space="0"/>
        <w:bottom w:val="single" w:color="auto" w:sz="4" w:space="0"/>
      </w:pBd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197">
    <w:name w:val="xl38"/>
    <w:basedOn w:val="1"/>
    <w:qFormat/>
    <w:uiPriority w:val="0"/>
    <w:pPr>
      <w:pBdr>
        <w:top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198">
    <w:name w:val="xl39"/>
    <w:basedOn w:val="1"/>
    <w:qFormat/>
    <w:uiPriority w:val="0"/>
    <w:pPr>
      <w:pBdr>
        <w:top w:val="single" w:color="auto" w:sz="4" w:space="0"/>
        <w:left w:val="single" w:color="auto" w:sz="4" w:space="0"/>
        <w:bottom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lang w:eastAsia="ru-RU"/>
    </w:rPr>
  </w:style>
  <w:style w:type="paragraph" w:customStyle="1" w:styleId="199">
    <w:name w:val="xl40"/>
    <w:basedOn w:val="1"/>
    <w:qFormat/>
    <w:uiPriority w:val="0"/>
    <w:pPr>
      <w:pBdr>
        <w:top w:val="single" w:color="auto" w:sz="4" w:space="0"/>
        <w:left w:val="single" w:color="auto" w:sz="4" w:space="0"/>
        <w:bottom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lang w:eastAsia="ru-RU"/>
    </w:rPr>
  </w:style>
  <w:style w:type="paragraph" w:customStyle="1" w:styleId="200">
    <w:name w:val="xl41"/>
    <w:basedOn w:val="1"/>
    <w:qFormat/>
    <w:uiPriority w:val="0"/>
    <w:pPr>
      <w:pBdr>
        <w:top w:val="single" w:color="auto" w:sz="4" w:space="0"/>
        <w:left w:val="single" w:color="auto" w:sz="4" w:space="0"/>
        <w:bottom w:val="single" w:color="auto" w:sz="4" w:space="0"/>
      </w:pBdr>
      <w:spacing w:before="100" w:beforeAutospacing="1" w:after="100" w:afterAutospacing="1" w:line="240" w:lineRule="auto"/>
    </w:pPr>
    <w:rPr>
      <w:rFonts w:ascii="Times New Roman" w:hAnsi="Times New Roman" w:eastAsia="Times New Roman" w:cs="Times New Roman"/>
      <w:b/>
      <w:bCs/>
      <w:sz w:val="24"/>
      <w:szCs w:val="24"/>
      <w:lang w:eastAsia="ru-RU"/>
    </w:rPr>
  </w:style>
  <w:style w:type="paragraph" w:customStyle="1" w:styleId="201">
    <w:name w:val="xl42"/>
    <w:basedOn w:val="1"/>
    <w:uiPriority w:val="0"/>
    <w:pPr>
      <w:pBdr>
        <w:top w:val="single" w:color="auto" w:sz="4" w:space="0"/>
        <w:bottom w:val="single" w:color="auto" w:sz="4" w:space="0"/>
      </w:pBd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202">
    <w:name w:val="xl43"/>
    <w:basedOn w:val="1"/>
    <w:qFormat/>
    <w:uiPriority w:val="0"/>
    <w:pPr>
      <w:pBdr>
        <w:top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203">
    <w:name w:val="Char Знак Знак"/>
    <w:basedOn w:val="1"/>
    <w:qFormat/>
    <w:uiPriority w:val="0"/>
    <w:pPr>
      <w:widowControl w:val="0"/>
      <w:adjustRightInd w:val="0"/>
      <w:spacing w:line="240" w:lineRule="exact"/>
      <w:jc w:val="right"/>
    </w:pPr>
    <w:rPr>
      <w:rFonts w:ascii="Arial" w:hAnsi="Arial" w:eastAsia="Times New Roman" w:cs="Arial"/>
      <w:sz w:val="20"/>
      <w:szCs w:val="20"/>
      <w:lang w:val="en-GB"/>
    </w:rPr>
  </w:style>
  <w:style w:type="character" w:customStyle="1" w:styleId="204">
    <w:name w:val="Font Style189"/>
    <w:qFormat/>
    <w:uiPriority w:val="0"/>
    <w:rPr>
      <w:rFonts w:ascii="Times New Roman" w:hAnsi="Times New Roman"/>
      <w:color w:val="000000"/>
      <w:sz w:val="22"/>
    </w:rPr>
  </w:style>
  <w:style w:type="paragraph" w:customStyle="1" w:styleId="205">
    <w:name w:val="ConsPlusTitle"/>
    <w:qFormat/>
    <w:uiPriority w:val="99"/>
    <w:pPr>
      <w:widowControl w:val="0"/>
      <w:autoSpaceDE w:val="0"/>
      <w:autoSpaceDN w:val="0"/>
      <w:adjustRightInd w:val="0"/>
      <w:jc w:val="center"/>
    </w:pPr>
    <w:rPr>
      <w:rFonts w:ascii="Arial" w:hAnsi="Arial" w:eastAsia="Times New Roman" w:cs="Arial"/>
      <w:b/>
      <w:bCs/>
      <w:lang w:val="ru-RU" w:eastAsia="ru-RU" w:bidi="ar-SA"/>
    </w:rPr>
  </w:style>
  <w:style w:type="character" w:customStyle="1" w:styleId="206">
    <w:name w:val="wmi-callto"/>
    <w:basedOn w:val="13"/>
    <w:qFormat/>
    <w:uiPriority w:val="0"/>
    <w:rPr>
      <w:rFonts w:cs="Times New Roman"/>
    </w:rPr>
  </w:style>
  <w:style w:type="character" w:customStyle="1" w:styleId="207">
    <w:name w:val="Заголовок 1 Знак2"/>
    <w:basedOn w:val="13"/>
    <w:qFormat/>
    <w:uiPriority w:val="9"/>
    <w:rPr>
      <w:rFonts w:asciiTheme="majorHAnsi" w:hAnsiTheme="majorHAnsi" w:eastAsiaTheme="majorEastAsia" w:cstheme="majorBidi"/>
      <w:color w:val="2E75B6" w:themeColor="accent1" w:themeShade="BF"/>
      <w:sz w:val="32"/>
      <w:szCs w:val="32"/>
    </w:rPr>
  </w:style>
  <w:style w:type="character" w:customStyle="1" w:styleId="208">
    <w:name w:val="Заголовок 9 Знак1"/>
    <w:basedOn w:val="13"/>
    <w:semiHidden/>
    <w:qFormat/>
    <w:uiPriority w:val="9"/>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customStyle="1" w:styleId="209">
    <w:name w:val="Подзаголовок Знак1"/>
    <w:basedOn w:val="13"/>
    <w:qFormat/>
    <w:uiPriority w:val="11"/>
    <w:rPr>
      <w:rFonts w:eastAsiaTheme="minorEastAsia"/>
      <w:color w:val="595959" w:themeColor="text1" w:themeTint="A6"/>
      <w:spacing w:val="15"/>
      <w14:textFill>
        <w14:solidFill>
          <w14:schemeClr w14:val="tx1">
            <w14:lumMod w14:val="65000"/>
            <w14:lumOff w14:val="35000"/>
          </w14:schemeClr>
        </w14:solidFill>
      </w14:textFill>
    </w:rPr>
  </w:style>
  <w:style w:type="character" w:customStyle="1" w:styleId="210">
    <w:name w:val="Текст концевой сноски Знак1"/>
    <w:basedOn w:val="13"/>
    <w:link w:val="27"/>
    <w:semiHidden/>
    <w:qFormat/>
    <w:uiPriority w:val="99"/>
    <w:rPr>
      <w:sz w:val="20"/>
      <w:szCs w:val="20"/>
    </w:rPr>
  </w:style>
  <w:style w:type="paragraph" w:customStyle="1" w:styleId="211">
    <w:name w:val="Таблица шапка"/>
    <w:basedOn w:val="1"/>
    <w:qFormat/>
    <w:uiPriority w:val="0"/>
    <w:pPr>
      <w:keepNext/>
      <w:spacing w:before="40" w:after="40" w:line="240" w:lineRule="auto"/>
      <w:ind w:left="57" w:right="57"/>
    </w:pPr>
    <w:rPr>
      <w:rFonts w:ascii="Times New Roman" w:hAnsi="Times New Roman" w:eastAsia="Times New Roman" w:cs="Times New Roman"/>
      <w:snapToGrid w:val="0"/>
      <w:szCs w:val="20"/>
      <w:lang w:eastAsia="ru-RU"/>
    </w:rPr>
  </w:style>
  <w:style w:type="paragraph" w:customStyle="1" w:styleId="212">
    <w:name w:val="Таблица текст"/>
    <w:basedOn w:val="1"/>
    <w:qFormat/>
    <w:uiPriority w:val="0"/>
    <w:pPr>
      <w:spacing w:before="40" w:after="40" w:line="240" w:lineRule="auto"/>
      <w:ind w:left="57" w:right="57"/>
    </w:pPr>
    <w:rPr>
      <w:rFonts w:ascii="Times New Roman" w:hAnsi="Times New Roman" w:eastAsia="Times New Roman" w:cs="Times New Roman"/>
      <w:snapToGrid w:val="0"/>
      <w:sz w:val="24"/>
      <w:szCs w:val="20"/>
      <w:lang w:eastAsia="ru-RU"/>
    </w:rPr>
  </w:style>
  <w:style w:type="paragraph" w:customStyle="1" w:styleId="213">
    <w:name w:val="msonormal"/>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214">
    <w:name w:val="xl73"/>
    <w:basedOn w:val="1"/>
    <w:qFormat/>
    <w:uiPriority w:val="0"/>
    <w:pPr>
      <w:spacing w:before="100" w:beforeAutospacing="1" w:after="100" w:afterAutospacing="1" w:line="240" w:lineRule="auto"/>
      <w:jc w:val="center"/>
    </w:pPr>
    <w:rPr>
      <w:rFonts w:ascii="Arial" w:hAnsi="Arial" w:eastAsia="Times New Roman" w:cs="Arial"/>
      <w:b/>
      <w:bCs/>
      <w:sz w:val="28"/>
      <w:szCs w:val="28"/>
      <w:lang w:eastAsia="ru-RU"/>
    </w:rPr>
  </w:style>
  <w:style w:type="paragraph" w:customStyle="1" w:styleId="215">
    <w:name w:val="xl74"/>
    <w:basedOn w:val="1"/>
    <w:qFormat/>
    <w:uiPriority w:val="0"/>
    <w:pPr>
      <w:pBdr>
        <w:bottom w:val="single" w:color="auto" w:sz="4" w:space="0"/>
      </w:pBdr>
      <w:spacing w:before="100" w:beforeAutospacing="1" w:after="100" w:afterAutospacing="1" w:line="240" w:lineRule="auto"/>
      <w:jc w:val="center"/>
    </w:pPr>
    <w:rPr>
      <w:rFonts w:ascii="Arial" w:hAnsi="Arial" w:eastAsia="Times New Roman" w:cs="Arial"/>
      <w:sz w:val="16"/>
      <w:szCs w:val="16"/>
      <w:lang w:eastAsia="ru-RU"/>
    </w:rPr>
  </w:style>
  <w:style w:type="paragraph" w:customStyle="1" w:styleId="216">
    <w:name w:val="xl75"/>
    <w:basedOn w:val="1"/>
    <w:qFormat/>
    <w:uiPriority w:val="0"/>
    <w:pPr>
      <w:spacing w:before="100" w:beforeAutospacing="1" w:after="100" w:afterAutospacing="1" w:line="240" w:lineRule="auto"/>
    </w:pPr>
    <w:rPr>
      <w:rFonts w:ascii="Arial" w:hAnsi="Arial" w:eastAsia="Times New Roman" w:cs="Arial"/>
      <w:sz w:val="16"/>
      <w:szCs w:val="16"/>
      <w:lang w:eastAsia="ru-RU"/>
    </w:rPr>
  </w:style>
  <w:style w:type="paragraph" w:customStyle="1" w:styleId="217">
    <w:name w:val="xl76"/>
    <w:basedOn w:val="1"/>
    <w:qFormat/>
    <w:uiPriority w:val="0"/>
    <w:pPr>
      <w:spacing w:before="100" w:beforeAutospacing="1" w:after="100" w:afterAutospacing="1" w:line="240" w:lineRule="auto"/>
    </w:pPr>
    <w:rPr>
      <w:rFonts w:ascii="Arial" w:hAnsi="Arial" w:eastAsia="Times New Roman" w:cs="Arial"/>
      <w:i/>
      <w:iCs/>
      <w:sz w:val="16"/>
      <w:szCs w:val="16"/>
      <w:lang w:eastAsia="ru-RU"/>
    </w:rPr>
  </w:style>
  <w:style w:type="paragraph" w:customStyle="1" w:styleId="218">
    <w:name w:val="xl77"/>
    <w:basedOn w:val="1"/>
    <w:qFormat/>
    <w:uiPriority w:val="0"/>
    <w:pP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19">
    <w:name w:val="xl78"/>
    <w:basedOn w:val="1"/>
    <w:qFormat/>
    <w:uiPriority w:val="0"/>
    <w:pPr>
      <w:spacing w:before="100" w:beforeAutospacing="1" w:after="100" w:afterAutospacing="1" w:line="240" w:lineRule="auto"/>
      <w:jc w:val="center"/>
    </w:pPr>
    <w:rPr>
      <w:rFonts w:ascii="Arial" w:hAnsi="Arial" w:eastAsia="Times New Roman" w:cs="Arial"/>
      <w:i/>
      <w:iCs/>
      <w:sz w:val="16"/>
      <w:szCs w:val="16"/>
      <w:lang w:eastAsia="ru-RU"/>
    </w:rPr>
  </w:style>
  <w:style w:type="paragraph" w:customStyle="1" w:styleId="220">
    <w:name w:val="xl79"/>
    <w:basedOn w:val="1"/>
    <w:uiPriority w:val="0"/>
    <w:pPr>
      <w:spacing w:before="100" w:beforeAutospacing="1" w:after="100" w:afterAutospacing="1" w:line="240" w:lineRule="auto"/>
    </w:pPr>
    <w:rPr>
      <w:rFonts w:ascii="Arial" w:hAnsi="Arial" w:eastAsia="Times New Roman" w:cs="Arial"/>
      <w:b/>
      <w:bCs/>
      <w:sz w:val="16"/>
      <w:szCs w:val="16"/>
      <w:lang w:eastAsia="ru-RU"/>
    </w:rPr>
  </w:style>
  <w:style w:type="paragraph" w:customStyle="1" w:styleId="221">
    <w:name w:val="xl80"/>
    <w:basedOn w:val="1"/>
    <w:qFormat/>
    <w:uiPriority w:val="0"/>
    <w:pPr>
      <w:spacing w:before="100" w:beforeAutospacing="1" w:after="100" w:afterAutospacing="1" w:line="240" w:lineRule="auto"/>
    </w:pPr>
    <w:rPr>
      <w:rFonts w:ascii="Arial" w:hAnsi="Arial" w:eastAsia="Times New Roman" w:cs="Arial"/>
      <w:sz w:val="16"/>
      <w:szCs w:val="16"/>
      <w:lang w:eastAsia="ru-RU"/>
    </w:rPr>
  </w:style>
  <w:style w:type="paragraph" w:customStyle="1" w:styleId="222">
    <w:name w:val="xl81"/>
    <w:basedOn w:val="1"/>
    <w:qFormat/>
    <w:uiPriority w:val="0"/>
    <w:pPr>
      <w:pBdr>
        <w:top w:val="single" w:color="auto" w:sz="4" w:space="0"/>
      </w:pBdr>
      <w:spacing w:before="100" w:beforeAutospacing="1" w:after="100" w:afterAutospacing="1" w:line="240" w:lineRule="auto"/>
    </w:pPr>
    <w:rPr>
      <w:rFonts w:ascii="Arial" w:hAnsi="Arial" w:eastAsia="Times New Roman" w:cs="Arial"/>
      <w:sz w:val="16"/>
      <w:szCs w:val="16"/>
      <w:lang w:eastAsia="ru-RU"/>
    </w:rPr>
  </w:style>
  <w:style w:type="paragraph" w:customStyle="1" w:styleId="223">
    <w:name w:val="xl82"/>
    <w:basedOn w:val="1"/>
    <w:qFormat/>
    <w:uiPriority w:val="0"/>
    <w:pPr>
      <w:pBdr>
        <w:top w:val="single" w:color="auto" w:sz="4" w:space="0"/>
      </w:pBdr>
      <w:spacing w:before="100" w:beforeAutospacing="1" w:after="100" w:afterAutospacing="1" w:line="240" w:lineRule="auto"/>
      <w:jc w:val="center"/>
    </w:pPr>
    <w:rPr>
      <w:rFonts w:ascii="Arial" w:hAnsi="Arial" w:eastAsia="Times New Roman" w:cs="Arial"/>
      <w:sz w:val="16"/>
      <w:szCs w:val="16"/>
      <w:lang w:eastAsia="ru-RU"/>
    </w:rPr>
  </w:style>
  <w:style w:type="paragraph" w:customStyle="1" w:styleId="224">
    <w:name w:val="xl83"/>
    <w:basedOn w:val="1"/>
    <w:qFormat/>
    <w:uiPriority w:val="0"/>
    <w:pPr>
      <w:spacing w:before="100" w:beforeAutospacing="1" w:after="100" w:afterAutospacing="1" w:line="240" w:lineRule="auto"/>
      <w:jc w:val="center"/>
    </w:pPr>
    <w:rPr>
      <w:rFonts w:ascii="Arial" w:hAnsi="Arial" w:eastAsia="Times New Roman" w:cs="Arial"/>
      <w:sz w:val="16"/>
      <w:szCs w:val="16"/>
      <w:lang w:eastAsia="ru-RU"/>
    </w:rPr>
  </w:style>
  <w:style w:type="paragraph" w:customStyle="1" w:styleId="225">
    <w:name w:val="xl84"/>
    <w:basedOn w:val="1"/>
    <w:qFormat/>
    <w:uiPriority w:val="0"/>
    <w:pPr>
      <w:pBdr>
        <w:bottom w:val="single" w:color="auto" w:sz="4" w:space="0"/>
      </w:pBdr>
      <w:spacing w:before="100" w:beforeAutospacing="1" w:after="100" w:afterAutospacing="1" w:line="240" w:lineRule="auto"/>
    </w:pPr>
    <w:rPr>
      <w:rFonts w:ascii="Arial" w:hAnsi="Arial" w:eastAsia="Times New Roman" w:cs="Arial"/>
      <w:sz w:val="16"/>
      <w:szCs w:val="16"/>
      <w:lang w:eastAsia="ru-RU"/>
    </w:rPr>
  </w:style>
  <w:style w:type="paragraph" w:customStyle="1" w:styleId="226">
    <w:name w:val="xl85"/>
    <w:basedOn w:val="1"/>
    <w:qFormat/>
    <w:uiPriority w:val="0"/>
    <w:pPr>
      <w:pBdr>
        <w:bottom w:val="single" w:color="auto" w:sz="4" w:space="0"/>
      </w:pBdr>
      <w:spacing w:before="100" w:beforeAutospacing="1" w:after="100" w:afterAutospacing="1" w:line="240" w:lineRule="auto"/>
      <w:jc w:val="right"/>
    </w:pPr>
    <w:rPr>
      <w:rFonts w:ascii="Arial" w:hAnsi="Arial" w:eastAsia="Times New Roman" w:cs="Arial"/>
      <w:sz w:val="16"/>
      <w:szCs w:val="16"/>
      <w:lang w:eastAsia="ru-RU"/>
    </w:rPr>
  </w:style>
  <w:style w:type="paragraph" w:customStyle="1" w:styleId="227">
    <w:name w:val="xl86"/>
    <w:basedOn w:val="1"/>
    <w:qFormat/>
    <w:uiPriority w:val="0"/>
    <w:pPr>
      <w:spacing w:before="100" w:beforeAutospacing="1" w:after="100" w:afterAutospacing="1" w:line="240" w:lineRule="auto"/>
      <w:textAlignment w:val="top"/>
    </w:pPr>
    <w:rPr>
      <w:rFonts w:ascii="Arial" w:hAnsi="Arial" w:eastAsia="Times New Roman" w:cs="Arial"/>
      <w:sz w:val="16"/>
      <w:szCs w:val="16"/>
      <w:lang w:eastAsia="ru-RU"/>
    </w:rPr>
  </w:style>
  <w:style w:type="paragraph" w:customStyle="1" w:styleId="228">
    <w:name w:val="xl87"/>
    <w:basedOn w:val="1"/>
    <w:qFormat/>
    <w:uiPriority w:val="0"/>
    <w:pPr>
      <w:spacing w:before="100" w:beforeAutospacing="1" w:after="100" w:afterAutospacing="1" w:line="240" w:lineRule="auto"/>
      <w:textAlignment w:val="center"/>
    </w:pPr>
    <w:rPr>
      <w:rFonts w:ascii="Arial" w:hAnsi="Arial" w:eastAsia="Times New Roman" w:cs="Arial"/>
      <w:sz w:val="16"/>
      <w:szCs w:val="16"/>
      <w:lang w:eastAsia="ru-RU"/>
    </w:rPr>
  </w:style>
  <w:style w:type="paragraph" w:customStyle="1" w:styleId="229">
    <w:name w:val="xl88"/>
    <w:basedOn w:val="1"/>
    <w:qFormat/>
    <w:uiPriority w:val="0"/>
    <w:pPr>
      <w:spacing w:before="100" w:beforeAutospacing="1" w:after="100" w:afterAutospacing="1" w:line="240" w:lineRule="auto"/>
    </w:pPr>
    <w:rPr>
      <w:rFonts w:ascii="Arial" w:hAnsi="Arial" w:eastAsia="Times New Roman" w:cs="Arial"/>
      <w:i/>
      <w:iCs/>
      <w:sz w:val="16"/>
      <w:szCs w:val="16"/>
      <w:lang w:eastAsia="ru-RU"/>
    </w:rPr>
  </w:style>
  <w:style w:type="paragraph" w:customStyle="1" w:styleId="230">
    <w:name w:val="xl89"/>
    <w:basedOn w:val="1"/>
    <w:qFormat/>
    <w:uiPriority w:val="0"/>
    <w:pPr>
      <w:spacing w:before="100" w:beforeAutospacing="1" w:after="100" w:afterAutospacing="1" w:line="240" w:lineRule="auto"/>
    </w:pPr>
    <w:rPr>
      <w:rFonts w:ascii="Arial" w:hAnsi="Arial" w:eastAsia="Times New Roman" w:cs="Arial"/>
      <w:sz w:val="16"/>
      <w:szCs w:val="16"/>
      <w:lang w:eastAsia="ru-RU"/>
    </w:rPr>
  </w:style>
  <w:style w:type="paragraph" w:customStyle="1" w:styleId="231">
    <w:name w:val="xl90"/>
    <w:basedOn w:val="1"/>
    <w:qFormat/>
    <w:uiPriority w:val="0"/>
    <w:pPr>
      <w:spacing w:before="100" w:beforeAutospacing="1" w:after="100" w:afterAutospacing="1" w:line="240" w:lineRule="auto"/>
      <w:jc w:val="right"/>
    </w:pPr>
    <w:rPr>
      <w:rFonts w:ascii="Arial" w:hAnsi="Arial" w:eastAsia="Times New Roman" w:cs="Arial"/>
      <w:sz w:val="16"/>
      <w:szCs w:val="16"/>
      <w:lang w:eastAsia="ru-RU"/>
    </w:rPr>
  </w:style>
  <w:style w:type="paragraph" w:customStyle="1" w:styleId="232">
    <w:name w:val="xl91"/>
    <w:basedOn w:val="1"/>
    <w:qFormat/>
    <w:uiPriority w:val="0"/>
    <w:pPr>
      <w:spacing w:before="100" w:beforeAutospacing="1" w:after="100" w:afterAutospacing="1" w:line="240" w:lineRule="auto"/>
    </w:pPr>
    <w:rPr>
      <w:rFonts w:ascii="Arial" w:hAnsi="Arial" w:eastAsia="Times New Roman" w:cs="Arial"/>
      <w:b/>
      <w:bCs/>
      <w:sz w:val="16"/>
      <w:szCs w:val="16"/>
      <w:lang w:eastAsia="ru-RU"/>
    </w:rPr>
  </w:style>
  <w:style w:type="paragraph" w:customStyle="1" w:styleId="233">
    <w:name w:val="xl92"/>
    <w:basedOn w:val="1"/>
    <w:qFormat/>
    <w:uiPriority w:val="0"/>
    <w:pPr>
      <w:pBdr>
        <w:bottom w:val="single" w:color="auto" w:sz="4" w:space="0"/>
      </w:pBdr>
      <w:spacing w:before="100" w:beforeAutospacing="1" w:after="100" w:afterAutospacing="1" w:line="240" w:lineRule="auto"/>
    </w:pPr>
    <w:rPr>
      <w:rFonts w:ascii="Arial" w:hAnsi="Arial" w:eastAsia="Times New Roman" w:cs="Arial"/>
      <w:sz w:val="16"/>
      <w:szCs w:val="16"/>
      <w:lang w:eastAsia="ru-RU"/>
    </w:rPr>
  </w:style>
  <w:style w:type="paragraph" w:customStyle="1" w:styleId="234">
    <w:name w:val="xl93"/>
    <w:basedOn w:val="1"/>
    <w:uiPriority w:val="0"/>
    <w:pPr>
      <w:pBdr>
        <w:top w:val="single" w:color="auto" w:sz="4" w:space="0"/>
        <w:bottom w:val="single" w:color="auto" w:sz="4" w:space="0"/>
      </w:pBdr>
      <w:spacing w:before="100" w:beforeAutospacing="1" w:after="100" w:afterAutospacing="1" w:line="240" w:lineRule="auto"/>
    </w:pPr>
    <w:rPr>
      <w:rFonts w:ascii="Arial" w:hAnsi="Arial" w:eastAsia="Times New Roman" w:cs="Arial"/>
      <w:sz w:val="16"/>
      <w:szCs w:val="16"/>
      <w:lang w:eastAsia="ru-RU"/>
    </w:rPr>
  </w:style>
  <w:style w:type="paragraph" w:customStyle="1" w:styleId="235">
    <w:name w:val="xl94"/>
    <w:basedOn w:val="1"/>
    <w:qFormat/>
    <w:uiPriority w:val="0"/>
    <w:pPr>
      <w:pBdr>
        <w:top w:val="single" w:color="auto" w:sz="4" w:space="0"/>
        <w:bottom w:val="single" w:color="auto" w:sz="4" w:space="0"/>
      </w:pBdr>
      <w:spacing w:before="100" w:beforeAutospacing="1" w:after="100" w:afterAutospacing="1" w:line="240" w:lineRule="auto"/>
      <w:jc w:val="right"/>
    </w:pPr>
    <w:rPr>
      <w:rFonts w:ascii="Arial" w:hAnsi="Arial" w:eastAsia="Times New Roman" w:cs="Arial"/>
      <w:sz w:val="16"/>
      <w:szCs w:val="16"/>
      <w:lang w:eastAsia="ru-RU"/>
    </w:rPr>
  </w:style>
  <w:style w:type="paragraph" w:customStyle="1" w:styleId="236">
    <w:name w:val="xl95"/>
    <w:basedOn w:val="1"/>
    <w:qFormat/>
    <w:uiPriority w:val="0"/>
    <w:pPr>
      <w:pBdr>
        <w:top w:val="single" w:color="auto" w:sz="4" w:space="0"/>
        <w:bottom w:val="single" w:color="auto" w:sz="4" w:space="0"/>
      </w:pBdr>
      <w:spacing w:before="100" w:beforeAutospacing="1" w:after="100" w:afterAutospacing="1" w:line="240" w:lineRule="auto"/>
      <w:jc w:val="right"/>
    </w:pPr>
    <w:rPr>
      <w:rFonts w:ascii="Arial" w:hAnsi="Arial" w:eastAsia="Times New Roman" w:cs="Arial"/>
      <w:sz w:val="16"/>
      <w:szCs w:val="16"/>
      <w:lang w:eastAsia="ru-RU"/>
    </w:rPr>
  </w:style>
  <w:style w:type="paragraph" w:customStyle="1" w:styleId="237">
    <w:name w:val="xl96"/>
    <w:basedOn w:val="1"/>
    <w:qFormat/>
    <w:uiPriority w:val="0"/>
    <w:pPr>
      <w:spacing w:before="100" w:beforeAutospacing="1" w:after="100" w:afterAutospacing="1" w:line="240" w:lineRule="auto"/>
    </w:pPr>
    <w:rPr>
      <w:rFonts w:ascii="Arial" w:hAnsi="Arial" w:eastAsia="Times New Roman" w:cs="Arial"/>
      <w:sz w:val="16"/>
      <w:szCs w:val="16"/>
      <w:lang w:eastAsia="ru-RU"/>
    </w:rPr>
  </w:style>
  <w:style w:type="paragraph" w:customStyle="1" w:styleId="238">
    <w:name w:val="xl97"/>
    <w:basedOn w:val="1"/>
    <w:qFormat/>
    <w:uiPriority w:val="0"/>
    <w:pPr>
      <w:spacing w:before="100" w:beforeAutospacing="1" w:after="100" w:afterAutospacing="1" w:line="240" w:lineRule="auto"/>
      <w:jc w:val="right"/>
    </w:pPr>
    <w:rPr>
      <w:rFonts w:ascii="Arial" w:hAnsi="Arial" w:eastAsia="Times New Roman" w:cs="Arial"/>
      <w:sz w:val="16"/>
      <w:szCs w:val="16"/>
      <w:lang w:eastAsia="ru-RU"/>
    </w:rPr>
  </w:style>
  <w:style w:type="paragraph" w:customStyle="1" w:styleId="239">
    <w:name w:val="xl9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240">
    <w:name w:val="xl9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241">
    <w:name w:val="xl10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242">
    <w:name w:val="xl101"/>
    <w:basedOn w:val="1"/>
    <w:qFormat/>
    <w:uiPriority w:val="0"/>
    <w:pPr>
      <w:pBdr>
        <w:top w:val="single" w:color="auto" w:sz="4" w:space="0"/>
        <w:left w:val="single" w:color="auto" w:sz="4" w:space="0"/>
      </w:pBdr>
      <w:spacing w:before="100" w:beforeAutospacing="1" w:after="100" w:afterAutospacing="1" w:line="240" w:lineRule="auto"/>
      <w:jc w:val="center"/>
      <w:textAlignment w:val="top"/>
    </w:pPr>
    <w:rPr>
      <w:rFonts w:ascii="Arial" w:hAnsi="Arial" w:eastAsia="Times New Roman" w:cs="Arial"/>
      <w:b/>
      <w:bCs/>
      <w:sz w:val="16"/>
      <w:szCs w:val="16"/>
      <w:lang w:eastAsia="ru-RU"/>
    </w:rPr>
  </w:style>
  <w:style w:type="paragraph" w:customStyle="1" w:styleId="243">
    <w:name w:val="xl102"/>
    <w:basedOn w:val="1"/>
    <w:qFormat/>
    <w:uiPriority w:val="0"/>
    <w:pPr>
      <w:pBdr>
        <w:top w:val="single" w:color="auto" w:sz="4" w:space="0"/>
      </w:pBdr>
      <w:spacing w:before="100" w:beforeAutospacing="1" w:after="100" w:afterAutospacing="1" w:line="240" w:lineRule="auto"/>
      <w:textAlignment w:val="top"/>
    </w:pPr>
    <w:rPr>
      <w:rFonts w:ascii="Arial" w:hAnsi="Arial" w:eastAsia="Times New Roman" w:cs="Arial"/>
      <w:b/>
      <w:bCs/>
      <w:sz w:val="16"/>
      <w:szCs w:val="16"/>
      <w:lang w:eastAsia="ru-RU"/>
    </w:rPr>
  </w:style>
  <w:style w:type="paragraph" w:customStyle="1" w:styleId="244">
    <w:name w:val="xl103"/>
    <w:basedOn w:val="1"/>
    <w:qFormat/>
    <w:uiPriority w:val="0"/>
    <w:pPr>
      <w:pBdr>
        <w:top w:val="single" w:color="auto" w:sz="4" w:space="0"/>
      </w:pBdr>
      <w:spacing w:before="100" w:beforeAutospacing="1" w:after="100" w:afterAutospacing="1" w:line="240" w:lineRule="auto"/>
      <w:jc w:val="center"/>
      <w:textAlignment w:val="top"/>
    </w:pPr>
    <w:rPr>
      <w:rFonts w:ascii="Arial" w:hAnsi="Arial" w:eastAsia="Times New Roman" w:cs="Arial"/>
      <w:b/>
      <w:bCs/>
      <w:sz w:val="16"/>
      <w:szCs w:val="16"/>
      <w:lang w:eastAsia="ru-RU"/>
    </w:rPr>
  </w:style>
  <w:style w:type="paragraph" w:customStyle="1" w:styleId="245">
    <w:name w:val="xl104"/>
    <w:basedOn w:val="1"/>
    <w:qFormat/>
    <w:uiPriority w:val="0"/>
    <w:pPr>
      <w:pBdr>
        <w:top w:val="single" w:color="auto" w:sz="4" w:space="0"/>
      </w:pBdr>
      <w:spacing w:before="100" w:beforeAutospacing="1" w:after="100" w:afterAutospacing="1" w:line="240" w:lineRule="auto"/>
      <w:jc w:val="center"/>
      <w:textAlignment w:val="top"/>
    </w:pPr>
    <w:rPr>
      <w:rFonts w:ascii="Arial" w:hAnsi="Arial" w:eastAsia="Times New Roman" w:cs="Arial"/>
      <w:b/>
      <w:bCs/>
      <w:sz w:val="16"/>
      <w:szCs w:val="16"/>
      <w:lang w:eastAsia="ru-RU"/>
    </w:rPr>
  </w:style>
  <w:style w:type="paragraph" w:customStyle="1" w:styleId="246">
    <w:name w:val="xl105"/>
    <w:basedOn w:val="1"/>
    <w:qFormat/>
    <w:uiPriority w:val="0"/>
    <w:pPr>
      <w:pBdr>
        <w:top w:val="single" w:color="auto" w:sz="4" w:space="0"/>
      </w:pBdr>
      <w:spacing w:before="100" w:beforeAutospacing="1" w:after="100" w:afterAutospacing="1" w:line="240" w:lineRule="auto"/>
      <w:jc w:val="center"/>
      <w:textAlignment w:val="top"/>
    </w:pPr>
    <w:rPr>
      <w:rFonts w:ascii="Arial" w:hAnsi="Arial" w:eastAsia="Times New Roman" w:cs="Arial"/>
      <w:b/>
      <w:bCs/>
      <w:sz w:val="16"/>
      <w:szCs w:val="16"/>
      <w:lang w:eastAsia="ru-RU"/>
    </w:rPr>
  </w:style>
  <w:style w:type="paragraph" w:customStyle="1" w:styleId="247">
    <w:name w:val="xl106"/>
    <w:basedOn w:val="1"/>
    <w:qFormat/>
    <w:uiPriority w:val="0"/>
    <w:pPr>
      <w:pBdr>
        <w:top w:val="single" w:color="auto" w:sz="4" w:space="0"/>
      </w:pBdr>
      <w:spacing w:before="100" w:beforeAutospacing="1" w:after="100" w:afterAutospacing="1" w:line="240" w:lineRule="auto"/>
      <w:jc w:val="right"/>
      <w:textAlignment w:val="top"/>
    </w:pPr>
    <w:rPr>
      <w:rFonts w:ascii="Arial" w:hAnsi="Arial" w:eastAsia="Times New Roman" w:cs="Arial"/>
      <w:b/>
      <w:bCs/>
      <w:sz w:val="16"/>
      <w:szCs w:val="16"/>
      <w:lang w:eastAsia="ru-RU"/>
    </w:rPr>
  </w:style>
  <w:style w:type="paragraph" w:customStyle="1" w:styleId="248">
    <w:name w:val="xl107"/>
    <w:basedOn w:val="1"/>
    <w:qFormat/>
    <w:uiPriority w:val="0"/>
    <w:pPr>
      <w:pBdr>
        <w:top w:val="single" w:color="auto" w:sz="4" w:space="0"/>
        <w:right w:val="single" w:color="auto" w:sz="4" w:space="0"/>
      </w:pBdr>
      <w:spacing w:before="100" w:beforeAutospacing="1" w:after="100" w:afterAutospacing="1" w:line="240" w:lineRule="auto"/>
      <w:jc w:val="right"/>
      <w:textAlignment w:val="top"/>
    </w:pPr>
    <w:rPr>
      <w:rFonts w:ascii="Arial" w:hAnsi="Arial" w:eastAsia="Times New Roman" w:cs="Arial"/>
      <w:b/>
      <w:bCs/>
      <w:sz w:val="16"/>
      <w:szCs w:val="16"/>
      <w:lang w:eastAsia="ru-RU"/>
    </w:rPr>
  </w:style>
  <w:style w:type="paragraph" w:customStyle="1" w:styleId="249">
    <w:name w:val="xl108"/>
    <w:basedOn w:val="1"/>
    <w:uiPriority w:val="0"/>
    <w:pPr>
      <w:pBdr>
        <w:left w:val="single" w:color="auto" w:sz="4" w:space="0"/>
      </w:pBdr>
      <w:spacing w:before="100" w:beforeAutospacing="1" w:after="100" w:afterAutospacing="1" w:line="240" w:lineRule="auto"/>
      <w:jc w:val="center"/>
      <w:textAlignment w:val="top"/>
    </w:pPr>
    <w:rPr>
      <w:rFonts w:ascii="Arial" w:hAnsi="Arial" w:eastAsia="Times New Roman" w:cs="Arial"/>
      <w:sz w:val="16"/>
      <w:szCs w:val="16"/>
      <w:lang w:eastAsia="ru-RU"/>
    </w:rPr>
  </w:style>
  <w:style w:type="paragraph" w:customStyle="1" w:styleId="250">
    <w:name w:val="xl109"/>
    <w:basedOn w:val="1"/>
    <w:qFormat/>
    <w:uiPriority w:val="0"/>
    <w:pPr>
      <w:spacing w:before="100" w:beforeAutospacing="1" w:after="100" w:afterAutospacing="1" w:line="240" w:lineRule="auto"/>
      <w:textAlignment w:val="top"/>
    </w:pPr>
    <w:rPr>
      <w:rFonts w:ascii="Arial" w:hAnsi="Arial" w:eastAsia="Times New Roman" w:cs="Arial"/>
      <w:sz w:val="16"/>
      <w:szCs w:val="16"/>
      <w:lang w:eastAsia="ru-RU"/>
    </w:rPr>
  </w:style>
  <w:style w:type="paragraph" w:customStyle="1" w:styleId="251">
    <w:name w:val="xl110"/>
    <w:basedOn w:val="1"/>
    <w:qFormat/>
    <w:uiPriority w:val="0"/>
    <w:pPr>
      <w:pBdr>
        <w:left w:val="single" w:color="auto" w:sz="4" w:space="0"/>
      </w:pBdr>
      <w:spacing w:before="100" w:beforeAutospacing="1" w:after="100" w:afterAutospacing="1" w:line="240" w:lineRule="auto"/>
      <w:textAlignment w:val="center"/>
    </w:pPr>
    <w:rPr>
      <w:rFonts w:ascii="Arial" w:hAnsi="Arial" w:eastAsia="Times New Roman" w:cs="Arial"/>
      <w:sz w:val="16"/>
      <w:szCs w:val="16"/>
      <w:lang w:eastAsia="ru-RU"/>
    </w:rPr>
  </w:style>
  <w:style w:type="paragraph" w:customStyle="1" w:styleId="252">
    <w:name w:val="xl111"/>
    <w:basedOn w:val="1"/>
    <w:qFormat/>
    <w:uiPriority w:val="0"/>
    <w:pP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53">
    <w:name w:val="xl112"/>
    <w:basedOn w:val="1"/>
    <w:qFormat/>
    <w:uiPriority w:val="0"/>
    <w:pPr>
      <w:pBdr>
        <w:left w:val="single" w:color="auto" w:sz="4" w:space="0"/>
      </w:pBdr>
      <w:spacing w:before="100" w:beforeAutospacing="1" w:after="100" w:afterAutospacing="1" w:line="240" w:lineRule="auto"/>
      <w:textAlignment w:val="center"/>
    </w:pPr>
    <w:rPr>
      <w:rFonts w:ascii="Arial" w:hAnsi="Arial" w:eastAsia="Times New Roman" w:cs="Arial"/>
      <w:sz w:val="16"/>
      <w:szCs w:val="16"/>
      <w:lang w:eastAsia="ru-RU"/>
    </w:rPr>
  </w:style>
  <w:style w:type="paragraph" w:customStyle="1" w:styleId="254">
    <w:name w:val="xl113"/>
    <w:basedOn w:val="1"/>
    <w:qFormat/>
    <w:uiPriority w:val="0"/>
    <w:pP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55">
    <w:name w:val="xl114"/>
    <w:basedOn w:val="1"/>
    <w:qFormat/>
    <w:uiPriority w:val="0"/>
    <w:pPr>
      <w:spacing w:before="100" w:beforeAutospacing="1" w:after="100" w:afterAutospacing="1" w:line="240" w:lineRule="auto"/>
      <w:jc w:val="center"/>
      <w:textAlignment w:val="top"/>
    </w:pPr>
    <w:rPr>
      <w:rFonts w:ascii="Arial" w:hAnsi="Arial" w:eastAsia="Times New Roman" w:cs="Arial"/>
      <w:sz w:val="16"/>
      <w:szCs w:val="16"/>
      <w:lang w:eastAsia="ru-RU"/>
    </w:rPr>
  </w:style>
  <w:style w:type="paragraph" w:customStyle="1" w:styleId="256">
    <w:name w:val="xl115"/>
    <w:basedOn w:val="1"/>
    <w:qFormat/>
    <w:uiPriority w:val="0"/>
    <w:pPr>
      <w:spacing w:before="100" w:beforeAutospacing="1" w:after="100" w:afterAutospacing="1" w:line="240" w:lineRule="auto"/>
      <w:jc w:val="center"/>
      <w:textAlignment w:val="top"/>
    </w:pPr>
    <w:rPr>
      <w:rFonts w:ascii="Arial" w:hAnsi="Arial" w:eastAsia="Times New Roman" w:cs="Arial"/>
      <w:sz w:val="16"/>
      <w:szCs w:val="16"/>
      <w:lang w:eastAsia="ru-RU"/>
    </w:rPr>
  </w:style>
  <w:style w:type="paragraph" w:customStyle="1" w:styleId="257">
    <w:name w:val="xl116"/>
    <w:basedOn w:val="1"/>
    <w:qFormat/>
    <w:uiPriority w:val="0"/>
    <w:pPr>
      <w:spacing w:before="100" w:beforeAutospacing="1" w:after="100" w:afterAutospacing="1" w:line="240" w:lineRule="auto"/>
      <w:jc w:val="center"/>
      <w:textAlignment w:val="top"/>
    </w:pPr>
    <w:rPr>
      <w:rFonts w:ascii="Arial" w:hAnsi="Arial" w:eastAsia="Times New Roman" w:cs="Arial"/>
      <w:sz w:val="16"/>
      <w:szCs w:val="16"/>
      <w:lang w:eastAsia="ru-RU"/>
    </w:rPr>
  </w:style>
  <w:style w:type="paragraph" w:customStyle="1" w:styleId="258">
    <w:name w:val="xl117"/>
    <w:basedOn w:val="1"/>
    <w:qFormat/>
    <w:uiPriority w:val="0"/>
    <w:pP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59">
    <w:name w:val="xl118"/>
    <w:basedOn w:val="1"/>
    <w:qFormat/>
    <w:uiPriority w:val="0"/>
    <w:pPr>
      <w:pBdr>
        <w:right w:val="single" w:color="auto" w:sz="4" w:space="0"/>
      </w:pBd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60">
    <w:name w:val="xl119"/>
    <w:basedOn w:val="1"/>
    <w:qFormat/>
    <w:uiPriority w:val="0"/>
    <w:pPr>
      <w:pBdr>
        <w:left w:val="single" w:color="auto" w:sz="4" w:space="0"/>
      </w:pBdr>
      <w:spacing w:before="100" w:beforeAutospacing="1" w:after="100" w:afterAutospacing="1" w:line="240" w:lineRule="auto"/>
      <w:jc w:val="right"/>
      <w:textAlignment w:val="center"/>
    </w:pPr>
    <w:rPr>
      <w:rFonts w:ascii="Arial" w:hAnsi="Arial" w:eastAsia="Times New Roman" w:cs="Arial"/>
      <w:sz w:val="16"/>
      <w:szCs w:val="16"/>
      <w:lang w:eastAsia="ru-RU"/>
    </w:rPr>
  </w:style>
  <w:style w:type="paragraph" w:customStyle="1" w:styleId="261">
    <w:name w:val="xl120"/>
    <w:basedOn w:val="1"/>
    <w:qFormat/>
    <w:uiPriority w:val="0"/>
    <w:pPr>
      <w:spacing w:before="100" w:beforeAutospacing="1" w:after="100" w:afterAutospacing="1" w:line="240" w:lineRule="auto"/>
      <w:jc w:val="center"/>
      <w:textAlignment w:val="top"/>
    </w:pPr>
    <w:rPr>
      <w:rFonts w:ascii="Arial" w:hAnsi="Arial" w:eastAsia="Times New Roman" w:cs="Arial"/>
      <w:sz w:val="16"/>
      <w:szCs w:val="16"/>
      <w:lang w:eastAsia="ru-RU"/>
    </w:rPr>
  </w:style>
  <w:style w:type="paragraph" w:customStyle="1" w:styleId="262">
    <w:name w:val="xl121"/>
    <w:basedOn w:val="1"/>
    <w:qFormat/>
    <w:uiPriority w:val="0"/>
    <w:pPr>
      <w:spacing w:before="100" w:beforeAutospacing="1" w:after="100" w:afterAutospacing="1" w:line="240" w:lineRule="auto"/>
      <w:jc w:val="center"/>
      <w:textAlignment w:val="top"/>
    </w:pPr>
    <w:rPr>
      <w:rFonts w:ascii="Arial" w:hAnsi="Arial" w:eastAsia="Times New Roman" w:cs="Arial"/>
      <w:sz w:val="16"/>
      <w:szCs w:val="16"/>
      <w:lang w:eastAsia="ru-RU"/>
    </w:rPr>
  </w:style>
  <w:style w:type="paragraph" w:customStyle="1" w:styleId="263">
    <w:name w:val="xl122"/>
    <w:basedOn w:val="1"/>
    <w:qFormat/>
    <w:uiPriority w:val="0"/>
    <w:pP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64">
    <w:name w:val="xl123"/>
    <w:basedOn w:val="1"/>
    <w:qFormat/>
    <w:uiPriority w:val="0"/>
    <w:pPr>
      <w:spacing w:before="100" w:beforeAutospacing="1" w:after="100" w:afterAutospacing="1" w:line="240" w:lineRule="auto"/>
      <w:jc w:val="center"/>
      <w:textAlignment w:val="top"/>
    </w:pPr>
    <w:rPr>
      <w:rFonts w:ascii="Arial" w:hAnsi="Arial" w:eastAsia="Times New Roman" w:cs="Arial"/>
      <w:sz w:val="16"/>
      <w:szCs w:val="16"/>
      <w:lang w:eastAsia="ru-RU"/>
    </w:rPr>
  </w:style>
  <w:style w:type="paragraph" w:customStyle="1" w:styleId="265">
    <w:name w:val="xl124"/>
    <w:basedOn w:val="1"/>
    <w:qFormat/>
    <w:uiPriority w:val="0"/>
    <w:pP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66">
    <w:name w:val="xl125"/>
    <w:basedOn w:val="1"/>
    <w:qFormat/>
    <w:uiPriority w:val="0"/>
    <w:pPr>
      <w:pBdr>
        <w:left w:val="single" w:color="auto" w:sz="4" w:space="0"/>
      </w:pBdr>
      <w:spacing w:before="100" w:beforeAutospacing="1" w:after="100" w:afterAutospacing="1" w:line="240" w:lineRule="auto"/>
    </w:pPr>
    <w:rPr>
      <w:rFonts w:ascii="Arial" w:hAnsi="Arial" w:eastAsia="Times New Roman" w:cs="Arial"/>
      <w:sz w:val="16"/>
      <w:szCs w:val="16"/>
      <w:lang w:eastAsia="ru-RU"/>
    </w:rPr>
  </w:style>
  <w:style w:type="paragraph" w:customStyle="1" w:styleId="267">
    <w:name w:val="xl126"/>
    <w:basedOn w:val="1"/>
    <w:uiPriority w:val="0"/>
    <w:pPr>
      <w:pBdr>
        <w:top w:val="single" w:color="auto" w:sz="4" w:space="0"/>
      </w:pBdr>
      <w:spacing w:before="100" w:beforeAutospacing="1" w:after="100" w:afterAutospacing="1" w:line="240" w:lineRule="auto"/>
      <w:jc w:val="right"/>
      <w:textAlignment w:val="top"/>
    </w:pPr>
    <w:rPr>
      <w:rFonts w:ascii="Arial" w:hAnsi="Arial" w:eastAsia="Times New Roman" w:cs="Arial"/>
      <w:b/>
      <w:bCs/>
      <w:sz w:val="16"/>
      <w:szCs w:val="16"/>
      <w:lang w:eastAsia="ru-RU"/>
    </w:rPr>
  </w:style>
  <w:style w:type="paragraph" w:customStyle="1" w:styleId="268">
    <w:name w:val="xl127"/>
    <w:basedOn w:val="1"/>
    <w:qFormat/>
    <w:uiPriority w:val="0"/>
    <w:pPr>
      <w:pBdr>
        <w:top w:val="single" w:color="auto" w:sz="4" w:space="0"/>
        <w:right w:val="single" w:color="auto" w:sz="4" w:space="0"/>
      </w:pBdr>
      <w:spacing w:before="100" w:beforeAutospacing="1" w:after="100" w:afterAutospacing="1" w:line="240" w:lineRule="auto"/>
      <w:jc w:val="right"/>
      <w:textAlignment w:val="top"/>
    </w:pPr>
    <w:rPr>
      <w:rFonts w:ascii="Arial" w:hAnsi="Arial" w:eastAsia="Times New Roman" w:cs="Arial"/>
      <w:b/>
      <w:bCs/>
      <w:sz w:val="16"/>
      <w:szCs w:val="16"/>
      <w:lang w:eastAsia="ru-RU"/>
    </w:rPr>
  </w:style>
  <w:style w:type="paragraph" w:customStyle="1" w:styleId="269">
    <w:name w:val="xl128"/>
    <w:basedOn w:val="1"/>
    <w:qFormat/>
    <w:uiPriority w:val="0"/>
    <w:pPr>
      <w:pBdr>
        <w:left w:val="single" w:color="auto" w:sz="4" w:space="0"/>
      </w:pBd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70">
    <w:name w:val="xl129"/>
    <w:basedOn w:val="1"/>
    <w:qFormat/>
    <w:uiPriority w:val="0"/>
    <w:pPr>
      <w:spacing w:before="100" w:beforeAutospacing="1" w:after="100" w:afterAutospacing="1" w:line="240" w:lineRule="auto"/>
      <w:jc w:val="center"/>
      <w:textAlignment w:val="top"/>
    </w:pPr>
    <w:rPr>
      <w:rFonts w:ascii="Arial" w:hAnsi="Arial" w:eastAsia="Times New Roman" w:cs="Arial"/>
      <w:sz w:val="16"/>
      <w:szCs w:val="16"/>
      <w:lang w:eastAsia="ru-RU"/>
    </w:rPr>
  </w:style>
  <w:style w:type="paragraph" w:customStyle="1" w:styleId="271">
    <w:name w:val="xl130"/>
    <w:basedOn w:val="1"/>
    <w:qFormat/>
    <w:uiPriority w:val="0"/>
    <w:pPr>
      <w:pBdr>
        <w:left w:val="single" w:color="auto" w:sz="4" w:space="0"/>
      </w:pBdr>
      <w:spacing w:before="100" w:beforeAutospacing="1" w:after="100" w:afterAutospacing="1" w:line="240" w:lineRule="auto"/>
      <w:jc w:val="center"/>
      <w:textAlignment w:val="top"/>
    </w:pPr>
    <w:rPr>
      <w:rFonts w:ascii="Arial" w:hAnsi="Arial" w:eastAsia="Times New Roman" w:cs="Arial"/>
      <w:b/>
      <w:bCs/>
      <w:sz w:val="16"/>
      <w:szCs w:val="16"/>
      <w:lang w:eastAsia="ru-RU"/>
    </w:rPr>
  </w:style>
  <w:style w:type="paragraph" w:customStyle="1" w:styleId="272">
    <w:name w:val="xl131"/>
    <w:basedOn w:val="1"/>
    <w:qFormat/>
    <w:uiPriority w:val="0"/>
    <w:pPr>
      <w:spacing w:before="100" w:beforeAutospacing="1" w:after="100" w:afterAutospacing="1" w:line="240" w:lineRule="auto"/>
      <w:textAlignment w:val="top"/>
    </w:pPr>
    <w:rPr>
      <w:rFonts w:ascii="Arial" w:hAnsi="Arial" w:eastAsia="Times New Roman" w:cs="Arial"/>
      <w:b/>
      <w:bCs/>
      <w:sz w:val="16"/>
      <w:szCs w:val="16"/>
      <w:lang w:eastAsia="ru-RU"/>
    </w:rPr>
  </w:style>
  <w:style w:type="paragraph" w:customStyle="1" w:styleId="273">
    <w:name w:val="xl132"/>
    <w:basedOn w:val="1"/>
    <w:qFormat/>
    <w:uiPriority w:val="0"/>
    <w:pPr>
      <w:pBdr>
        <w:top w:val="single" w:color="auto" w:sz="4" w:space="0"/>
      </w:pBdr>
      <w:spacing w:before="100" w:beforeAutospacing="1" w:after="100" w:afterAutospacing="1" w:line="240" w:lineRule="auto"/>
      <w:jc w:val="right"/>
      <w:textAlignment w:val="top"/>
    </w:pPr>
    <w:rPr>
      <w:rFonts w:ascii="Arial" w:hAnsi="Arial" w:eastAsia="Times New Roman" w:cs="Arial"/>
      <w:b/>
      <w:bCs/>
      <w:sz w:val="16"/>
      <w:szCs w:val="16"/>
      <w:lang w:eastAsia="ru-RU"/>
    </w:rPr>
  </w:style>
  <w:style w:type="paragraph" w:customStyle="1" w:styleId="274">
    <w:name w:val="xl133"/>
    <w:basedOn w:val="1"/>
    <w:qFormat/>
    <w:uiPriority w:val="0"/>
    <w:pPr>
      <w:pBdr>
        <w:top w:val="single" w:color="auto" w:sz="4" w:space="0"/>
      </w:pBdr>
      <w:spacing w:before="100" w:beforeAutospacing="1" w:after="100" w:afterAutospacing="1" w:line="240" w:lineRule="auto"/>
      <w:jc w:val="center"/>
      <w:textAlignment w:val="top"/>
    </w:pPr>
    <w:rPr>
      <w:rFonts w:ascii="Arial" w:hAnsi="Arial" w:eastAsia="Times New Roman" w:cs="Arial"/>
      <w:b/>
      <w:bCs/>
      <w:sz w:val="16"/>
      <w:szCs w:val="16"/>
      <w:lang w:eastAsia="ru-RU"/>
    </w:rPr>
  </w:style>
  <w:style w:type="paragraph" w:customStyle="1" w:styleId="275">
    <w:name w:val="xl134"/>
    <w:basedOn w:val="1"/>
    <w:qFormat/>
    <w:uiPriority w:val="0"/>
    <w:pPr>
      <w:pBdr>
        <w:right w:val="single" w:color="auto" w:sz="4" w:space="0"/>
      </w:pBd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76">
    <w:name w:val="xl135"/>
    <w:basedOn w:val="1"/>
    <w:qFormat/>
    <w:uiPriority w:val="0"/>
    <w:pP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77">
    <w:name w:val="xl136"/>
    <w:basedOn w:val="1"/>
    <w:qFormat/>
    <w:uiPriority w:val="0"/>
    <w:pPr>
      <w:spacing w:before="100" w:beforeAutospacing="1" w:after="100" w:afterAutospacing="1" w:line="240" w:lineRule="auto"/>
      <w:jc w:val="center"/>
      <w:textAlignment w:val="top"/>
    </w:pPr>
    <w:rPr>
      <w:rFonts w:ascii="Arial" w:hAnsi="Arial" w:eastAsia="Times New Roman" w:cs="Arial"/>
      <w:sz w:val="16"/>
      <w:szCs w:val="16"/>
      <w:lang w:eastAsia="ru-RU"/>
    </w:rPr>
  </w:style>
  <w:style w:type="paragraph" w:customStyle="1" w:styleId="278">
    <w:name w:val="xl137"/>
    <w:basedOn w:val="1"/>
    <w:qFormat/>
    <w:uiPriority w:val="0"/>
    <w:pPr>
      <w:spacing w:before="100" w:beforeAutospacing="1" w:after="100" w:afterAutospacing="1" w:line="240" w:lineRule="auto"/>
      <w:jc w:val="center"/>
      <w:textAlignment w:val="top"/>
    </w:pPr>
    <w:rPr>
      <w:rFonts w:ascii="Arial" w:hAnsi="Arial" w:eastAsia="Times New Roman" w:cs="Arial"/>
      <w:sz w:val="16"/>
      <w:szCs w:val="16"/>
      <w:lang w:eastAsia="ru-RU"/>
    </w:rPr>
  </w:style>
  <w:style w:type="paragraph" w:customStyle="1" w:styleId="279">
    <w:name w:val="xl138"/>
    <w:basedOn w:val="1"/>
    <w:qFormat/>
    <w:uiPriority w:val="0"/>
    <w:pP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80">
    <w:name w:val="xl139"/>
    <w:basedOn w:val="1"/>
    <w:qFormat/>
    <w:uiPriority w:val="0"/>
    <w:pPr>
      <w:pBdr>
        <w:top w:val="single" w:color="auto" w:sz="4" w:space="0"/>
        <w:right w:val="single" w:color="auto" w:sz="4" w:space="0"/>
      </w:pBdr>
      <w:spacing w:before="100" w:beforeAutospacing="1" w:after="100" w:afterAutospacing="1" w:line="240" w:lineRule="auto"/>
      <w:jc w:val="right"/>
      <w:textAlignment w:val="top"/>
    </w:pPr>
    <w:rPr>
      <w:rFonts w:ascii="Arial" w:hAnsi="Arial" w:eastAsia="Times New Roman" w:cs="Arial"/>
      <w:b/>
      <w:bCs/>
      <w:sz w:val="16"/>
      <w:szCs w:val="16"/>
      <w:lang w:eastAsia="ru-RU"/>
    </w:rPr>
  </w:style>
  <w:style w:type="paragraph" w:customStyle="1" w:styleId="281">
    <w:name w:val="xl140"/>
    <w:basedOn w:val="1"/>
    <w:qFormat/>
    <w:uiPriority w:val="0"/>
    <w:pP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82">
    <w:name w:val="xl141"/>
    <w:basedOn w:val="1"/>
    <w:uiPriority w:val="0"/>
    <w:pPr>
      <w:spacing w:before="100" w:beforeAutospacing="1" w:after="100" w:afterAutospacing="1" w:line="240" w:lineRule="auto"/>
      <w:jc w:val="center"/>
      <w:textAlignment w:val="top"/>
    </w:pPr>
    <w:rPr>
      <w:rFonts w:ascii="Arial" w:hAnsi="Arial" w:eastAsia="Times New Roman" w:cs="Arial"/>
      <w:b/>
      <w:bCs/>
      <w:sz w:val="16"/>
      <w:szCs w:val="16"/>
      <w:lang w:eastAsia="ru-RU"/>
    </w:rPr>
  </w:style>
  <w:style w:type="paragraph" w:customStyle="1" w:styleId="283">
    <w:name w:val="xl142"/>
    <w:basedOn w:val="1"/>
    <w:qFormat/>
    <w:uiPriority w:val="0"/>
    <w:pPr>
      <w:spacing w:before="100" w:beforeAutospacing="1" w:after="100" w:afterAutospacing="1" w:line="240" w:lineRule="auto"/>
      <w:textAlignment w:val="top"/>
    </w:pPr>
    <w:rPr>
      <w:rFonts w:ascii="Arial" w:hAnsi="Arial" w:eastAsia="Times New Roman" w:cs="Arial"/>
      <w:b/>
      <w:bCs/>
      <w:sz w:val="16"/>
      <w:szCs w:val="16"/>
      <w:lang w:eastAsia="ru-RU"/>
    </w:rPr>
  </w:style>
  <w:style w:type="paragraph" w:customStyle="1" w:styleId="284">
    <w:name w:val="xl143"/>
    <w:basedOn w:val="1"/>
    <w:qFormat/>
    <w:uiPriority w:val="0"/>
    <w:pPr>
      <w:spacing w:before="100" w:beforeAutospacing="1" w:after="100" w:afterAutospacing="1" w:line="240" w:lineRule="auto"/>
      <w:jc w:val="center"/>
      <w:textAlignment w:val="top"/>
    </w:pPr>
    <w:rPr>
      <w:rFonts w:ascii="Arial" w:hAnsi="Arial" w:eastAsia="Times New Roman" w:cs="Arial"/>
      <w:b/>
      <w:bCs/>
      <w:sz w:val="16"/>
      <w:szCs w:val="16"/>
      <w:lang w:eastAsia="ru-RU"/>
    </w:rPr>
  </w:style>
  <w:style w:type="paragraph" w:customStyle="1" w:styleId="285">
    <w:name w:val="xl144"/>
    <w:basedOn w:val="1"/>
    <w:uiPriority w:val="0"/>
    <w:pPr>
      <w:spacing w:before="100" w:beforeAutospacing="1" w:after="100" w:afterAutospacing="1" w:line="240" w:lineRule="auto"/>
      <w:jc w:val="right"/>
      <w:textAlignment w:val="top"/>
    </w:pPr>
    <w:rPr>
      <w:rFonts w:ascii="Arial" w:hAnsi="Arial" w:eastAsia="Times New Roman" w:cs="Arial"/>
      <w:b/>
      <w:bCs/>
      <w:sz w:val="16"/>
      <w:szCs w:val="16"/>
      <w:lang w:eastAsia="ru-RU"/>
    </w:rPr>
  </w:style>
  <w:style w:type="paragraph" w:customStyle="1" w:styleId="286">
    <w:name w:val="xl145"/>
    <w:basedOn w:val="1"/>
    <w:uiPriority w:val="0"/>
    <w:pPr>
      <w:spacing w:before="100" w:beforeAutospacing="1" w:after="100" w:afterAutospacing="1" w:line="240" w:lineRule="auto"/>
      <w:jc w:val="right"/>
      <w:textAlignment w:val="top"/>
    </w:pPr>
    <w:rPr>
      <w:rFonts w:ascii="Arial" w:hAnsi="Arial" w:eastAsia="Times New Roman" w:cs="Arial"/>
      <w:b/>
      <w:bCs/>
      <w:sz w:val="16"/>
      <w:szCs w:val="16"/>
      <w:lang w:eastAsia="ru-RU"/>
    </w:rPr>
  </w:style>
  <w:style w:type="paragraph" w:customStyle="1" w:styleId="287">
    <w:name w:val="xl146"/>
    <w:basedOn w:val="1"/>
    <w:qFormat/>
    <w:uiPriority w:val="0"/>
    <w:pPr>
      <w:pBdr>
        <w:right w:val="single" w:color="auto" w:sz="4" w:space="0"/>
      </w:pBdr>
      <w:spacing w:before="100" w:beforeAutospacing="1" w:after="100" w:afterAutospacing="1" w:line="240" w:lineRule="auto"/>
      <w:jc w:val="right"/>
      <w:textAlignment w:val="top"/>
    </w:pPr>
    <w:rPr>
      <w:rFonts w:ascii="Arial" w:hAnsi="Arial" w:eastAsia="Times New Roman" w:cs="Arial"/>
      <w:b/>
      <w:bCs/>
      <w:sz w:val="16"/>
      <w:szCs w:val="16"/>
      <w:lang w:eastAsia="ru-RU"/>
    </w:rPr>
  </w:style>
  <w:style w:type="paragraph" w:customStyle="1" w:styleId="288">
    <w:name w:val="xl147"/>
    <w:basedOn w:val="1"/>
    <w:qFormat/>
    <w:uiPriority w:val="0"/>
    <w:pPr>
      <w:pBdr>
        <w:right w:val="single" w:color="auto" w:sz="4" w:space="0"/>
      </w:pBd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89">
    <w:name w:val="xl148"/>
    <w:basedOn w:val="1"/>
    <w:qFormat/>
    <w:uiPriority w:val="0"/>
    <w:pPr>
      <w:pBdr>
        <w:right w:val="single" w:color="auto" w:sz="4" w:space="0"/>
      </w:pBd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90">
    <w:name w:val="xl149"/>
    <w:basedOn w:val="1"/>
    <w:uiPriority w:val="0"/>
    <w:pPr>
      <w:pBdr>
        <w:right w:val="single" w:color="auto" w:sz="4" w:space="0"/>
      </w:pBd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91">
    <w:name w:val="xl150"/>
    <w:basedOn w:val="1"/>
    <w:qFormat/>
    <w:uiPriority w:val="0"/>
    <w:pPr>
      <w:pBdr>
        <w:right w:val="single" w:color="auto" w:sz="4" w:space="0"/>
      </w:pBdr>
      <w:spacing w:before="100" w:beforeAutospacing="1" w:after="100" w:afterAutospacing="1" w:line="240" w:lineRule="auto"/>
      <w:jc w:val="right"/>
      <w:textAlignment w:val="top"/>
    </w:pPr>
    <w:rPr>
      <w:rFonts w:ascii="Arial" w:hAnsi="Arial" w:eastAsia="Times New Roman" w:cs="Arial"/>
      <w:b/>
      <w:bCs/>
      <w:sz w:val="16"/>
      <w:szCs w:val="16"/>
      <w:lang w:eastAsia="ru-RU"/>
    </w:rPr>
  </w:style>
  <w:style w:type="paragraph" w:customStyle="1" w:styleId="292">
    <w:name w:val="xl151"/>
    <w:basedOn w:val="1"/>
    <w:qFormat/>
    <w:uiPriority w:val="0"/>
    <w:pPr>
      <w:pBdr>
        <w:right w:val="single" w:color="auto" w:sz="4" w:space="0"/>
      </w:pBdr>
      <w:spacing w:before="100" w:beforeAutospacing="1" w:after="100" w:afterAutospacing="1" w:line="240" w:lineRule="auto"/>
    </w:pPr>
    <w:rPr>
      <w:rFonts w:ascii="Arial" w:hAnsi="Arial" w:eastAsia="Times New Roman" w:cs="Arial"/>
      <w:sz w:val="16"/>
      <w:szCs w:val="16"/>
      <w:lang w:eastAsia="ru-RU"/>
    </w:rPr>
  </w:style>
  <w:style w:type="paragraph" w:customStyle="1" w:styleId="293">
    <w:name w:val="xl152"/>
    <w:basedOn w:val="1"/>
    <w:qFormat/>
    <w:uiPriority w:val="0"/>
    <w:pP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94">
    <w:name w:val="xl153"/>
    <w:basedOn w:val="1"/>
    <w:uiPriority w:val="0"/>
    <w:pP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95">
    <w:name w:val="xl154"/>
    <w:basedOn w:val="1"/>
    <w:qFormat/>
    <w:uiPriority w:val="0"/>
    <w:pPr>
      <w:spacing w:before="100" w:beforeAutospacing="1" w:after="100" w:afterAutospacing="1" w:line="240" w:lineRule="auto"/>
      <w:jc w:val="center"/>
      <w:textAlignment w:val="top"/>
    </w:pPr>
    <w:rPr>
      <w:rFonts w:ascii="Arial" w:hAnsi="Arial" w:eastAsia="Times New Roman" w:cs="Arial"/>
      <w:sz w:val="16"/>
      <w:szCs w:val="16"/>
      <w:lang w:eastAsia="ru-RU"/>
    </w:rPr>
  </w:style>
  <w:style w:type="paragraph" w:customStyle="1" w:styleId="296">
    <w:name w:val="xl155"/>
    <w:basedOn w:val="1"/>
    <w:uiPriority w:val="0"/>
    <w:pPr>
      <w:pBdr>
        <w:top w:val="single" w:color="auto" w:sz="4" w:space="0"/>
      </w:pBdr>
      <w:spacing w:before="100" w:beforeAutospacing="1" w:after="100" w:afterAutospacing="1" w:line="240" w:lineRule="auto"/>
      <w:jc w:val="center"/>
      <w:textAlignment w:val="top"/>
    </w:pPr>
    <w:rPr>
      <w:rFonts w:ascii="Arial" w:hAnsi="Arial" w:eastAsia="Times New Roman" w:cs="Arial"/>
      <w:b/>
      <w:bCs/>
      <w:sz w:val="16"/>
      <w:szCs w:val="16"/>
      <w:lang w:eastAsia="ru-RU"/>
    </w:rPr>
  </w:style>
  <w:style w:type="paragraph" w:customStyle="1" w:styleId="297">
    <w:name w:val="xl156"/>
    <w:basedOn w:val="1"/>
    <w:qFormat/>
    <w:uiPriority w:val="0"/>
    <w:pPr>
      <w:spacing w:before="100" w:beforeAutospacing="1" w:after="100" w:afterAutospacing="1" w:line="240" w:lineRule="auto"/>
      <w:jc w:val="center"/>
      <w:textAlignment w:val="top"/>
    </w:pPr>
    <w:rPr>
      <w:rFonts w:ascii="Arial" w:hAnsi="Arial" w:eastAsia="Times New Roman" w:cs="Arial"/>
      <w:sz w:val="16"/>
      <w:szCs w:val="16"/>
      <w:lang w:eastAsia="ru-RU"/>
    </w:rPr>
  </w:style>
  <w:style w:type="paragraph" w:customStyle="1" w:styleId="298">
    <w:name w:val="xl157"/>
    <w:basedOn w:val="1"/>
    <w:qFormat/>
    <w:uiPriority w:val="0"/>
    <w:pPr>
      <w:spacing w:before="100" w:beforeAutospacing="1" w:after="100" w:afterAutospacing="1" w:line="240" w:lineRule="auto"/>
      <w:jc w:val="center"/>
      <w:textAlignment w:val="top"/>
    </w:pPr>
    <w:rPr>
      <w:rFonts w:ascii="Arial" w:hAnsi="Arial" w:eastAsia="Times New Roman" w:cs="Arial"/>
      <w:sz w:val="16"/>
      <w:szCs w:val="16"/>
      <w:lang w:eastAsia="ru-RU"/>
    </w:rPr>
  </w:style>
  <w:style w:type="paragraph" w:customStyle="1" w:styleId="299">
    <w:name w:val="xl158"/>
    <w:basedOn w:val="1"/>
    <w:qFormat/>
    <w:uiPriority w:val="0"/>
    <w:pPr>
      <w:spacing w:before="100" w:beforeAutospacing="1" w:after="100" w:afterAutospacing="1" w:line="240" w:lineRule="auto"/>
      <w:jc w:val="center"/>
      <w:textAlignment w:val="top"/>
    </w:pPr>
    <w:rPr>
      <w:rFonts w:ascii="Arial" w:hAnsi="Arial" w:eastAsia="Times New Roman" w:cs="Arial"/>
      <w:sz w:val="16"/>
      <w:szCs w:val="16"/>
      <w:lang w:eastAsia="ru-RU"/>
    </w:rPr>
  </w:style>
  <w:style w:type="paragraph" w:customStyle="1" w:styleId="300">
    <w:name w:val="xl159"/>
    <w:basedOn w:val="1"/>
    <w:uiPriority w:val="0"/>
    <w:pPr>
      <w:pBdr>
        <w:top w:val="single" w:color="auto" w:sz="4" w:space="0"/>
      </w:pBdr>
      <w:spacing w:before="100" w:beforeAutospacing="1" w:after="100" w:afterAutospacing="1" w:line="240" w:lineRule="auto"/>
      <w:jc w:val="center"/>
      <w:textAlignment w:val="top"/>
    </w:pPr>
    <w:rPr>
      <w:rFonts w:ascii="Arial" w:hAnsi="Arial" w:eastAsia="Times New Roman" w:cs="Arial"/>
      <w:b/>
      <w:bCs/>
      <w:sz w:val="16"/>
      <w:szCs w:val="16"/>
      <w:lang w:eastAsia="ru-RU"/>
    </w:rPr>
  </w:style>
  <w:style w:type="paragraph" w:customStyle="1" w:styleId="301">
    <w:name w:val="xl160"/>
    <w:basedOn w:val="1"/>
    <w:qFormat/>
    <w:uiPriority w:val="0"/>
    <w:pPr>
      <w:pBdr>
        <w:top w:val="single" w:color="auto" w:sz="4" w:space="0"/>
      </w:pBdr>
      <w:spacing w:before="100" w:beforeAutospacing="1" w:after="100" w:afterAutospacing="1" w:line="240" w:lineRule="auto"/>
      <w:jc w:val="center"/>
      <w:textAlignment w:val="top"/>
    </w:pPr>
    <w:rPr>
      <w:rFonts w:ascii="Arial" w:hAnsi="Arial" w:eastAsia="Times New Roman" w:cs="Arial"/>
      <w:b/>
      <w:bCs/>
      <w:sz w:val="16"/>
      <w:szCs w:val="16"/>
      <w:lang w:eastAsia="ru-RU"/>
    </w:rPr>
  </w:style>
  <w:style w:type="paragraph" w:customStyle="1" w:styleId="302">
    <w:name w:val="xl161"/>
    <w:basedOn w:val="1"/>
    <w:qFormat/>
    <w:uiPriority w:val="0"/>
    <w:pP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303">
    <w:name w:val="xl162"/>
    <w:basedOn w:val="1"/>
    <w:qFormat/>
    <w:uiPriority w:val="0"/>
    <w:pPr>
      <w:spacing w:before="100" w:beforeAutospacing="1" w:after="100" w:afterAutospacing="1" w:line="240" w:lineRule="auto"/>
      <w:textAlignment w:val="top"/>
    </w:pPr>
    <w:rPr>
      <w:rFonts w:ascii="Arial" w:hAnsi="Arial" w:eastAsia="Times New Roman" w:cs="Arial"/>
      <w:sz w:val="16"/>
      <w:szCs w:val="16"/>
      <w:lang w:eastAsia="ru-RU"/>
    </w:rPr>
  </w:style>
  <w:style w:type="paragraph" w:customStyle="1" w:styleId="304">
    <w:name w:val="xl163"/>
    <w:basedOn w:val="1"/>
    <w:qFormat/>
    <w:uiPriority w:val="0"/>
    <w:pPr>
      <w:pBdr>
        <w:top w:val="single" w:color="auto" w:sz="4" w:space="0"/>
        <w:bottom w:val="single" w:color="auto" w:sz="4" w:space="0"/>
      </w:pBdr>
      <w:spacing w:before="100" w:beforeAutospacing="1" w:after="100" w:afterAutospacing="1" w:line="240" w:lineRule="auto"/>
    </w:pPr>
    <w:rPr>
      <w:rFonts w:ascii="Arial" w:hAnsi="Arial" w:eastAsia="Times New Roman" w:cs="Arial"/>
      <w:sz w:val="16"/>
      <w:szCs w:val="16"/>
      <w:lang w:eastAsia="ru-RU"/>
    </w:rPr>
  </w:style>
  <w:style w:type="paragraph" w:customStyle="1" w:styleId="305">
    <w:name w:val="xl164"/>
    <w:basedOn w:val="1"/>
    <w:qFormat/>
    <w:uiPriority w:val="0"/>
    <w:pPr>
      <w:spacing w:before="100" w:beforeAutospacing="1" w:after="100" w:afterAutospacing="1" w:line="240" w:lineRule="auto"/>
      <w:textAlignment w:val="top"/>
    </w:pPr>
    <w:rPr>
      <w:rFonts w:ascii="Arial" w:hAnsi="Arial" w:eastAsia="Times New Roman" w:cs="Arial"/>
      <w:sz w:val="16"/>
      <w:szCs w:val="16"/>
      <w:lang w:eastAsia="ru-RU"/>
    </w:rPr>
  </w:style>
  <w:style w:type="paragraph" w:customStyle="1" w:styleId="306">
    <w:name w:val="xl165"/>
    <w:basedOn w:val="1"/>
    <w:qFormat/>
    <w:uiPriority w:val="0"/>
    <w:pPr>
      <w:pBdr>
        <w:bottom w:val="single" w:color="auto" w:sz="4" w:space="0"/>
      </w:pBdr>
      <w:spacing w:before="100" w:beforeAutospacing="1" w:after="100" w:afterAutospacing="1" w:line="240" w:lineRule="auto"/>
    </w:pPr>
    <w:rPr>
      <w:rFonts w:ascii="Arial" w:hAnsi="Arial" w:eastAsia="Times New Roman" w:cs="Arial"/>
      <w:sz w:val="16"/>
      <w:szCs w:val="16"/>
      <w:lang w:eastAsia="ru-RU"/>
    </w:rPr>
  </w:style>
  <w:style w:type="paragraph" w:customStyle="1" w:styleId="307">
    <w:name w:val="xl166"/>
    <w:basedOn w:val="1"/>
    <w:qFormat/>
    <w:uiPriority w:val="0"/>
    <w:pPr>
      <w:pBdr>
        <w:top w:val="single" w:color="auto" w:sz="4" w:space="0"/>
      </w:pBdr>
      <w:spacing w:before="100" w:beforeAutospacing="1" w:after="100" w:afterAutospacing="1" w:line="240" w:lineRule="auto"/>
      <w:jc w:val="center"/>
      <w:textAlignment w:val="top"/>
    </w:pPr>
    <w:rPr>
      <w:rFonts w:ascii="Arial" w:hAnsi="Arial" w:eastAsia="Times New Roman" w:cs="Arial"/>
      <w:i/>
      <w:iCs/>
      <w:sz w:val="16"/>
      <w:szCs w:val="16"/>
      <w:lang w:eastAsia="ru-RU"/>
    </w:rPr>
  </w:style>
  <w:style w:type="paragraph" w:customStyle="1" w:styleId="308">
    <w:name w:val="xl167"/>
    <w:basedOn w:val="1"/>
    <w:qFormat/>
    <w:uiPriority w:val="0"/>
    <w:pPr>
      <w:pBdr>
        <w:bottom w:val="single" w:color="auto" w:sz="4" w:space="0"/>
      </w:pBdr>
      <w:spacing w:before="100" w:beforeAutospacing="1" w:after="100" w:afterAutospacing="1" w:line="240" w:lineRule="auto"/>
      <w:jc w:val="center"/>
    </w:pPr>
    <w:rPr>
      <w:rFonts w:ascii="Arial" w:hAnsi="Arial" w:eastAsia="Times New Roman" w:cs="Arial"/>
      <w:sz w:val="16"/>
      <w:szCs w:val="16"/>
      <w:lang w:eastAsia="ru-RU"/>
    </w:rPr>
  </w:style>
  <w:style w:type="paragraph" w:customStyle="1" w:styleId="309">
    <w:name w:val="xl168"/>
    <w:basedOn w:val="1"/>
    <w:qFormat/>
    <w:uiPriority w:val="0"/>
    <w:pPr>
      <w:pBdr>
        <w:bottom w:val="single" w:color="auto" w:sz="4" w:space="0"/>
      </w:pBdr>
      <w:spacing w:before="100" w:beforeAutospacing="1" w:after="100" w:afterAutospacing="1" w:line="240" w:lineRule="auto"/>
    </w:pPr>
    <w:rPr>
      <w:rFonts w:ascii="Arial" w:hAnsi="Arial" w:eastAsia="Times New Roman" w:cs="Arial"/>
      <w:sz w:val="16"/>
      <w:szCs w:val="16"/>
      <w:lang w:eastAsia="ru-RU"/>
    </w:rPr>
  </w:style>
  <w:style w:type="paragraph" w:customStyle="1" w:styleId="310">
    <w:name w:val="xl169"/>
    <w:basedOn w:val="1"/>
    <w:qFormat/>
    <w:uiPriority w:val="0"/>
    <w:pPr>
      <w:pBdr>
        <w:top w:val="single" w:color="auto" w:sz="4" w:space="0"/>
      </w:pBdr>
      <w:spacing w:before="100" w:beforeAutospacing="1" w:after="100" w:afterAutospacing="1" w:line="240" w:lineRule="auto"/>
      <w:jc w:val="center"/>
    </w:pPr>
    <w:rPr>
      <w:rFonts w:ascii="Arial" w:hAnsi="Arial" w:eastAsia="Times New Roman" w:cs="Arial"/>
      <w:i/>
      <w:iCs/>
      <w:sz w:val="16"/>
      <w:szCs w:val="16"/>
      <w:lang w:eastAsia="ru-RU"/>
    </w:rPr>
  </w:style>
  <w:style w:type="paragraph" w:customStyle="1" w:styleId="311">
    <w:name w:val="xl170"/>
    <w:basedOn w:val="1"/>
    <w:qFormat/>
    <w:uiPriority w:val="0"/>
    <w:pPr>
      <w:pBdr>
        <w:bottom w:val="single" w:color="auto" w:sz="4" w:space="0"/>
      </w:pBdr>
      <w:spacing w:before="100" w:beforeAutospacing="1" w:after="100" w:afterAutospacing="1" w:line="240" w:lineRule="auto"/>
    </w:pPr>
    <w:rPr>
      <w:rFonts w:ascii="Arial" w:hAnsi="Arial" w:eastAsia="Times New Roman" w:cs="Arial"/>
      <w:sz w:val="16"/>
      <w:szCs w:val="16"/>
      <w:lang w:eastAsia="ru-RU"/>
    </w:rPr>
  </w:style>
  <w:style w:type="paragraph" w:customStyle="1" w:styleId="312">
    <w:name w:val="xl17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313">
    <w:name w:val="xl172"/>
    <w:basedOn w:val="1"/>
    <w:qFormat/>
    <w:uiPriority w:val="0"/>
    <w:pPr>
      <w:pBdr>
        <w:top w:val="single" w:color="auto" w:sz="4" w:space="0"/>
        <w:left w:val="single" w:color="auto" w:sz="4" w:space="0"/>
      </w:pBd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314">
    <w:name w:val="xl173"/>
    <w:basedOn w:val="1"/>
    <w:qFormat/>
    <w:uiPriority w:val="0"/>
    <w:pPr>
      <w:pBdr>
        <w:top w:val="single" w:color="auto" w:sz="4" w:space="0"/>
      </w:pBd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315">
    <w:name w:val="xl174"/>
    <w:basedOn w:val="1"/>
    <w:qFormat/>
    <w:uiPriority w:val="0"/>
    <w:pPr>
      <w:pBdr>
        <w:top w:val="single" w:color="auto" w:sz="4" w:space="0"/>
        <w:right w:val="single" w:color="auto" w:sz="4" w:space="0"/>
      </w:pBd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316">
    <w:name w:val="xl175"/>
    <w:basedOn w:val="1"/>
    <w:qFormat/>
    <w:uiPriority w:val="0"/>
    <w:pPr>
      <w:pBdr>
        <w:left w:val="single" w:color="auto" w:sz="4" w:space="0"/>
      </w:pBd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317">
    <w:name w:val="xl176"/>
    <w:basedOn w:val="1"/>
    <w:qFormat/>
    <w:uiPriority w:val="0"/>
    <w:pP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318">
    <w:name w:val="xl177"/>
    <w:basedOn w:val="1"/>
    <w:qFormat/>
    <w:uiPriority w:val="0"/>
    <w:pPr>
      <w:pBdr>
        <w:right w:val="single" w:color="auto" w:sz="4" w:space="0"/>
      </w:pBd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319">
    <w:name w:val="xl178"/>
    <w:basedOn w:val="1"/>
    <w:qFormat/>
    <w:uiPriority w:val="0"/>
    <w:pPr>
      <w:pBdr>
        <w:left w:val="single" w:color="auto" w:sz="4" w:space="0"/>
        <w:bottom w:val="single" w:color="auto" w:sz="4" w:space="0"/>
      </w:pBd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320">
    <w:name w:val="xl179"/>
    <w:basedOn w:val="1"/>
    <w:qFormat/>
    <w:uiPriority w:val="0"/>
    <w:pPr>
      <w:pBdr>
        <w:bottom w:val="single" w:color="auto" w:sz="4" w:space="0"/>
      </w:pBd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321">
    <w:name w:val="xl180"/>
    <w:basedOn w:val="1"/>
    <w:qFormat/>
    <w:uiPriority w:val="0"/>
    <w:pPr>
      <w:pBdr>
        <w:bottom w:val="single" w:color="auto" w:sz="4" w:space="0"/>
        <w:right w:val="single" w:color="auto" w:sz="4" w:space="0"/>
      </w:pBd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322">
    <w:name w:val="xl181"/>
    <w:basedOn w:val="1"/>
    <w:qFormat/>
    <w:uiPriority w:val="0"/>
    <w:pPr>
      <w:pBdr>
        <w:top w:val="single" w:color="auto" w:sz="4" w:space="0"/>
        <w:left w:val="single" w:color="auto" w:sz="4" w:space="0"/>
        <w:bottom w:val="single" w:color="auto" w:sz="4" w:space="0"/>
      </w:pBd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323">
    <w:name w:val="xl182"/>
    <w:basedOn w:val="1"/>
    <w:qFormat/>
    <w:uiPriority w:val="0"/>
    <w:pPr>
      <w:pBdr>
        <w:top w:val="single" w:color="auto" w:sz="4" w:space="0"/>
        <w:bottom w:val="single" w:color="auto" w:sz="4" w:space="0"/>
      </w:pBd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324">
    <w:name w:val="xl183"/>
    <w:basedOn w:val="1"/>
    <w:qFormat/>
    <w:uiPriority w:val="0"/>
    <w:pPr>
      <w:pBdr>
        <w:top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325">
    <w:name w:val="xl184"/>
    <w:basedOn w:val="1"/>
    <w:qFormat/>
    <w:uiPriority w:val="0"/>
    <w:pPr>
      <w:pBdr>
        <w:top w:val="single" w:color="auto" w:sz="4" w:space="0"/>
        <w:left w:val="single" w:color="auto" w:sz="4" w:space="0"/>
        <w:bottom w:val="single" w:color="auto" w:sz="4" w:space="0"/>
      </w:pBdr>
      <w:spacing w:before="100" w:beforeAutospacing="1" w:after="100" w:afterAutospacing="1" w:line="240" w:lineRule="auto"/>
      <w:textAlignment w:val="center"/>
    </w:pPr>
    <w:rPr>
      <w:rFonts w:ascii="Arial" w:hAnsi="Arial" w:eastAsia="Times New Roman" w:cs="Arial"/>
      <w:b/>
      <w:bCs/>
      <w:sz w:val="16"/>
      <w:szCs w:val="16"/>
      <w:lang w:eastAsia="ru-RU"/>
    </w:rPr>
  </w:style>
  <w:style w:type="paragraph" w:customStyle="1" w:styleId="326">
    <w:name w:val="xl185"/>
    <w:basedOn w:val="1"/>
    <w:qFormat/>
    <w:uiPriority w:val="0"/>
    <w:pPr>
      <w:pBdr>
        <w:top w:val="single" w:color="auto" w:sz="4" w:space="0"/>
        <w:bottom w:val="single" w:color="auto" w:sz="4" w:space="0"/>
      </w:pBdr>
      <w:spacing w:before="100" w:beforeAutospacing="1" w:after="100" w:afterAutospacing="1" w:line="240" w:lineRule="auto"/>
      <w:textAlignment w:val="center"/>
    </w:pPr>
    <w:rPr>
      <w:rFonts w:ascii="Arial" w:hAnsi="Arial" w:eastAsia="Times New Roman" w:cs="Arial"/>
      <w:b/>
      <w:bCs/>
      <w:sz w:val="16"/>
      <w:szCs w:val="16"/>
      <w:lang w:eastAsia="ru-RU"/>
    </w:rPr>
  </w:style>
  <w:style w:type="paragraph" w:customStyle="1" w:styleId="327">
    <w:name w:val="xl186"/>
    <w:basedOn w:val="1"/>
    <w:qFormat/>
    <w:uiPriority w:val="0"/>
    <w:pPr>
      <w:pBdr>
        <w:top w:val="single" w:color="auto" w:sz="4" w:space="0"/>
        <w:bottom w:val="single" w:color="auto" w:sz="4" w:space="0"/>
        <w:right w:val="single" w:color="auto" w:sz="4" w:space="0"/>
      </w:pBdr>
      <w:spacing w:before="100" w:beforeAutospacing="1" w:after="100" w:afterAutospacing="1" w:line="240" w:lineRule="auto"/>
      <w:textAlignment w:val="center"/>
    </w:pPr>
    <w:rPr>
      <w:rFonts w:ascii="Arial" w:hAnsi="Arial" w:eastAsia="Times New Roman" w:cs="Arial"/>
      <w:b/>
      <w:bCs/>
      <w:sz w:val="16"/>
      <w:szCs w:val="16"/>
      <w:lang w:eastAsia="ru-RU"/>
    </w:rPr>
  </w:style>
  <w:style w:type="paragraph" w:customStyle="1" w:styleId="328">
    <w:name w:val="xl187"/>
    <w:basedOn w:val="1"/>
    <w:qFormat/>
    <w:uiPriority w:val="0"/>
    <w:pPr>
      <w:pBdr>
        <w:top w:val="single" w:color="auto" w:sz="4" w:space="0"/>
      </w:pBdr>
      <w:spacing w:before="100" w:beforeAutospacing="1" w:after="100" w:afterAutospacing="1" w:line="240" w:lineRule="auto"/>
      <w:textAlignment w:val="top"/>
    </w:pPr>
    <w:rPr>
      <w:rFonts w:ascii="Arial" w:hAnsi="Arial" w:eastAsia="Times New Roman" w:cs="Arial"/>
      <w:b/>
      <w:bCs/>
      <w:sz w:val="16"/>
      <w:szCs w:val="16"/>
      <w:lang w:eastAsia="ru-RU"/>
    </w:rPr>
  </w:style>
  <w:style w:type="paragraph" w:customStyle="1" w:styleId="329">
    <w:name w:val="xl188"/>
    <w:basedOn w:val="1"/>
    <w:qFormat/>
    <w:uiPriority w:val="0"/>
    <w:pPr>
      <w:pBdr>
        <w:right w:val="single" w:color="auto" w:sz="4" w:space="0"/>
      </w:pBdr>
      <w:spacing w:before="100" w:beforeAutospacing="1" w:after="100" w:afterAutospacing="1" w:line="240" w:lineRule="auto"/>
      <w:textAlignment w:val="top"/>
    </w:pPr>
    <w:rPr>
      <w:rFonts w:ascii="Arial" w:hAnsi="Arial" w:eastAsia="Times New Roman" w:cs="Arial"/>
      <w:sz w:val="16"/>
      <w:szCs w:val="16"/>
      <w:lang w:eastAsia="ru-RU"/>
    </w:rPr>
  </w:style>
  <w:style w:type="paragraph" w:customStyle="1" w:styleId="330">
    <w:name w:val="xl189"/>
    <w:basedOn w:val="1"/>
    <w:qFormat/>
    <w:uiPriority w:val="0"/>
    <w:pPr>
      <w:spacing w:before="100" w:beforeAutospacing="1" w:after="100" w:afterAutospacing="1" w:line="240" w:lineRule="auto"/>
      <w:textAlignment w:val="top"/>
    </w:pPr>
    <w:rPr>
      <w:rFonts w:ascii="Arial" w:hAnsi="Arial" w:eastAsia="Times New Roman" w:cs="Arial"/>
      <w:sz w:val="16"/>
      <w:szCs w:val="16"/>
      <w:lang w:eastAsia="ru-RU"/>
    </w:rPr>
  </w:style>
  <w:style w:type="paragraph" w:customStyle="1" w:styleId="331">
    <w:name w:val="xl190"/>
    <w:basedOn w:val="1"/>
    <w:qFormat/>
    <w:uiPriority w:val="0"/>
    <w:pPr>
      <w:pBdr>
        <w:right w:val="single" w:color="auto" w:sz="4" w:space="0"/>
      </w:pBdr>
      <w:spacing w:before="100" w:beforeAutospacing="1" w:after="100" w:afterAutospacing="1" w:line="240" w:lineRule="auto"/>
      <w:textAlignment w:val="top"/>
    </w:pPr>
    <w:rPr>
      <w:rFonts w:ascii="Arial" w:hAnsi="Arial" w:eastAsia="Times New Roman" w:cs="Arial"/>
      <w:sz w:val="16"/>
      <w:szCs w:val="16"/>
      <w:lang w:eastAsia="ru-RU"/>
    </w:rPr>
  </w:style>
  <w:style w:type="paragraph" w:customStyle="1" w:styleId="332">
    <w:name w:val="xl191"/>
    <w:basedOn w:val="1"/>
    <w:qFormat/>
    <w:uiPriority w:val="0"/>
    <w:pPr>
      <w:spacing w:before="100" w:beforeAutospacing="1" w:after="100" w:afterAutospacing="1" w:line="240" w:lineRule="auto"/>
      <w:textAlignment w:val="top"/>
    </w:pPr>
    <w:rPr>
      <w:rFonts w:ascii="Arial" w:hAnsi="Arial" w:eastAsia="Times New Roman" w:cs="Arial"/>
      <w:sz w:val="16"/>
      <w:szCs w:val="16"/>
      <w:lang w:eastAsia="ru-RU"/>
    </w:rPr>
  </w:style>
  <w:style w:type="paragraph" w:customStyle="1" w:styleId="333">
    <w:name w:val="Рецензия1"/>
    <w:hidden/>
    <w:semiHidden/>
    <w:qFormat/>
    <w:uiPriority w:val="99"/>
    <w:rPr>
      <w:rFonts w:asciiTheme="minorHAnsi" w:hAnsiTheme="minorHAnsi" w:eastAsiaTheme="minorHAnsi" w:cstheme="minorBidi"/>
      <w:sz w:val="22"/>
      <w:szCs w:val="22"/>
      <w:lang w:val="ru-RU"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53</Pages>
  <Words>10403</Words>
  <Characters>71839</Characters>
  <Lines>1204</Lines>
  <Paragraphs>338</Paragraphs>
  <TotalTime>2</TotalTime>
  <ScaleCrop>false</ScaleCrop>
  <LinksUpToDate>false</LinksUpToDate>
  <CharactersWithSpaces>81831</CharactersWithSpaces>
  <Application>WPS Office_12.1.0.26886_F1E327BC-269C-435d-A152-05C5408002CA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2026-09-29T09:18:00Z</dcterms:created>
  <dc:creator>User</dc:creator>
  <cp:lastModifiedBy>otbmv</cp:lastModifiedBy>
  <dcterms:modified xsi:type="dcterms:W3CDTF">2026-09-29T13:30:23Z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eyJoZGlkIjoiYzdiYWI5YTRhZmFhYzkzZmNmOWJlYzMwZDIwOTQzM2MifQ==</vt:lpwstr>
  </property>
  <property fmtid="{D5CDD505-2E9C-101B-9397-08002B2CF9AE}" pid="3" name="KSOProductBuildVer">
    <vt:lpwstr>1033-12.1.0.26886</vt:lpwstr>
  </property>
  <property fmtid="{D5CDD505-2E9C-101B-9397-08002B2CF9AE}" pid="4" name="ICV">
    <vt:lpwstr>93E9385D11F84083B7E4887AB97105A6_12</vt:lpwstr>
  </property>
</Properties>
</file>