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0C1952">
      <w:pPr>
        <w:pStyle w:val="14"/>
        <w:jc w:val="center"/>
        <w:rPr>
          <w:b/>
          <w:lang w:val="ru-RU"/>
        </w:rPr>
      </w:pPr>
      <w:r>
        <w:rPr>
          <w:b/>
          <w:lang w:val="ru-RU"/>
        </w:rPr>
        <w:t>Разъяснения положений документации о закупке</w:t>
      </w:r>
    </w:p>
    <w:p w14:paraId="58777A64">
      <w:pPr>
        <w:spacing w:after="0" w:line="360" w:lineRule="atLeast"/>
        <w:jc w:val="center"/>
        <w:rPr>
          <w:rFonts w:ascii="Segoe UI" w:hAnsi="Segoe UI" w:cs="Segoe UI"/>
          <w:color w:val="1A1B26"/>
        </w:rPr>
      </w:pPr>
      <w:r>
        <w:rPr>
          <w:rFonts w:ascii="Times New Roman" w:hAnsi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№ 32616385416</w:t>
      </w:r>
    </w:p>
    <w:tbl>
      <w:tblPr>
        <w:tblStyle w:val="8"/>
        <w:tblW w:w="11412" w:type="dxa"/>
        <w:tblInd w:w="-64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65"/>
        <w:gridCol w:w="5547"/>
      </w:tblGrid>
      <w:tr w14:paraId="50E2FB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65" w:type="dxa"/>
          </w:tcPr>
          <w:p w14:paraId="29B37CAC">
            <w:pPr>
              <w:jc w:val="both"/>
              <w:rPr>
                <w:rFonts w:ascii="Times New Roman" w:hAnsi="Times New Roman"/>
                <w:i/>
                <w:sz w:val="18"/>
                <w:szCs w:val="18"/>
                <w:lang w:val="en-US" w:bidi="en-US"/>
              </w:rPr>
            </w:pPr>
            <w:r>
              <w:rPr>
                <w:rFonts w:ascii="Times New Roman" w:hAnsi="Times New Roman"/>
                <w:i/>
                <w:sz w:val="18"/>
                <w:szCs w:val="18"/>
                <w:lang w:val="en-US" w:bidi="en-US"/>
              </w:rPr>
              <w:t>Текст запроса</w:t>
            </w:r>
          </w:p>
        </w:tc>
        <w:tc>
          <w:tcPr>
            <w:tcW w:w="5547" w:type="dxa"/>
          </w:tcPr>
          <w:p w14:paraId="0F0DBED4">
            <w:pPr>
              <w:jc w:val="both"/>
              <w:rPr>
                <w:rFonts w:ascii="Times New Roman" w:hAnsi="Times New Roman"/>
                <w:i/>
                <w:sz w:val="18"/>
                <w:szCs w:val="18"/>
                <w:lang w:val="en-US" w:bidi="en-US"/>
              </w:rPr>
            </w:pPr>
            <w:r>
              <w:rPr>
                <w:rFonts w:ascii="Times New Roman" w:hAnsi="Times New Roman"/>
                <w:i/>
                <w:sz w:val="18"/>
                <w:szCs w:val="18"/>
                <w:lang w:val="en-US" w:bidi="en-US"/>
              </w:rPr>
              <w:t>Текст ответа</w:t>
            </w:r>
          </w:p>
        </w:tc>
      </w:tr>
      <w:tr w14:paraId="30EF24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65" w:type="dxa"/>
          </w:tcPr>
          <w:p w14:paraId="78E1A5FD">
            <w:pPr>
              <w:shd w:val="clear" w:color="auto" w:fill="FFFFFF"/>
              <w:spacing w:after="0"/>
              <w:ind w:firstLine="591"/>
              <w:rPr>
                <w:rFonts w:ascii="Times New Roman" w:hAnsi="Times New Roman"/>
                <w:bCs/>
                <w:sz w:val="20"/>
                <w:szCs w:val="20"/>
                <w:lang w:val="ru-RU" w:bidi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ru-RU" w:bidi="en-US"/>
              </w:rPr>
              <w:t>Добрый день, Уважаемый Заказчик.</w:t>
            </w:r>
          </w:p>
          <w:p w14:paraId="15E08D76">
            <w:pPr>
              <w:shd w:val="clear" w:color="auto" w:fill="FFFFFF"/>
              <w:spacing w:after="0"/>
              <w:ind w:firstLine="591"/>
              <w:rPr>
                <w:rFonts w:ascii="Times New Roman" w:hAnsi="Times New Roman"/>
                <w:bCs/>
                <w:sz w:val="20"/>
                <w:szCs w:val="20"/>
                <w:lang w:val="ru-RU" w:bidi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ru-RU" w:bidi="en-US"/>
              </w:rPr>
              <w:t xml:space="preserve"> </w:t>
            </w:r>
          </w:p>
          <w:p w14:paraId="17889B2F">
            <w:pPr>
              <w:shd w:val="clear" w:color="auto" w:fill="FFFFFF"/>
              <w:spacing w:after="0"/>
              <w:ind w:firstLine="591"/>
              <w:rPr>
                <w:rFonts w:ascii="Times New Roman" w:hAnsi="Times New Roman"/>
                <w:bCs/>
                <w:sz w:val="20"/>
                <w:szCs w:val="20"/>
                <w:lang w:val="ru-RU" w:bidi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ru-RU" w:bidi="en-US"/>
              </w:rPr>
              <w:t>Просим ответить на следующие вопросы:</w:t>
            </w:r>
          </w:p>
          <w:p w14:paraId="1F97C3E0">
            <w:pPr>
              <w:shd w:val="clear" w:color="auto" w:fill="FFFFFF"/>
              <w:spacing w:after="0"/>
              <w:ind w:firstLine="591"/>
              <w:rPr>
                <w:rFonts w:ascii="Times New Roman" w:hAnsi="Times New Roman"/>
                <w:bCs/>
                <w:sz w:val="20"/>
                <w:szCs w:val="20"/>
                <w:lang w:val="ru-RU" w:bidi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ru-RU" w:bidi="en-US"/>
              </w:rPr>
              <w:t xml:space="preserve"> </w:t>
            </w:r>
          </w:p>
          <w:p w14:paraId="0B6E45D5">
            <w:pPr>
              <w:shd w:val="clear" w:color="auto" w:fill="FFFFFF"/>
              <w:spacing w:after="0"/>
              <w:ind w:firstLine="591"/>
              <w:rPr>
                <w:rFonts w:ascii="Times New Roman" w:hAnsi="Times New Roman"/>
                <w:bCs/>
                <w:sz w:val="20"/>
                <w:szCs w:val="20"/>
                <w:lang w:val="ru-RU" w:bidi="en-US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ru-RU" w:bidi="en-US"/>
              </w:rPr>
              <w:t>1 вопрос</w:t>
            </w:r>
            <w:r>
              <w:rPr>
                <w:rFonts w:ascii="Times New Roman" w:hAnsi="Times New Roman"/>
                <w:bCs/>
                <w:sz w:val="20"/>
                <w:szCs w:val="20"/>
                <w:lang w:val="ru-RU" w:bidi="en-US"/>
              </w:rPr>
              <w:t xml:space="preserve">. В ходе анализа Технического задания в части </w:t>
            </w:r>
            <w:r>
              <w:rPr>
                <w:rFonts w:ascii="Times New Roman" w:hAnsi="Times New Roman"/>
                <w:bCs/>
                <w:sz w:val="20"/>
                <w:szCs w:val="20"/>
                <w:lang w:val="en-US" w:bidi="en-US"/>
              </w:rPr>
              <w:t>II</w:t>
            </w:r>
            <w:r>
              <w:rPr>
                <w:rFonts w:ascii="Times New Roman" w:hAnsi="Times New Roman"/>
                <w:bCs/>
                <w:sz w:val="20"/>
                <w:szCs w:val="20"/>
                <w:lang w:val="ru-RU" w:bidi="en-US"/>
              </w:rPr>
              <w:t xml:space="preserve"> документации ЭА мы обнаружили, что в требованиях к Кабелю медному типа "витая-пара" (</w:t>
            </w:r>
            <w:r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ru-RU" w:bidi="en-US"/>
              </w:rPr>
              <w:t xml:space="preserve">Кабель категории 5е, </w:t>
            </w:r>
            <w:r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en-US" w:bidi="en-US"/>
              </w:rPr>
              <w:t>U</w:t>
            </w:r>
            <w:r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ru-RU" w:bidi="en-US"/>
              </w:rPr>
              <w:t>/</w:t>
            </w:r>
            <w:r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en-US" w:bidi="en-US"/>
              </w:rPr>
              <w:t>UTP</w:t>
            </w:r>
            <w:r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ru-RU" w:bidi="en-US"/>
              </w:rPr>
              <w:t xml:space="preserve">, 4 пары, 24 </w:t>
            </w:r>
            <w:r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en-US" w:bidi="en-US"/>
              </w:rPr>
              <w:t>AWG</w:t>
            </w:r>
            <w:r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ru-RU" w:bidi="en-US"/>
              </w:rPr>
              <w:t xml:space="preserve">, </w:t>
            </w:r>
            <w:r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en-US" w:bidi="en-US"/>
              </w:rPr>
              <w:t>LSZH</w:t>
            </w:r>
            <w:r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ru-RU" w:bidi="en-US"/>
              </w:rPr>
              <w:t xml:space="preserve"> нг(</w:t>
            </w:r>
            <w:r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en-US" w:bidi="en-US"/>
              </w:rPr>
              <w:t>A</w:t>
            </w:r>
            <w:r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ru-RU" w:bidi="en-US"/>
              </w:rPr>
              <w:t>)-</w:t>
            </w:r>
            <w:r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en-US" w:bidi="en-US"/>
              </w:rPr>
              <w:t>HFLTx</w:t>
            </w:r>
            <w:r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ru-RU" w:bidi="en-US"/>
              </w:rPr>
              <w:t>, внутренней прокладки</w:t>
            </w:r>
            <w:r>
              <w:rPr>
                <w:rFonts w:ascii="Times New Roman" w:hAnsi="Times New Roman"/>
                <w:bCs/>
                <w:sz w:val="20"/>
                <w:szCs w:val="20"/>
                <w:lang w:val="ru-RU" w:bidi="en-US"/>
              </w:rPr>
              <w:t>) установлено условие о наличии индекса пожарной опасности – нг(А)-</w:t>
            </w:r>
            <w:r>
              <w:rPr>
                <w:rFonts w:ascii="Times New Roman" w:hAnsi="Times New Roman"/>
                <w:bCs/>
                <w:sz w:val="20"/>
                <w:szCs w:val="20"/>
                <w:lang w:val="en-US" w:bidi="en-US"/>
              </w:rPr>
              <w:t>HFLTx</w:t>
            </w:r>
          </w:p>
          <w:p w14:paraId="0AF736A2">
            <w:pPr>
              <w:shd w:val="clear" w:color="auto" w:fill="FFFFFF"/>
              <w:spacing w:after="0"/>
              <w:ind w:firstLine="591"/>
              <w:rPr>
                <w:rFonts w:ascii="Times New Roman" w:hAnsi="Times New Roman"/>
                <w:bCs/>
                <w:sz w:val="20"/>
                <w:szCs w:val="20"/>
                <w:lang w:val="ru-RU" w:bidi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ru-RU" w:bidi="en-US"/>
              </w:rPr>
              <w:t xml:space="preserve"> </w:t>
            </w:r>
          </w:p>
          <w:p w14:paraId="1348A7AB">
            <w:pPr>
              <w:shd w:val="clear" w:color="auto" w:fill="FFFFFF"/>
              <w:spacing w:after="0"/>
              <w:ind w:firstLine="591"/>
              <w:rPr>
                <w:rFonts w:ascii="Times New Roman" w:hAnsi="Times New Roman"/>
                <w:bCs/>
                <w:sz w:val="20"/>
                <w:szCs w:val="20"/>
                <w:lang w:val="ru-RU" w:bidi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ru-RU" w:bidi="en-US"/>
              </w:rPr>
              <w:t>К сожалению, на текущий момент времени Кабель типа "витая-пара" с оболочкой нг(</w:t>
            </w:r>
            <w:r>
              <w:rPr>
                <w:rFonts w:ascii="Times New Roman" w:hAnsi="Times New Roman"/>
                <w:bCs/>
                <w:sz w:val="20"/>
                <w:szCs w:val="20"/>
                <w:lang w:val="en-US" w:bidi="en-US"/>
              </w:rPr>
              <w:t>A</w:t>
            </w:r>
            <w:r>
              <w:rPr>
                <w:rFonts w:ascii="Times New Roman" w:hAnsi="Times New Roman"/>
                <w:bCs/>
                <w:sz w:val="20"/>
                <w:szCs w:val="20"/>
                <w:lang w:val="ru-RU" w:bidi="en-US"/>
              </w:rPr>
              <w:t>)-</w:t>
            </w:r>
            <w:r>
              <w:rPr>
                <w:rFonts w:ascii="Times New Roman" w:hAnsi="Times New Roman"/>
                <w:bCs/>
                <w:sz w:val="20"/>
                <w:szCs w:val="20"/>
                <w:lang w:val="en-US" w:bidi="en-US"/>
              </w:rPr>
              <w:t>HFLTx</w:t>
            </w:r>
            <w:r>
              <w:rPr>
                <w:rFonts w:ascii="Times New Roman" w:hAnsi="Times New Roman"/>
                <w:bCs/>
                <w:sz w:val="20"/>
                <w:szCs w:val="20"/>
                <w:lang w:val="ru-RU" w:bidi="en-US"/>
              </w:rPr>
              <w:t xml:space="preserve"> престаёт выпускаться, ведь большинство заводов отказываются от их производства.</w:t>
            </w:r>
          </w:p>
          <w:p w14:paraId="571A6EF4">
            <w:pPr>
              <w:shd w:val="clear" w:color="auto" w:fill="FFFFFF"/>
              <w:spacing w:after="0"/>
              <w:ind w:firstLine="591"/>
              <w:rPr>
                <w:rFonts w:ascii="Times New Roman" w:hAnsi="Times New Roman"/>
                <w:bCs/>
                <w:sz w:val="20"/>
                <w:szCs w:val="20"/>
                <w:lang w:val="ru-RU" w:bidi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ru-RU" w:bidi="en-US"/>
              </w:rPr>
              <w:t xml:space="preserve"> </w:t>
            </w:r>
          </w:p>
          <w:p w14:paraId="730FE20C">
            <w:pPr>
              <w:shd w:val="clear" w:color="auto" w:fill="FFFFFF"/>
              <w:spacing w:after="0"/>
              <w:ind w:firstLine="591"/>
              <w:rPr>
                <w:rFonts w:ascii="Times New Roman" w:hAnsi="Times New Roman"/>
                <w:bCs/>
                <w:sz w:val="20"/>
                <w:szCs w:val="20"/>
                <w:lang w:val="ru-RU" w:bidi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ru-RU" w:bidi="en-US"/>
              </w:rPr>
              <w:t>Основные причины невозможности поставки такого кабеля на текущей момент:</w:t>
            </w:r>
          </w:p>
          <w:p w14:paraId="1F186E3D">
            <w:pPr>
              <w:shd w:val="clear" w:color="auto" w:fill="FFFFFF"/>
              <w:spacing w:after="0"/>
              <w:ind w:firstLine="591"/>
              <w:rPr>
                <w:rFonts w:ascii="Times New Roman" w:hAnsi="Times New Roman"/>
                <w:bCs/>
                <w:sz w:val="20"/>
                <w:szCs w:val="20"/>
                <w:lang w:val="ru-RU" w:bidi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ru-RU" w:bidi="en-US"/>
              </w:rPr>
              <w:t xml:space="preserve"> </w:t>
            </w:r>
          </w:p>
          <w:p w14:paraId="524E5A7F">
            <w:pPr>
              <w:numPr>
                <w:ilvl w:val="0"/>
                <w:numId w:val="1"/>
              </w:numPr>
              <w:shd w:val="clear" w:color="auto" w:fill="FFFFFF"/>
              <w:spacing w:after="0"/>
              <w:rPr>
                <w:rFonts w:ascii="Times New Roman" w:hAnsi="Times New Roman"/>
                <w:bCs/>
                <w:sz w:val="20"/>
                <w:szCs w:val="20"/>
                <w:lang w:val="ru-RU" w:bidi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ru-RU" w:bidi="en-US"/>
              </w:rPr>
              <w:t>На сегодняшний день в России не существует полимерных материалов, способных одновременно обеспечить оба этих свойства:</w:t>
            </w:r>
          </w:p>
          <w:p w14:paraId="17A2126A">
            <w:pPr>
              <w:numPr>
                <w:ilvl w:val="0"/>
                <w:numId w:val="2"/>
              </w:numPr>
              <w:shd w:val="clear" w:color="auto" w:fill="FFFFFF"/>
              <w:spacing w:after="0"/>
              <w:rPr>
                <w:rFonts w:ascii="Times New Roman" w:hAnsi="Times New Roman"/>
                <w:bCs/>
                <w:sz w:val="20"/>
                <w:szCs w:val="20"/>
                <w:lang w:val="ru-RU" w:bidi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US" w:bidi="en-US"/>
              </w:rPr>
              <w:t>HF</w:t>
            </w:r>
            <w:r>
              <w:rPr>
                <w:rFonts w:ascii="Times New Roman" w:hAnsi="Times New Roman"/>
                <w:bCs/>
                <w:sz w:val="20"/>
                <w:szCs w:val="20"/>
                <w:lang w:val="ru-RU" w:bidi="en-US"/>
              </w:rPr>
              <w:t xml:space="preserve"> (</w:t>
            </w:r>
            <w:r>
              <w:rPr>
                <w:rFonts w:ascii="Times New Roman" w:hAnsi="Times New Roman"/>
                <w:bCs/>
                <w:sz w:val="20"/>
                <w:szCs w:val="20"/>
                <w:lang w:val="en-US" w:bidi="en-US"/>
              </w:rPr>
              <w:t>Halogen</w:t>
            </w:r>
            <w:r>
              <w:rPr>
                <w:rFonts w:ascii="Times New Roman" w:hAnsi="Times New Roman"/>
                <w:bCs/>
                <w:sz w:val="20"/>
                <w:szCs w:val="20"/>
                <w:lang w:val="ru-RU" w:bidi="en-US"/>
              </w:rPr>
              <w:t xml:space="preserve"> </w:t>
            </w:r>
            <w:r>
              <w:rPr>
                <w:rFonts w:ascii="Times New Roman" w:hAnsi="Times New Roman"/>
                <w:bCs/>
                <w:sz w:val="20"/>
                <w:szCs w:val="20"/>
                <w:lang w:val="en-US" w:bidi="en-US"/>
              </w:rPr>
              <w:t>Free</w:t>
            </w:r>
            <w:r>
              <w:rPr>
                <w:rFonts w:ascii="Times New Roman" w:hAnsi="Times New Roman"/>
                <w:bCs/>
                <w:sz w:val="20"/>
                <w:szCs w:val="20"/>
                <w:lang w:val="ru-RU" w:bidi="en-US"/>
              </w:rPr>
              <w:t>) – отсутствие галогенов (хлора, фтора, брома) в полимерных материалах;</w:t>
            </w:r>
          </w:p>
          <w:p w14:paraId="06B87B95">
            <w:pPr>
              <w:numPr>
                <w:ilvl w:val="0"/>
                <w:numId w:val="2"/>
              </w:numPr>
              <w:shd w:val="clear" w:color="auto" w:fill="FFFFFF"/>
              <w:spacing w:after="0"/>
              <w:rPr>
                <w:rFonts w:ascii="Times New Roman" w:hAnsi="Times New Roman"/>
                <w:bCs/>
                <w:sz w:val="20"/>
                <w:szCs w:val="20"/>
                <w:lang w:val="ru-RU" w:bidi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US" w:bidi="en-US"/>
              </w:rPr>
              <w:t>LTx</w:t>
            </w:r>
            <w:r>
              <w:rPr>
                <w:rFonts w:ascii="Times New Roman" w:hAnsi="Times New Roman"/>
                <w:bCs/>
                <w:sz w:val="20"/>
                <w:szCs w:val="20"/>
                <w:lang w:val="ru-RU" w:bidi="en-US"/>
              </w:rPr>
              <w:t xml:space="preserve"> (</w:t>
            </w:r>
            <w:r>
              <w:rPr>
                <w:rFonts w:ascii="Times New Roman" w:hAnsi="Times New Roman"/>
                <w:bCs/>
                <w:sz w:val="20"/>
                <w:szCs w:val="20"/>
                <w:lang w:val="en-US" w:bidi="en-US"/>
              </w:rPr>
              <w:t>Low</w:t>
            </w:r>
            <w:r>
              <w:rPr>
                <w:rFonts w:ascii="Times New Roman" w:hAnsi="Times New Roman"/>
                <w:bCs/>
                <w:sz w:val="20"/>
                <w:szCs w:val="20"/>
                <w:lang w:val="ru-RU" w:bidi="en-US"/>
              </w:rPr>
              <w:t xml:space="preserve"> </w:t>
            </w:r>
            <w:r>
              <w:rPr>
                <w:rFonts w:ascii="Times New Roman" w:hAnsi="Times New Roman"/>
                <w:bCs/>
                <w:sz w:val="20"/>
                <w:szCs w:val="20"/>
                <w:lang w:val="en-US" w:bidi="en-US"/>
              </w:rPr>
              <w:t>Toxicity</w:t>
            </w:r>
            <w:r>
              <w:rPr>
                <w:rFonts w:ascii="Times New Roman" w:hAnsi="Times New Roman"/>
                <w:bCs/>
                <w:sz w:val="20"/>
                <w:szCs w:val="20"/>
                <w:lang w:val="ru-RU" w:bidi="en-US"/>
              </w:rPr>
              <w:t>) – низка токсичность продуктов горения.</w:t>
            </w:r>
          </w:p>
          <w:p w14:paraId="79491033">
            <w:pPr>
              <w:shd w:val="clear" w:color="auto" w:fill="FFFFFF"/>
              <w:spacing w:after="0"/>
              <w:ind w:firstLine="591"/>
              <w:rPr>
                <w:rFonts w:ascii="Times New Roman" w:hAnsi="Times New Roman"/>
                <w:bCs/>
                <w:sz w:val="20"/>
                <w:szCs w:val="20"/>
                <w:lang w:val="ru-RU" w:bidi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ru-RU" w:bidi="en-US"/>
              </w:rPr>
              <w:t>Безгалогенные композиции не проходят российские испытания на токсичность по ГОСТ 12.1.044-89 (п. 4.20). Не один полимерный материал до сих пор не смог обеспечить одновременно низкую коррозионную активность (</w:t>
            </w:r>
            <w:r>
              <w:rPr>
                <w:rFonts w:ascii="Times New Roman" w:hAnsi="Times New Roman"/>
                <w:bCs/>
                <w:sz w:val="20"/>
                <w:szCs w:val="20"/>
                <w:lang w:val="en-US" w:bidi="en-US"/>
              </w:rPr>
              <w:t>HF</w:t>
            </w:r>
            <w:r>
              <w:rPr>
                <w:rFonts w:ascii="Times New Roman" w:hAnsi="Times New Roman"/>
                <w:bCs/>
                <w:sz w:val="20"/>
                <w:szCs w:val="20"/>
                <w:lang w:val="ru-RU" w:bidi="en-US"/>
              </w:rPr>
              <w:t>) и низкую токсичность (</w:t>
            </w:r>
            <w:r>
              <w:rPr>
                <w:rFonts w:ascii="Times New Roman" w:hAnsi="Times New Roman"/>
                <w:bCs/>
                <w:sz w:val="20"/>
                <w:szCs w:val="20"/>
                <w:lang w:val="en-US" w:bidi="en-US"/>
              </w:rPr>
              <w:t>LTx</w:t>
            </w:r>
            <w:r>
              <w:rPr>
                <w:rFonts w:ascii="Times New Roman" w:hAnsi="Times New Roman"/>
                <w:bCs/>
                <w:sz w:val="20"/>
                <w:szCs w:val="20"/>
                <w:lang w:val="ru-RU" w:bidi="en-US"/>
              </w:rPr>
              <w:t>).</w:t>
            </w:r>
          </w:p>
          <w:p w14:paraId="06409511">
            <w:pPr>
              <w:shd w:val="clear" w:color="auto" w:fill="FFFFFF"/>
              <w:spacing w:after="0"/>
              <w:ind w:firstLine="591"/>
              <w:rPr>
                <w:rFonts w:ascii="Times New Roman" w:hAnsi="Times New Roman"/>
                <w:bCs/>
                <w:sz w:val="20"/>
                <w:szCs w:val="20"/>
                <w:lang w:val="ru-RU" w:bidi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ru-RU" w:bidi="en-US"/>
              </w:rPr>
              <w:t xml:space="preserve"> </w:t>
            </w:r>
          </w:p>
          <w:p w14:paraId="65F3C182">
            <w:pPr>
              <w:numPr>
                <w:ilvl w:val="0"/>
                <w:numId w:val="1"/>
              </w:numPr>
              <w:shd w:val="clear" w:color="auto" w:fill="FFFFFF"/>
              <w:spacing w:after="0"/>
              <w:rPr>
                <w:rFonts w:ascii="Times New Roman" w:hAnsi="Times New Roman"/>
                <w:bCs/>
                <w:sz w:val="20"/>
                <w:szCs w:val="20"/>
                <w:lang w:val="ru-RU" w:bidi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ru-RU" w:bidi="en-US"/>
              </w:rPr>
              <w:t xml:space="preserve">На рынке отсутствуют медные кабели с индексом </w:t>
            </w:r>
            <w:r>
              <w:rPr>
                <w:rFonts w:ascii="Times New Roman" w:hAnsi="Times New Roman"/>
                <w:bCs/>
                <w:sz w:val="20"/>
                <w:szCs w:val="20"/>
                <w:lang w:val="en-US" w:bidi="en-US"/>
              </w:rPr>
              <w:t>HFLTx</w:t>
            </w:r>
            <w:r>
              <w:rPr>
                <w:rFonts w:ascii="Times New Roman" w:hAnsi="Times New Roman"/>
                <w:bCs/>
                <w:sz w:val="20"/>
                <w:szCs w:val="20"/>
                <w:lang w:val="ru-RU" w:bidi="en-US"/>
              </w:rPr>
              <w:t>, имеющие обязательный сертификат соответствия в системе Росаккредитации. Все предложения, встречающиеся в продаже, сопровождаются, как правило, добровольными сертификатами, что является нарушением Федерального закона 3123-ФЗ, поскольку кабели с требованиями пожарной безопасности подлежат обязательно сертификации.</w:t>
            </w:r>
          </w:p>
          <w:p w14:paraId="3F2FB065">
            <w:pPr>
              <w:shd w:val="clear" w:color="auto" w:fill="FFFFFF"/>
              <w:spacing w:after="0"/>
              <w:ind w:firstLine="591"/>
              <w:rPr>
                <w:rFonts w:ascii="Times New Roman" w:hAnsi="Times New Roman"/>
                <w:bCs/>
                <w:sz w:val="20"/>
                <w:szCs w:val="20"/>
                <w:lang w:val="ru-RU" w:bidi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ru-RU" w:bidi="en-US"/>
              </w:rPr>
              <w:t>Более того, производители уже официально выводят продукции с этим индексом из ассортимента.</w:t>
            </w:r>
          </w:p>
          <w:p w14:paraId="0378BD1E">
            <w:pPr>
              <w:shd w:val="clear" w:color="auto" w:fill="FFFFFF"/>
              <w:spacing w:after="0"/>
              <w:ind w:firstLine="591"/>
              <w:rPr>
                <w:rFonts w:ascii="Times New Roman" w:hAnsi="Times New Roman"/>
                <w:bCs/>
                <w:sz w:val="20"/>
                <w:szCs w:val="20"/>
                <w:lang w:val="ru-RU" w:bidi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ru-RU" w:bidi="en-US"/>
              </w:rPr>
              <w:t xml:space="preserve"> </w:t>
            </w:r>
          </w:p>
          <w:p w14:paraId="1FD307B1">
            <w:pPr>
              <w:numPr>
                <w:ilvl w:val="0"/>
                <w:numId w:val="1"/>
              </w:numPr>
              <w:shd w:val="clear" w:color="auto" w:fill="FFFFFF"/>
              <w:spacing w:after="0"/>
              <w:rPr>
                <w:rFonts w:ascii="Times New Roman" w:hAnsi="Times New Roman"/>
                <w:bCs/>
                <w:sz w:val="20"/>
                <w:szCs w:val="20"/>
                <w:lang w:val="ru-RU" w:bidi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ru-RU" w:bidi="en-US"/>
              </w:rPr>
              <w:t xml:space="preserve">В новых требованиях Пожарной безопасности, вступающих в силу с 29 июня 2026 года, индексы с </w:t>
            </w:r>
            <w:r>
              <w:rPr>
                <w:rFonts w:ascii="Times New Roman" w:hAnsi="Times New Roman"/>
                <w:bCs/>
                <w:sz w:val="20"/>
                <w:szCs w:val="20"/>
                <w:lang w:val="en-US" w:bidi="en-US"/>
              </w:rPr>
              <w:t>HFLTx</w:t>
            </w:r>
            <w:r>
              <w:rPr>
                <w:rFonts w:ascii="Times New Roman" w:hAnsi="Times New Roman"/>
                <w:bCs/>
                <w:sz w:val="20"/>
                <w:szCs w:val="20"/>
                <w:lang w:val="ru-RU" w:bidi="en-US"/>
              </w:rPr>
              <w:t xml:space="preserve"> и </w:t>
            </w:r>
            <w:r>
              <w:rPr>
                <w:rFonts w:ascii="Times New Roman" w:hAnsi="Times New Roman"/>
                <w:bCs/>
                <w:sz w:val="20"/>
                <w:szCs w:val="20"/>
                <w:lang w:val="en-US" w:bidi="en-US"/>
              </w:rPr>
              <w:t>FRHFLTx</w:t>
            </w:r>
            <w:r>
              <w:rPr>
                <w:rFonts w:ascii="Times New Roman" w:hAnsi="Times New Roman"/>
                <w:bCs/>
                <w:sz w:val="20"/>
                <w:szCs w:val="20"/>
                <w:lang w:val="ru-RU" w:bidi="en-US"/>
              </w:rPr>
              <w:t xml:space="preserve"> прямо исключены из перечня, поскольку они не производятся в России.</w:t>
            </w:r>
          </w:p>
          <w:p w14:paraId="3C4485E4">
            <w:pPr>
              <w:shd w:val="clear" w:color="auto" w:fill="FFFFFF"/>
              <w:spacing w:after="0"/>
              <w:ind w:firstLine="591"/>
              <w:rPr>
                <w:rFonts w:ascii="Times New Roman" w:hAnsi="Times New Roman"/>
                <w:bCs/>
                <w:sz w:val="20"/>
                <w:szCs w:val="20"/>
                <w:lang w:val="ru-RU" w:bidi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ru-RU" w:bidi="en-US"/>
              </w:rPr>
              <w:t xml:space="preserve">Поскольку </w:t>
            </w:r>
            <w:r>
              <w:rPr>
                <w:rFonts w:ascii="Times New Roman" w:hAnsi="Times New Roman"/>
                <w:bCs/>
                <w:sz w:val="20"/>
                <w:szCs w:val="20"/>
                <w:lang w:val="en-US" w:bidi="en-US"/>
              </w:rPr>
              <w:t>HFLTx</w:t>
            </w:r>
            <w:r>
              <w:rPr>
                <w:rFonts w:ascii="Times New Roman" w:hAnsi="Times New Roman"/>
                <w:bCs/>
                <w:sz w:val="20"/>
                <w:szCs w:val="20"/>
                <w:lang w:val="ru-RU" w:bidi="en-US"/>
              </w:rPr>
              <w:t xml:space="preserve"> не существует на рынке РФ именно как сертифицированный продукт, в составе заявки мы не можем указать ни конкретного производителя, ни торговую марку, ни артикул/маркировку кабеля.</w:t>
            </w:r>
          </w:p>
          <w:p w14:paraId="2D9B1329">
            <w:pPr>
              <w:shd w:val="clear" w:color="auto" w:fill="FFFFFF"/>
              <w:spacing w:after="0"/>
              <w:ind w:firstLine="591"/>
              <w:rPr>
                <w:rFonts w:ascii="Times New Roman" w:hAnsi="Times New Roman"/>
                <w:bCs/>
                <w:sz w:val="20"/>
                <w:szCs w:val="20"/>
                <w:lang w:val="ru-RU" w:bidi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ru-RU" w:bidi="en-US"/>
              </w:rPr>
              <w:t xml:space="preserve"> </w:t>
            </w:r>
          </w:p>
          <w:p w14:paraId="1DF33B95">
            <w:pPr>
              <w:shd w:val="clear" w:color="auto" w:fill="FFFFFF"/>
              <w:spacing w:after="0"/>
              <w:ind w:firstLine="591"/>
              <w:rPr>
                <w:rFonts w:ascii="Times New Roman" w:hAnsi="Times New Roman"/>
                <w:bCs/>
                <w:sz w:val="20"/>
                <w:szCs w:val="20"/>
                <w:lang w:val="ru-RU" w:bidi="en-US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ru-RU" w:bidi="en-US"/>
              </w:rPr>
              <w:t xml:space="preserve">Просим </w:t>
            </w:r>
            <w:r>
              <w:rPr>
                <w:rFonts w:ascii="Times New Roman" w:hAnsi="Times New Roman"/>
                <w:bCs/>
                <w:sz w:val="20"/>
                <w:szCs w:val="20"/>
                <w:lang w:val="ru-RU" w:bidi="en-US"/>
              </w:rPr>
              <w:t>Вас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ru-RU" w:bidi="en-US"/>
              </w:rPr>
              <w:t xml:space="preserve"> </w:t>
            </w:r>
            <w:r>
              <w:rPr>
                <w:rFonts w:ascii="Times New Roman" w:hAnsi="Times New Roman"/>
                <w:bCs/>
                <w:sz w:val="20"/>
                <w:szCs w:val="20"/>
                <w:lang w:val="ru-RU" w:bidi="en-US"/>
              </w:rPr>
              <w:t>рассмотреть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ru-RU" w:bidi="en-US"/>
              </w:rPr>
              <w:t xml:space="preserve"> </w:t>
            </w:r>
            <w:r>
              <w:rPr>
                <w:rFonts w:ascii="Times New Roman" w:hAnsi="Times New Roman"/>
                <w:bCs/>
                <w:sz w:val="20"/>
                <w:szCs w:val="20"/>
                <w:lang w:val="ru-RU" w:bidi="en-US"/>
              </w:rPr>
              <w:t>возможность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ru-RU" w:bidi="en-US"/>
              </w:rPr>
              <w:t xml:space="preserve"> внесения изменений в Техническое задание</w:t>
            </w:r>
            <w:r>
              <w:rPr>
                <w:rFonts w:ascii="Times New Roman" w:hAnsi="Times New Roman"/>
                <w:bCs/>
                <w:sz w:val="20"/>
                <w:szCs w:val="20"/>
                <w:lang w:val="ru-RU" w:bidi="en-US"/>
              </w:rPr>
              <w:t xml:space="preserve">, в части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ru-RU" w:bidi="en-US"/>
              </w:rPr>
              <w:t xml:space="preserve">замены индекса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bidi="en-US"/>
              </w:rPr>
              <w:t>HFLTx</w:t>
            </w:r>
            <w:r>
              <w:rPr>
                <w:rFonts w:ascii="Times New Roman" w:hAnsi="Times New Roman"/>
                <w:bCs/>
                <w:sz w:val="20"/>
                <w:szCs w:val="20"/>
                <w:lang w:val="ru-RU" w:bidi="en-US"/>
              </w:rPr>
              <w:t xml:space="preserve"> на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 w:bidi="en-US"/>
              </w:rPr>
              <w:t>LSLTx</w:t>
            </w:r>
            <w:r>
              <w:rPr>
                <w:rFonts w:ascii="Times New Roman" w:hAnsi="Times New Roman"/>
                <w:bCs/>
                <w:sz w:val="20"/>
                <w:szCs w:val="20"/>
                <w:lang w:val="ru-RU" w:bidi="en-US"/>
              </w:rPr>
              <w:t xml:space="preserve">, т.к. применение индекса </w:t>
            </w:r>
            <w:r>
              <w:rPr>
                <w:rFonts w:ascii="Times New Roman" w:hAnsi="Times New Roman"/>
                <w:bCs/>
                <w:sz w:val="20"/>
                <w:szCs w:val="20"/>
                <w:lang w:val="en-US" w:bidi="en-US"/>
              </w:rPr>
              <w:t>HFLTx</w:t>
            </w:r>
            <w:r>
              <w:rPr>
                <w:rFonts w:ascii="Times New Roman" w:hAnsi="Times New Roman"/>
                <w:bCs/>
                <w:sz w:val="20"/>
                <w:szCs w:val="20"/>
                <w:lang w:val="ru-RU" w:bidi="en-US"/>
              </w:rPr>
              <w:t xml:space="preserve"> делает невозможным поставку качественного товара, сдачу всей системы СКС, которая соответствовала бы актуальным НПА (ГОСТ 31565-2012, ГОСТ Р 53316-2021, СП 6.13130.2025).</w:t>
            </w:r>
          </w:p>
          <w:p w14:paraId="5DC32DC3">
            <w:pPr>
              <w:shd w:val="clear" w:color="auto" w:fill="FFFFFF"/>
              <w:spacing w:after="0"/>
              <w:ind w:firstLine="591"/>
              <w:rPr>
                <w:rFonts w:ascii="Times New Roman" w:hAnsi="Times New Roman"/>
                <w:bCs/>
                <w:sz w:val="20"/>
                <w:szCs w:val="20"/>
                <w:lang w:val="ru-RU" w:bidi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ru-RU" w:bidi="en-US"/>
              </w:rPr>
              <w:t xml:space="preserve"> </w:t>
            </w:r>
          </w:p>
          <w:p w14:paraId="2092DA12">
            <w:pPr>
              <w:shd w:val="clear" w:color="auto" w:fill="FFFFFF"/>
              <w:spacing w:after="0"/>
              <w:ind w:firstLine="591"/>
              <w:rPr>
                <w:rFonts w:ascii="Times New Roman" w:hAnsi="Times New Roman"/>
                <w:bCs/>
                <w:sz w:val="20"/>
                <w:szCs w:val="20"/>
                <w:lang w:val="ru-RU" w:bidi="en-US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ru-RU" w:bidi="en-US"/>
              </w:rPr>
              <w:t>2 вопрос</w:t>
            </w:r>
            <w:r>
              <w:rPr>
                <w:rFonts w:ascii="Times New Roman" w:hAnsi="Times New Roman"/>
                <w:bCs/>
                <w:sz w:val="20"/>
                <w:szCs w:val="20"/>
                <w:lang w:val="ru-RU" w:bidi="en-US"/>
              </w:rPr>
              <w:t>. В рамках подготовки к участию в закупке на выполнение работ по модернизации фрагмента локальной вычислительной сети (СКС в корпусах: 1, 2, 3, 4, 5, 6, 7, 8, 9, 10 и 14) просим разъяснить ряд вопросов, связанных с адресами выполнения работ.</w:t>
            </w:r>
          </w:p>
          <w:p w14:paraId="1B83CA93">
            <w:pPr>
              <w:shd w:val="clear" w:color="auto" w:fill="FFFFFF"/>
              <w:spacing w:after="0"/>
              <w:ind w:firstLine="591"/>
              <w:rPr>
                <w:rFonts w:ascii="Times New Roman" w:hAnsi="Times New Roman"/>
                <w:bCs/>
                <w:sz w:val="20"/>
                <w:szCs w:val="20"/>
                <w:lang w:val="ru-RU" w:bidi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ru-RU" w:bidi="en-US"/>
              </w:rPr>
              <w:t xml:space="preserve"> </w:t>
            </w:r>
          </w:p>
          <w:p w14:paraId="435ABFA9">
            <w:pPr>
              <w:shd w:val="clear" w:color="auto" w:fill="FFFFFF"/>
              <w:spacing w:after="0"/>
              <w:ind w:firstLine="591"/>
              <w:rPr>
                <w:rFonts w:ascii="Times New Roman" w:hAnsi="Times New Roman"/>
                <w:bCs/>
                <w:sz w:val="20"/>
                <w:szCs w:val="20"/>
                <w:lang w:val="ru-RU" w:bidi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ru-RU" w:bidi="en-US"/>
              </w:rPr>
              <w:t>Согласно извещению, работы выполняются по двум адресам:</w:t>
            </w:r>
          </w:p>
          <w:p w14:paraId="1411BA0A">
            <w:pPr>
              <w:numPr>
                <w:ilvl w:val="0"/>
                <w:numId w:val="3"/>
              </w:numPr>
              <w:shd w:val="clear" w:color="auto" w:fill="FFFFFF"/>
              <w:spacing w:after="0"/>
              <w:rPr>
                <w:rFonts w:ascii="Times New Roman" w:hAnsi="Times New Roman"/>
                <w:bCs/>
                <w:sz w:val="20"/>
                <w:szCs w:val="20"/>
                <w:lang w:val="en-US" w:bidi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ru-RU" w:bidi="en-US"/>
              </w:rPr>
              <w:t xml:space="preserve">г. Санкт-Петербург, Московский пр., д. 9, лит. </w:t>
            </w:r>
            <w:r>
              <w:rPr>
                <w:rFonts w:ascii="Times New Roman" w:hAnsi="Times New Roman"/>
                <w:bCs/>
                <w:sz w:val="20"/>
                <w:szCs w:val="20"/>
                <w:lang w:val="en-US" w:bidi="en-US"/>
              </w:rPr>
              <w:t>А;</w:t>
            </w:r>
          </w:p>
          <w:p w14:paraId="68428C5E">
            <w:pPr>
              <w:numPr>
                <w:ilvl w:val="0"/>
                <w:numId w:val="3"/>
              </w:numPr>
              <w:shd w:val="clear" w:color="auto" w:fill="FFFFFF"/>
              <w:spacing w:after="0"/>
              <w:rPr>
                <w:rFonts w:ascii="Times New Roman" w:hAnsi="Times New Roman"/>
                <w:bCs/>
                <w:sz w:val="20"/>
                <w:szCs w:val="20"/>
                <w:lang w:val="en-US" w:bidi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ru-RU" w:bidi="en-US"/>
              </w:rPr>
              <w:t xml:space="preserve">г. Санкт-Петербург, Набережная реки Фонтанки, д. 113, лит. </w:t>
            </w:r>
            <w:r>
              <w:rPr>
                <w:rFonts w:ascii="Times New Roman" w:hAnsi="Times New Roman"/>
                <w:bCs/>
                <w:sz w:val="20"/>
                <w:szCs w:val="20"/>
                <w:lang w:val="en-US" w:bidi="en-US"/>
              </w:rPr>
              <w:t>А.</w:t>
            </w:r>
          </w:p>
          <w:p w14:paraId="3BB0302B">
            <w:pPr>
              <w:shd w:val="clear" w:color="auto" w:fill="FFFFFF"/>
              <w:spacing w:after="0"/>
              <w:ind w:firstLine="591"/>
              <w:rPr>
                <w:rFonts w:ascii="Times New Roman" w:hAnsi="Times New Roman"/>
                <w:bCs/>
                <w:sz w:val="20"/>
                <w:szCs w:val="20"/>
                <w:lang w:val="en-US" w:bidi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US" w:bidi="en-US"/>
              </w:rPr>
              <w:t xml:space="preserve"> </w:t>
            </w:r>
          </w:p>
          <w:p w14:paraId="10B3C339">
            <w:pPr>
              <w:shd w:val="clear" w:color="auto" w:fill="FFFFFF"/>
              <w:spacing w:after="0"/>
              <w:ind w:firstLine="591"/>
              <w:rPr>
                <w:rFonts w:ascii="Times New Roman" w:hAnsi="Times New Roman"/>
                <w:bCs/>
                <w:sz w:val="20"/>
                <w:szCs w:val="20"/>
                <w:lang w:val="ru-RU" w:bidi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ru-RU" w:bidi="en-US"/>
              </w:rPr>
              <w:t>По данным открытых источников, здание по адресу «Московский пр., д. 9» имеет признаки объекта культурного наследия. В частности, в реестре указан объект «Институт инженеров путей сообщения» по адресу: «г. Санкт-Петербург, Московский проспект, дом 9, литера А». Также по адресу «Московский пр., д. 9, литер В» в Едином государственном реестре объектов культурного наследия (ЕГРОКН) значится объект федерального значения «Дворец Юсуповых» (ансамбль) и «Дворец с флигелями» .</w:t>
            </w:r>
          </w:p>
          <w:p w14:paraId="75B980DB">
            <w:pPr>
              <w:shd w:val="clear" w:color="auto" w:fill="FFFFFF"/>
              <w:spacing w:after="0"/>
              <w:ind w:firstLine="591"/>
              <w:rPr>
                <w:rFonts w:ascii="Times New Roman" w:hAnsi="Times New Roman"/>
                <w:bCs/>
                <w:sz w:val="20"/>
                <w:szCs w:val="20"/>
                <w:lang w:val="ru-RU" w:bidi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ru-RU" w:bidi="en-US"/>
              </w:rPr>
              <w:t xml:space="preserve"> </w:t>
            </w:r>
          </w:p>
          <w:p w14:paraId="3E8E978B">
            <w:pPr>
              <w:shd w:val="clear" w:color="auto" w:fill="FFFFFF"/>
              <w:spacing w:after="0"/>
              <w:ind w:firstLine="591"/>
              <w:rPr>
                <w:rFonts w:ascii="Times New Roman" w:hAnsi="Times New Roman"/>
                <w:bCs/>
                <w:sz w:val="20"/>
                <w:szCs w:val="20"/>
                <w:lang w:val="ru-RU" w:bidi="en-US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ru-RU" w:bidi="en-US"/>
              </w:rPr>
              <w:t>Просим</w:t>
            </w:r>
            <w:r>
              <w:rPr>
                <w:rFonts w:ascii="Times New Roman" w:hAnsi="Times New Roman"/>
                <w:bCs/>
                <w:sz w:val="20"/>
                <w:szCs w:val="20"/>
                <w:lang w:val="ru-RU" w:bidi="en-US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ru-RU" w:bidi="en-US"/>
              </w:rPr>
              <w:t>подтвердить</w:t>
            </w:r>
            <w:r>
              <w:rPr>
                <w:rFonts w:ascii="Times New Roman" w:hAnsi="Times New Roman"/>
                <w:bCs/>
                <w:sz w:val="20"/>
                <w:szCs w:val="20"/>
                <w:lang w:val="ru-RU" w:bidi="en-US"/>
              </w:rPr>
              <w:t xml:space="preserve"> или опровергнуть,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ru-RU" w:bidi="en-US"/>
              </w:rPr>
              <w:t>относятся ли здания по адресам</w:t>
            </w:r>
            <w:r>
              <w:rPr>
                <w:rFonts w:ascii="Times New Roman" w:hAnsi="Times New Roman"/>
                <w:bCs/>
                <w:sz w:val="20"/>
                <w:szCs w:val="20"/>
                <w:lang w:val="ru-RU" w:bidi="en-US"/>
              </w:rPr>
              <w:t xml:space="preserve"> выполнения работ (корпуса: 1, 2, 3, 4, 5, 6, 7, 8, 9, 10 и 14)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ru-RU" w:bidi="en-US"/>
              </w:rPr>
              <w:t>к объектам культурного наследия</w:t>
            </w:r>
            <w:r>
              <w:rPr>
                <w:rFonts w:ascii="Times New Roman" w:hAnsi="Times New Roman"/>
                <w:bCs/>
                <w:sz w:val="20"/>
                <w:szCs w:val="20"/>
                <w:lang w:val="ru-RU" w:bidi="en-US"/>
              </w:rPr>
              <w:t xml:space="preserve"> (ОКН), включая выявленные объекты культурного наследия, в соответствии с Федеральным законом от 25.06.2002 № 73-ФЗ.</w:t>
            </w:r>
          </w:p>
          <w:p w14:paraId="5BEFBC41">
            <w:pPr>
              <w:shd w:val="clear" w:color="auto" w:fill="FFFFFF"/>
              <w:spacing w:after="0"/>
              <w:ind w:firstLine="591"/>
              <w:rPr>
                <w:rFonts w:ascii="Times New Roman" w:hAnsi="Times New Roman"/>
                <w:bCs/>
                <w:sz w:val="20"/>
                <w:szCs w:val="20"/>
                <w:lang w:val="ru-RU" w:bidi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ru-RU" w:bidi="en-US"/>
              </w:rPr>
              <w:t xml:space="preserve"> </w:t>
            </w:r>
          </w:p>
          <w:p w14:paraId="53664B3F">
            <w:pPr>
              <w:shd w:val="clear" w:color="auto" w:fill="FFFFFF"/>
              <w:spacing w:after="0"/>
              <w:ind w:firstLine="591"/>
              <w:rPr>
                <w:rFonts w:ascii="Times New Roman" w:hAnsi="Times New Roman"/>
                <w:bCs/>
                <w:sz w:val="20"/>
                <w:szCs w:val="20"/>
                <w:lang w:val="ru-RU" w:bidi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ru-RU" w:bidi="en-US"/>
              </w:rPr>
              <w:t xml:space="preserve">В случае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ru-RU" w:bidi="en-US"/>
              </w:rPr>
              <w:t xml:space="preserve">если указанные здания являются </w:t>
            </w:r>
            <w:r>
              <w:rPr>
                <w:rFonts w:ascii="Times New Roman" w:hAnsi="Times New Roman"/>
                <w:bCs/>
                <w:sz w:val="20"/>
                <w:szCs w:val="20"/>
                <w:lang w:val="ru-RU" w:bidi="en-US"/>
              </w:rPr>
              <w:t xml:space="preserve">объектами культурного наследия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ru-RU" w:bidi="en-US"/>
              </w:rPr>
              <w:t>(ОКН)</w:t>
            </w:r>
            <w:r>
              <w:rPr>
                <w:rFonts w:ascii="Times New Roman" w:hAnsi="Times New Roman"/>
                <w:bCs/>
                <w:sz w:val="20"/>
                <w:szCs w:val="20"/>
                <w:lang w:val="ru-RU" w:bidi="en-US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ru-RU" w:bidi="en-US"/>
              </w:rPr>
              <w:t>просим</w:t>
            </w:r>
            <w:r>
              <w:rPr>
                <w:rFonts w:ascii="Times New Roman" w:hAnsi="Times New Roman"/>
                <w:bCs/>
                <w:sz w:val="20"/>
                <w:szCs w:val="20"/>
                <w:lang w:val="ru-RU" w:bidi="en-US"/>
              </w:rPr>
              <w:t xml:space="preserve"> дополнительно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ru-RU" w:bidi="en-US"/>
              </w:rPr>
              <w:t>разъяснить</w:t>
            </w:r>
            <w:r>
              <w:rPr>
                <w:rFonts w:ascii="Times New Roman" w:hAnsi="Times New Roman"/>
                <w:bCs/>
                <w:sz w:val="20"/>
                <w:szCs w:val="20"/>
                <w:lang w:val="ru-RU" w:bidi="en-US"/>
              </w:rPr>
              <w:t>:</w:t>
            </w:r>
          </w:p>
          <w:p w14:paraId="4DE8EA9C">
            <w:pPr>
              <w:shd w:val="clear" w:color="auto" w:fill="FFFFFF"/>
              <w:spacing w:after="0"/>
              <w:ind w:firstLine="591"/>
              <w:rPr>
                <w:rFonts w:ascii="Times New Roman" w:hAnsi="Times New Roman"/>
                <w:bCs/>
                <w:sz w:val="20"/>
                <w:szCs w:val="20"/>
                <w:lang w:val="ru-RU" w:bidi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ru-RU" w:bidi="en-US"/>
              </w:rPr>
              <w:t xml:space="preserve"> </w:t>
            </w:r>
          </w:p>
          <w:p w14:paraId="1B57665D">
            <w:pPr>
              <w:shd w:val="clear" w:color="auto" w:fill="FFFFFF"/>
              <w:spacing w:after="0"/>
              <w:ind w:firstLine="591"/>
              <w:rPr>
                <w:rFonts w:ascii="Times New Roman" w:hAnsi="Times New Roman"/>
                <w:bCs/>
                <w:sz w:val="20"/>
                <w:szCs w:val="20"/>
                <w:lang w:val="ru-RU" w:bidi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ru-RU" w:bidi="en-US"/>
              </w:rPr>
              <w:t>2.1.</w:t>
            </w:r>
            <w:r>
              <w:rPr>
                <w:rFonts w:ascii="Times New Roman" w:hAnsi="Times New Roman"/>
                <w:bCs/>
                <w:sz w:val="20"/>
                <w:szCs w:val="20"/>
                <w:lang w:val="ru-RU" w:bidi="en-US"/>
              </w:rPr>
              <w:tab/>
            </w:r>
            <w:r>
              <w:rPr>
                <w:rFonts w:ascii="Times New Roman" w:hAnsi="Times New Roman"/>
                <w:bCs/>
                <w:sz w:val="20"/>
                <w:szCs w:val="20"/>
                <w:lang w:val="ru-RU" w:bidi="en-US"/>
              </w:rPr>
              <w:t>Относятся ли планируемые работы к деятельности по сохранению объекта культурного наследия (ремонт, приспособление для современного использования), или работы не затрагивают предмет охраны и выполняются в рамках текущей эксплуатации?</w:t>
            </w:r>
          </w:p>
          <w:p w14:paraId="1F27020A">
            <w:pPr>
              <w:shd w:val="clear" w:color="auto" w:fill="FFFFFF"/>
              <w:spacing w:after="0"/>
              <w:ind w:firstLine="591"/>
              <w:rPr>
                <w:rFonts w:ascii="Times New Roman" w:hAnsi="Times New Roman"/>
                <w:bCs/>
                <w:sz w:val="20"/>
                <w:szCs w:val="20"/>
                <w:lang w:val="ru-RU" w:bidi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ru-RU" w:bidi="en-US"/>
              </w:rPr>
              <w:t>2.2.</w:t>
            </w:r>
            <w:r>
              <w:rPr>
                <w:rFonts w:ascii="Times New Roman" w:hAnsi="Times New Roman"/>
                <w:bCs/>
                <w:sz w:val="20"/>
                <w:szCs w:val="20"/>
                <w:lang w:val="ru-RU" w:bidi="en-US"/>
              </w:rPr>
              <w:tab/>
            </w:r>
            <w:r>
              <w:rPr>
                <w:rFonts w:ascii="Times New Roman" w:hAnsi="Times New Roman"/>
                <w:bCs/>
                <w:sz w:val="20"/>
                <w:szCs w:val="20"/>
                <w:lang w:val="ru-RU" w:bidi="en-US"/>
              </w:rPr>
              <w:t>Требуется ли участникам закупки наличие лицензии на осуществление деятельности по сохранению объектов культурного наследия (в соответствии с Постановлением Правительства РФ от 19.04.2012 № 349), и если да — по каким именно видам работ?</w:t>
            </w:r>
          </w:p>
          <w:p w14:paraId="1795629E">
            <w:pPr>
              <w:shd w:val="clear" w:color="auto" w:fill="FFFFFF"/>
              <w:spacing w:after="0"/>
              <w:ind w:firstLine="591"/>
              <w:rPr>
                <w:rFonts w:ascii="Times New Roman" w:hAnsi="Times New Roman"/>
                <w:bCs/>
                <w:sz w:val="20"/>
                <w:szCs w:val="20"/>
                <w:lang w:val="ru-RU" w:bidi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ru-RU" w:bidi="en-US"/>
              </w:rPr>
              <w:t>2.3.</w:t>
            </w:r>
            <w:r>
              <w:rPr>
                <w:rFonts w:ascii="Times New Roman" w:hAnsi="Times New Roman"/>
                <w:bCs/>
                <w:sz w:val="20"/>
                <w:szCs w:val="20"/>
                <w:lang w:val="ru-RU" w:bidi="en-US"/>
              </w:rPr>
              <w:tab/>
            </w:r>
            <w:r>
              <w:rPr>
                <w:rFonts w:ascii="Times New Roman" w:hAnsi="Times New Roman"/>
                <w:bCs/>
                <w:sz w:val="20"/>
                <w:szCs w:val="20"/>
                <w:lang w:val="ru-RU" w:bidi="en-US"/>
              </w:rPr>
              <w:t>Кто оформляет разрешительную документацию: разрешение на проведение работ по сохранению ОКН (выдаваемое КГИОП Санкт-Петербурга), задание на проведение работ, научно-реставрационный отчёт по итогам работ?</w:t>
            </w:r>
          </w:p>
          <w:p w14:paraId="6ED09265">
            <w:pPr>
              <w:shd w:val="clear" w:color="auto" w:fill="FFFFFF"/>
              <w:spacing w:after="0"/>
              <w:ind w:firstLine="591"/>
              <w:rPr>
                <w:rFonts w:ascii="Times New Roman" w:hAnsi="Times New Roman"/>
                <w:bCs/>
                <w:sz w:val="20"/>
                <w:szCs w:val="20"/>
                <w:lang w:val="ru-RU" w:bidi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ru-RU" w:bidi="en-US"/>
              </w:rPr>
              <w:t>2.4.</w:t>
            </w:r>
            <w:r>
              <w:rPr>
                <w:rFonts w:ascii="Times New Roman" w:hAnsi="Times New Roman"/>
                <w:bCs/>
                <w:sz w:val="20"/>
                <w:szCs w:val="20"/>
                <w:lang w:val="ru-RU" w:bidi="en-US"/>
              </w:rPr>
              <w:tab/>
            </w:r>
            <w:r>
              <w:rPr>
                <w:rFonts w:ascii="Times New Roman" w:hAnsi="Times New Roman"/>
                <w:bCs/>
                <w:sz w:val="20"/>
                <w:szCs w:val="20"/>
                <w:lang w:val="ru-RU" w:bidi="en-US"/>
              </w:rPr>
              <w:t>Предусмотрены ли в проекте договора и сметной документации:</w:t>
            </w:r>
          </w:p>
          <w:p w14:paraId="7449E956">
            <w:pPr>
              <w:numPr>
                <w:ilvl w:val="0"/>
                <w:numId w:val="4"/>
              </w:numPr>
              <w:shd w:val="clear" w:color="auto" w:fill="FFFFFF"/>
              <w:spacing w:after="0"/>
              <w:rPr>
                <w:rFonts w:ascii="Times New Roman" w:hAnsi="Times New Roman"/>
                <w:bCs/>
                <w:sz w:val="20"/>
                <w:szCs w:val="20"/>
                <w:lang w:val="en-US" w:bidi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ru-RU" w:bidi="en-US"/>
              </w:rPr>
              <w:t xml:space="preserve">освобождение от НДС в соответствии с подпунктом 15 пункта 2 статьи 149 НК РФ (для работ по сохранению </w:t>
            </w:r>
            <w:r>
              <w:rPr>
                <w:rFonts w:ascii="Times New Roman" w:hAnsi="Times New Roman"/>
                <w:bCs/>
                <w:sz w:val="20"/>
                <w:szCs w:val="20"/>
                <w:lang w:val="en-US" w:bidi="en-US"/>
              </w:rPr>
              <w:t>ОКН);</w:t>
            </w:r>
          </w:p>
          <w:p w14:paraId="1644F92A">
            <w:pPr>
              <w:numPr>
                <w:ilvl w:val="0"/>
                <w:numId w:val="4"/>
              </w:numPr>
              <w:shd w:val="clear" w:color="auto" w:fill="FFFFFF"/>
              <w:spacing w:after="0"/>
              <w:rPr>
                <w:rFonts w:ascii="Times New Roman" w:hAnsi="Times New Roman"/>
                <w:bCs/>
                <w:sz w:val="20"/>
                <w:szCs w:val="20"/>
                <w:lang w:val="ru-RU" w:bidi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ru-RU" w:bidi="en-US"/>
              </w:rPr>
              <w:t>компенсация «входного» НДС по материалам и оборудованию для подрядчиков, применяющих УСН?</w:t>
            </w:r>
          </w:p>
          <w:p w14:paraId="1A262553">
            <w:pPr>
              <w:shd w:val="clear" w:color="auto" w:fill="FFFFFF"/>
              <w:spacing w:after="0"/>
              <w:ind w:firstLine="591"/>
              <w:rPr>
                <w:rFonts w:ascii="Times New Roman" w:hAnsi="Times New Roman"/>
                <w:bCs/>
                <w:sz w:val="20"/>
                <w:szCs w:val="20"/>
                <w:lang w:val="ru-RU" w:bidi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ru-RU" w:bidi="en-US"/>
              </w:rPr>
              <w:t>2.5.</w:t>
            </w:r>
            <w:r>
              <w:rPr>
                <w:rFonts w:ascii="Times New Roman" w:hAnsi="Times New Roman"/>
                <w:bCs/>
                <w:sz w:val="20"/>
                <w:szCs w:val="20"/>
                <w:lang w:val="ru-RU" w:bidi="en-US"/>
              </w:rPr>
              <w:tab/>
            </w:r>
            <w:r>
              <w:rPr>
                <w:rFonts w:ascii="Times New Roman" w:hAnsi="Times New Roman"/>
                <w:bCs/>
                <w:sz w:val="20"/>
                <w:szCs w:val="20"/>
                <w:lang w:val="ru-RU" w:bidi="en-US"/>
              </w:rPr>
              <w:t>Кто осуществляет авторский надзор за проведением работ (если применимо), и за чей счёт?</w:t>
            </w:r>
          </w:p>
          <w:p w14:paraId="4ADA2D02">
            <w:pPr>
              <w:shd w:val="clear" w:color="auto" w:fill="FFFFFF"/>
              <w:spacing w:after="0"/>
              <w:ind w:firstLine="591"/>
              <w:rPr>
                <w:rFonts w:ascii="Times New Roman" w:hAnsi="Times New Roman"/>
                <w:bCs/>
                <w:sz w:val="20"/>
                <w:szCs w:val="20"/>
                <w:lang w:val="ru-RU" w:bidi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ru-RU" w:bidi="en-US"/>
              </w:rPr>
              <w:t>2.6.</w:t>
            </w:r>
            <w:r>
              <w:rPr>
                <w:rFonts w:ascii="Times New Roman" w:hAnsi="Times New Roman"/>
                <w:bCs/>
                <w:sz w:val="20"/>
                <w:szCs w:val="20"/>
                <w:lang w:val="ru-RU" w:bidi="en-US"/>
              </w:rPr>
              <w:tab/>
            </w:r>
            <w:r>
              <w:rPr>
                <w:rFonts w:ascii="Times New Roman" w:hAnsi="Times New Roman"/>
                <w:bCs/>
                <w:sz w:val="20"/>
                <w:szCs w:val="20"/>
                <w:lang w:val="ru-RU" w:bidi="en-US"/>
              </w:rPr>
              <w:t>Предусмотрена ли сдача работ с участием представителей КГИОП Санкт-Петербурга с оформлением соответствующего акта?</w:t>
            </w:r>
          </w:p>
          <w:p w14:paraId="173F4271">
            <w:pPr>
              <w:shd w:val="clear" w:color="auto" w:fill="FFFFFF"/>
              <w:spacing w:after="0"/>
              <w:ind w:firstLine="591"/>
              <w:rPr>
                <w:rFonts w:ascii="Times New Roman" w:hAnsi="Times New Roman"/>
                <w:bCs/>
                <w:sz w:val="20"/>
                <w:szCs w:val="20"/>
                <w:lang w:val="ru-RU" w:bidi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ru-RU" w:bidi="en-US"/>
              </w:rPr>
              <w:t xml:space="preserve"> </w:t>
            </w:r>
          </w:p>
          <w:p w14:paraId="1421BAC1">
            <w:pPr>
              <w:shd w:val="clear" w:color="auto" w:fill="FFFFFF"/>
              <w:spacing w:after="0"/>
              <w:ind w:firstLine="591"/>
              <w:rPr>
                <w:rFonts w:ascii="Times New Roman" w:hAnsi="Times New Roman"/>
                <w:bCs/>
                <w:sz w:val="20"/>
                <w:szCs w:val="20"/>
                <w:lang w:val="ru-RU" w:bidi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ru-RU" w:bidi="en-US"/>
              </w:rPr>
              <w:t>Неопределённость в вопросе отнесения объектов к ОКН не позволяет участникам:</w:t>
            </w:r>
          </w:p>
          <w:p w14:paraId="15C0A57D">
            <w:pPr>
              <w:numPr>
                <w:ilvl w:val="0"/>
                <w:numId w:val="5"/>
              </w:numPr>
              <w:shd w:val="clear" w:color="auto" w:fill="FFFFFF"/>
              <w:spacing w:after="0"/>
              <w:rPr>
                <w:rFonts w:ascii="Times New Roman" w:hAnsi="Times New Roman"/>
                <w:bCs/>
                <w:sz w:val="20"/>
                <w:szCs w:val="20"/>
                <w:lang w:val="ru-RU" w:bidi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ru-RU" w:bidi="en-US"/>
              </w:rPr>
              <w:t>корректно оценить необходимость наличия лицензии Минкультуры и связанные с этим требования к кадрам;</w:t>
            </w:r>
          </w:p>
          <w:p w14:paraId="197D5E47">
            <w:pPr>
              <w:numPr>
                <w:ilvl w:val="0"/>
                <w:numId w:val="5"/>
              </w:numPr>
              <w:shd w:val="clear" w:color="auto" w:fill="FFFFFF"/>
              <w:spacing w:after="0"/>
              <w:rPr>
                <w:rFonts w:ascii="Times New Roman" w:hAnsi="Times New Roman"/>
                <w:bCs/>
                <w:sz w:val="20"/>
                <w:szCs w:val="20"/>
                <w:lang w:val="ru-RU" w:bidi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ru-RU" w:bidi="en-US"/>
              </w:rPr>
              <w:t>рассчитать налоговые обязательства (применение/неприменение освобождения по ст. 149 НК РФ);</w:t>
            </w:r>
          </w:p>
          <w:p w14:paraId="41A3D45B">
            <w:pPr>
              <w:numPr>
                <w:ilvl w:val="0"/>
                <w:numId w:val="5"/>
              </w:numPr>
              <w:shd w:val="clear" w:color="auto" w:fill="FFFFFF"/>
              <w:spacing w:after="0"/>
              <w:rPr>
                <w:rFonts w:ascii="Times New Roman" w:hAnsi="Times New Roman"/>
                <w:bCs/>
                <w:sz w:val="20"/>
                <w:szCs w:val="20"/>
                <w:lang w:val="ru-RU" w:bidi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ru-RU" w:bidi="en-US"/>
              </w:rPr>
              <w:t>оценить дополнительные административные процедуры (согласования, отчётность, надзор);</w:t>
            </w:r>
          </w:p>
          <w:p w14:paraId="6A0B469C">
            <w:pPr>
              <w:numPr>
                <w:ilvl w:val="0"/>
                <w:numId w:val="5"/>
              </w:numPr>
              <w:shd w:val="clear" w:color="auto" w:fill="FFFFFF"/>
              <w:spacing w:after="0"/>
              <w:rPr>
                <w:rFonts w:ascii="Times New Roman" w:hAnsi="Times New Roman"/>
                <w:bCs/>
                <w:sz w:val="20"/>
                <w:szCs w:val="20"/>
                <w:lang w:val="ru-RU" w:bidi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ru-RU" w:bidi="en-US"/>
              </w:rPr>
              <w:t>сформировать экономически обоснованное ценовое предложение.</w:t>
            </w:r>
          </w:p>
          <w:p w14:paraId="071FD611">
            <w:pPr>
              <w:shd w:val="clear" w:color="auto" w:fill="FFFFFF"/>
              <w:spacing w:after="0"/>
              <w:ind w:firstLine="591"/>
              <w:rPr>
                <w:rFonts w:ascii="Times New Roman" w:hAnsi="Times New Roman"/>
                <w:bCs/>
                <w:sz w:val="20"/>
                <w:szCs w:val="20"/>
                <w:lang w:val="ru-RU" w:bidi="en-US"/>
              </w:rPr>
            </w:pPr>
          </w:p>
        </w:tc>
        <w:tc>
          <w:tcPr>
            <w:tcW w:w="5547" w:type="dxa"/>
          </w:tcPr>
          <w:p w14:paraId="009547EF">
            <w:pPr>
              <w:spacing w:before="120" w:after="0" w:line="240" w:lineRule="auto"/>
              <w:jc w:val="both"/>
              <w:outlineLvl w:val="1"/>
              <w:rPr>
                <w:rFonts w:ascii="Times New Roman" w:hAnsi="Times New Roman"/>
                <w:bCs/>
                <w:lang w:val="ru-RU" w:bidi="en-US"/>
              </w:rPr>
            </w:pPr>
            <w:r>
              <w:rPr>
                <w:rFonts w:ascii="Times New Roman" w:hAnsi="Times New Roman"/>
                <w:bCs/>
                <w:lang w:val="ru-RU" w:bidi="en-US"/>
              </w:rPr>
              <w:t>Уважаемы</w:t>
            </w:r>
            <w:bookmarkStart w:id="0" w:name="_GoBack"/>
            <w:bookmarkEnd w:id="0"/>
            <w:r>
              <w:rPr>
                <w:rFonts w:ascii="Times New Roman" w:hAnsi="Times New Roman"/>
                <w:bCs/>
                <w:lang w:val="ru-RU" w:bidi="en-US"/>
              </w:rPr>
              <w:t>й участник!</w:t>
            </w:r>
          </w:p>
          <w:p w14:paraId="0D907C5B">
            <w:pPr>
              <w:spacing w:before="120" w:after="0" w:line="240" w:lineRule="auto"/>
              <w:jc w:val="both"/>
              <w:outlineLvl w:val="1"/>
              <w:rPr>
                <w:rFonts w:ascii="Times New Roman" w:hAnsi="Times New Roman"/>
                <w:lang w:val="ru-RU" w:bidi="en-US"/>
              </w:rPr>
            </w:pPr>
            <w:r>
              <w:rPr>
                <w:rFonts w:ascii="Times New Roman" w:hAnsi="Times New Roman"/>
                <w:bCs/>
                <w:lang w:val="ru-RU" w:bidi="en-US"/>
              </w:rPr>
              <w:t>1. На текущий момент в документацию об электронном аукционе уже были внесены изменения, касающиеся требований к кабельной продукции. Просим руководствоваться актуальной (свежей) редакцией. Указанные в первоначальной редакции требования к индексу пожарной опасности нг(А)-HFLTx были скорректированы с учётом фактической доступности сертифицированной кабельной продукции на российском рынке.</w:t>
            </w:r>
          </w:p>
          <w:p w14:paraId="05AD38AA">
            <w:pPr>
              <w:spacing w:before="120" w:after="0" w:line="240" w:lineRule="auto"/>
              <w:jc w:val="both"/>
              <w:outlineLvl w:val="1"/>
              <w:rPr>
                <w:rFonts w:ascii="Times New Roman" w:hAnsi="Times New Roman"/>
                <w:bCs/>
                <w:lang w:val="ru-RU" w:bidi="en-US"/>
              </w:rPr>
            </w:pPr>
            <w:r>
              <w:rPr>
                <w:rFonts w:ascii="Times New Roman" w:hAnsi="Times New Roman"/>
                <w:bCs/>
                <w:lang w:val="ru-RU" w:bidi="en-US"/>
              </w:rPr>
              <w:t>2. По данным открытых источников, здания по адресам г. Санкт-Петербург, Московский пр., д. 9 и г. Санкт-Петербург, Набережная реки Фонтанки, д.113, лит А действительно имеют признаки объекта культурного наследия. Вместе с тем необходимо уточнить, что статус объекта культурного наследия распространяется не на все помещения, элементы отделки, фасады и конструкции здания в целом, а на отдельные элементы, обладающие историко-культурной ценностью (предмет охраны). К таким элементам, в зависимости от конкретного корпуса (литеры), могут относиться, в частности, исторические оконные заполнения, лестницы, перила, потолочные элементы и иные архитектурные детали. В разных корпусах (литеры) перечень таких элементов различается.</w:t>
            </w:r>
          </w:p>
          <w:p w14:paraId="728C8327">
            <w:pPr>
              <w:spacing w:before="120" w:after="0" w:line="240" w:lineRule="auto"/>
              <w:jc w:val="both"/>
              <w:outlineLvl w:val="1"/>
              <w:rPr>
                <w:rFonts w:ascii="Times New Roman" w:hAnsi="Times New Roman"/>
                <w:bCs/>
                <w:lang w:val="ru-RU" w:bidi="en-US"/>
              </w:rPr>
            </w:pPr>
            <w:r>
              <w:rPr>
                <w:rFonts w:ascii="Times New Roman" w:hAnsi="Times New Roman"/>
                <w:bCs/>
                <w:lang w:val="ru-RU" w:bidi="en-US"/>
              </w:rPr>
              <w:t>С учётом изложенного сообщаем, что планируемые мероприятия не являются работами, изменяющими облик, объёмно-планировочные и конструктивные решения и структуры, интерьер выявленного объекта культурного наследия либо объекта культурного наследия, включённого в реестр. Тем самым Заказчик выполняет требования Статьи 47.3 «Требования к содержанию и использованию объекта культурного наследия, включённого в реестр, выявленного объекта культурного наследия» Федерального закона от 25.06.2002 № 73-ФЗ «Об объектах культурного наследия (памятниках истории и культуры) народов Российской Федерации» (ред. от 10.06.2026, с изм. и доп., вступ. в силу с 01.09.2026). Работы выполняются в рамках текущей эксплуатации указанных зданий.</w:t>
            </w:r>
          </w:p>
          <w:p w14:paraId="08FA3A74">
            <w:pPr>
              <w:spacing w:before="120" w:after="0" w:line="240" w:lineRule="auto"/>
              <w:jc w:val="both"/>
              <w:outlineLvl w:val="1"/>
              <w:rPr>
                <w:rFonts w:ascii="Times New Roman" w:hAnsi="Times New Roman"/>
                <w:bCs/>
                <w:lang w:val="ru-RU" w:bidi="en-US"/>
              </w:rPr>
            </w:pPr>
            <w:r>
              <w:rPr>
                <w:rFonts w:ascii="Times New Roman" w:hAnsi="Times New Roman"/>
                <w:bCs/>
                <w:lang w:val="ru-RU" w:bidi="en-US"/>
              </w:rPr>
              <w:t>В связи с изложенным планируемые работы не относятся к деятельности по сохранению объекта культурного наследия (ремонт, приспособление для современного использования), не затрагивают предмет охраны и выполняются в рамках текущей эксплуатации зданий. Необходимость получения участниками закупки лицензии на осуществление деятельности по сохранению объектов культурного наследия (в соответствии с Постановлением Правительства РФ от 19.04.2012 № 349) отсутствует, поскольку работы не являются деятельностью по сохранению ОКН. Оформление разрешительной документации КГИОП Санкт-Петербурга (разрешение на проведение работ, задание на проведение работ, научно-реставрационный отчёт по итогам работ) не требуется. Проектом договора и сметной документацией не предусмотрены освобождение от НДС в соответствии с подпунктом 15 пункта 2 статьи 149 НК РФ (для работ по сохранению ОКН), поскольку работы не относятся к сохранению ОКН, а также компенсация «входного» НДС по материалам и оборудованию для подрядчиков, применяющих УСН. Осуществление авторского надзора за проведением работ не требуется. Сдача работ с участием представителей КГИОП Санкт-Петербурга с оформлением соответствующего акта не предусмотрена.</w:t>
            </w:r>
          </w:p>
          <w:p w14:paraId="15545FF6">
            <w:pPr>
              <w:spacing w:before="120" w:after="0" w:line="240" w:lineRule="auto"/>
              <w:jc w:val="both"/>
              <w:outlineLvl w:val="1"/>
              <w:rPr>
                <w:rFonts w:ascii="Times New Roman" w:hAnsi="Times New Roman"/>
                <w:bCs/>
                <w:lang w:val="ru-RU" w:bidi="en-US"/>
              </w:rPr>
            </w:pPr>
            <w:r>
              <w:rPr>
                <w:rFonts w:ascii="Times New Roman" w:hAnsi="Times New Roman"/>
                <w:bCs/>
                <w:lang w:val="ru-RU" w:bidi="en-US"/>
              </w:rPr>
              <w:t>Дополнительно сообщаем, что в связи с изложенным неопределённость в вопросе отнесения объектов к ОКН для целей исполнения обязательств по настоящей закупке отсутствует, поскольку характер планируемых работ не требует применения норм законодательства об объектах культурного наследия в части лицензирования, согласования и налоговых преференций.</w:t>
            </w:r>
          </w:p>
          <w:p w14:paraId="1AB31384">
            <w:pPr>
              <w:spacing w:before="120" w:after="0" w:line="240" w:lineRule="auto"/>
              <w:jc w:val="both"/>
              <w:outlineLvl w:val="1"/>
              <w:rPr>
                <w:rFonts w:ascii="Times New Roman" w:hAnsi="Times New Roman"/>
                <w:lang w:val="ru-RU" w:bidi="en-US"/>
              </w:rPr>
            </w:pPr>
          </w:p>
          <w:p w14:paraId="3BF14D58">
            <w:pPr>
              <w:spacing w:before="120" w:after="0" w:line="240" w:lineRule="auto"/>
              <w:jc w:val="both"/>
              <w:outlineLvl w:val="1"/>
              <w:rPr>
                <w:rFonts w:ascii="Times New Roman" w:hAnsi="Times New Roman"/>
                <w:sz w:val="24"/>
                <w:szCs w:val="24"/>
                <w:lang w:val="ru-RU" w:bidi="en-US"/>
              </w:rPr>
            </w:pPr>
          </w:p>
        </w:tc>
      </w:tr>
    </w:tbl>
    <w:p w14:paraId="514A9E40">
      <w:pPr>
        <w:spacing w:after="0"/>
        <w:ind w:firstLine="284"/>
        <w:jc w:val="both"/>
        <w:rPr>
          <w:rFonts w:ascii="Times New Roman" w:hAnsi="Times New Roman"/>
          <w:i/>
          <w:sz w:val="18"/>
          <w:szCs w:val="18"/>
        </w:rPr>
      </w:pPr>
    </w:p>
    <w:p w14:paraId="2D4C53C3">
      <w:pPr>
        <w:tabs>
          <w:tab w:val="left" w:pos="7632"/>
        </w:tabs>
        <w:jc w:val="both"/>
        <w:rPr>
          <w:rFonts w:ascii="Times New Roman" w:hAnsi="Times New Roman"/>
        </w:rPr>
      </w:pPr>
    </w:p>
    <w:p w14:paraId="6C67447E">
      <w:pPr>
        <w:tabs>
          <w:tab w:val="left" w:pos="7632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И.о Проректора по экономике и информатизации                                                                        Т.К. Чиркова</w:t>
      </w:r>
    </w:p>
    <w:p w14:paraId="6BD7DB36">
      <w:pPr>
        <w:tabs>
          <w:tab w:val="left" w:pos="7632"/>
        </w:tabs>
        <w:jc w:val="both"/>
        <w:rPr>
          <w:rFonts w:ascii="Times New Roman" w:hAnsi="Times New Roman"/>
        </w:rPr>
      </w:pPr>
    </w:p>
    <w:p w14:paraId="1F11BB60">
      <w:pPr>
        <w:tabs>
          <w:tab w:val="left" w:pos="7632"/>
        </w:tabs>
        <w:jc w:val="both"/>
        <w:rPr>
          <w:rFonts w:ascii="Times New Roman" w:hAnsi="Times New Roman"/>
        </w:rPr>
      </w:pPr>
    </w:p>
    <w:p w14:paraId="42ECFAD6">
      <w:pPr>
        <w:tabs>
          <w:tab w:val="left" w:pos="7632"/>
        </w:tabs>
        <w:jc w:val="both"/>
        <w:rPr>
          <w:rFonts w:ascii="Times New Roman" w:hAnsi="Times New Roman"/>
        </w:rPr>
      </w:pPr>
    </w:p>
    <w:p w14:paraId="4A5A6E2A">
      <w:pPr>
        <w:tabs>
          <w:tab w:val="left" w:pos="7632"/>
        </w:tabs>
        <w:jc w:val="both"/>
        <w:rPr>
          <w:rFonts w:ascii="Times New Roman" w:hAnsi="Times New Roman"/>
        </w:rPr>
      </w:pPr>
    </w:p>
    <w:p w14:paraId="7B5DEA55">
      <w:pPr>
        <w:tabs>
          <w:tab w:val="left" w:pos="7632"/>
        </w:tabs>
        <w:jc w:val="both"/>
        <w:rPr>
          <w:rFonts w:ascii="Times New Roman" w:hAnsi="Times New Roman"/>
        </w:rPr>
      </w:pPr>
    </w:p>
    <w:p w14:paraId="1105E1BC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sectPr>
      <w:pgSz w:w="11906" w:h="16838"/>
      <w:pgMar w:top="709" w:right="850" w:bottom="1134" w:left="85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CC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30F292A"/>
    <w:multiLevelType w:val="multilevel"/>
    <w:tmpl w:val="230F292A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nsid w:val="5F143DCF"/>
    <w:multiLevelType w:val="multilevel"/>
    <w:tmpl w:val="5F143DCF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nsid w:val="667C71C0"/>
    <w:multiLevelType w:val="multilevel"/>
    <w:tmpl w:val="667C71C0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>
    <w:nsid w:val="6C787538"/>
    <w:multiLevelType w:val="multilevel"/>
    <w:tmpl w:val="6C787538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 w:ascii="Times New Roman" w:hAnsi="Times New Roman" w:cs="Times New Roman"/>
      </w:rPr>
    </w:lvl>
    <w:lvl w:ilvl="1" w:tentative="0">
      <w:start w:val="1"/>
      <w:numFmt w:val="lowerLetter"/>
      <w:lvlText w:val="%2."/>
      <w:lvlJc w:val="left"/>
      <w:pPr>
        <w:ind w:left="1440" w:hanging="360"/>
      </w:pPr>
      <w:rPr>
        <w:rFonts w:hint="default" w:ascii="Times New Roman" w:hAnsi="Times New Roman" w:cs="Times New Roman"/>
      </w:rPr>
    </w:lvl>
    <w:lvl w:ilvl="2" w:tentative="0">
      <w:start w:val="1"/>
      <w:numFmt w:val="lowerRoman"/>
      <w:lvlText w:val="%3."/>
      <w:lvlJc w:val="right"/>
      <w:pPr>
        <w:ind w:left="2160" w:hanging="360"/>
      </w:pPr>
      <w:rPr>
        <w:rFonts w:hint="default" w:ascii="Times New Roman" w:hAnsi="Times New Roman" w:cs="Times New Roman"/>
      </w:rPr>
    </w:lvl>
    <w:lvl w:ilvl="3" w:tentative="0">
      <w:start w:val="1"/>
      <w:numFmt w:val="decimal"/>
      <w:lvlText w:val="%4."/>
      <w:lvlJc w:val="left"/>
      <w:pPr>
        <w:ind w:left="2880" w:hanging="360"/>
      </w:pPr>
      <w:rPr>
        <w:rFonts w:hint="default" w:ascii="Times New Roman" w:hAnsi="Times New Roman" w:cs="Times New Roman"/>
      </w:rPr>
    </w:lvl>
    <w:lvl w:ilvl="4" w:tentative="0">
      <w:start w:val="1"/>
      <w:numFmt w:val="lowerLetter"/>
      <w:lvlText w:val="%5."/>
      <w:lvlJc w:val="left"/>
      <w:pPr>
        <w:ind w:left="3600" w:hanging="360"/>
      </w:pPr>
      <w:rPr>
        <w:rFonts w:hint="default" w:ascii="Times New Roman" w:hAnsi="Times New Roman" w:cs="Times New Roman"/>
      </w:rPr>
    </w:lvl>
    <w:lvl w:ilvl="5" w:tentative="0">
      <w:start w:val="1"/>
      <w:numFmt w:val="lowerRoman"/>
      <w:lvlText w:val="%6."/>
      <w:lvlJc w:val="right"/>
      <w:pPr>
        <w:ind w:left="4320" w:hanging="360"/>
      </w:pPr>
      <w:rPr>
        <w:rFonts w:hint="default" w:ascii="Times New Roman" w:hAnsi="Times New Roman" w:cs="Times New Roman"/>
      </w:rPr>
    </w:lvl>
    <w:lvl w:ilvl="6" w:tentative="0">
      <w:start w:val="1"/>
      <w:numFmt w:val="decimal"/>
      <w:lvlText w:val="%7."/>
      <w:lvlJc w:val="left"/>
      <w:pPr>
        <w:ind w:left="5040" w:hanging="360"/>
      </w:pPr>
      <w:rPr>
        <w:rFonts w:hint="default" w:ascii="Times New Roman" w:hAnsi="Times New Roman" w:cs="Times New Roman"/>
      </w:rPr>
    </w:lvl>
    <w:lvl w:ilvl="7" w:tentative="0">
      <w:start w:val="1"/>
      <w:numFmt w:val="lowerLetter"/>
      <w:lvlText w:val="%8."/>
      <w:lvlJc w:val="left"/>
      <w:pPr>
        <w:ind w:left="5760" w:hanging="360"/>
      </w:pPr>
      <w:rPr>
        <w:rFonts w:hint="default" w:ascii="Times New Roman" w:hAnsi="Times New Roman" w:cs="Times New Roman"/>
      </w:rPr>
    </w:lvl>
    <w:lvl w:ilvl="8" w:tentative="0">
      <w:start w:val="1"/>
      <w:numFmt w:val="lowerRoman"/>
      <w:lvlText w:val="%9."/>
      <w:lvlJc w:val="right"/>
      <w:pPr>
        <w:ind w:left="6480" w:hanging="360"/>
      </w:pPr>
      <w:rPr>
        <w:rFonts w:hint="default" w:ascii="Times New Roman" w:hAnsi="Times New Roman" w:cs="Times New Roman"/>
      </w:rPr>
    </w:lvl>
  </w:abstractNum>
  <w:abstractNum w:abstractNumId="4">
    <w:nsid w:val="7F997114"/>
    <w:multiLevelType w:val="multilevel"/>
    <w:tmpl w:val="7F997114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 w:ascii="Times New Roman" w:hAnsi="Times New Roman" w:cs="Times New Roman"/>
      </w:rPr>
    </w:lvl>
    <w:lvl w:ilvl="1" w:tentative="0">
      <w:start w:val="1"/>
      <w:numFmt w:val="lowerLetter"/>
      <w:lvlText w:val="%2."/>
      <w:lvlJc w:val="left"/>
      <w:pPr>
        <w:ind w:left="1440" w:hanging="360"/>
      </w:pPr>
      <w:rPr>
        <w:rFonts w:hint="default" w:ascii="Times New Roman" w:hAnsi="Times New Roman" w:cs="Times New Roman"/>
      </w:rPr>
    </w:lvl>
    <w:lvl w:ilvl="2" w:tentative="0">
      <w:start w:val="1"/>
      <w:numFmt w:val="lowerRoman"/>
      <w:lvlText w:val="%3."/>
      <w:lvlJc w:val="right"/>
      <w:pPr>
        <w:ind w:left="2160" w:hanging="360"/>
      </w:pPr>
      <w:rPr>
        <w:rFonts w:hint="default" w:ascii="Times New Roman" w:hAnsi="Times New Roman" w:cs="Times New Roman"/>
      </w:rPr>
    </w:lvl>
    <w:lvl w:ilvl="3" w:tentative="0">
      <w:start w:val="1"/>
      <w:numFmt w:val="decimal"/>
      <w:lvlText w:val="%4."/>
      <w:lvlJc w:val="left"/>
      <w:pPr>
        <w:ind w:left="2880" w:hanging="360"/>
      </w:pPr>
      <w:rPr>
        <w:rFonts w:hint="default" w:ascii="Times New Roman" w:hAnsi="Times New Roman" w:cs="Times New Roman"/>
      </w:rPr>
    </w:lvl>
    <w:lvl w:ilvl="4" w:tentative="0">
      <w:start w:val="1"/>
      <w:numFmt w:val="lowerLetter"/>
      <w:lvlText w:val="%5."/>
      <w:lvlJc w:val="left"/>
      <w:pPr>
        <w:ind w:left="3600" w:hanging="360"/>
      </w:pPr>
      <w:rPr>
        <w:rFonts w:hint="default" w:ascii="Times New Roman" w:hAnsi="Times New Roman" w:cs="Times New Roman"/>
      </w:rPr>
    </w:lvl>
    <w:lvl w:ilvl="5" w:tentative="0">
      <w:start w:val="1"/>
      <w:numFmt w:val="lowerRoman"/>
      <w:lvlText w:val="%6."/>
      <w:lvlJc w:val="right"/>
      <w:pPr>
        <w:ind w:left="4320" w:hanging="360"/>
      </w:pPr>
      <w:rPr>
        <w:rFonts w:hint="default" w:ascii="Times New Roman" w:hAnsi="Times New Roman" w:cs="Times New Roman"/>
      </w:rPr>
    </w:lvl>
    <w:lvl w:ilvl="6" w:tentative="0">
      <w:start w:val="1"/>
      <w:numFmt w:val="decimal"/>
      <w:lvlText w:val="%7."/>
      <w:lvlJc w:val="left"/>
      <w:pPr>
        <w:ind w:left="5040" w:hanging="360"/>
      </w:pPr>
      <w:rPr>
        <w:rFonts w:hint="default" w:ascii="Times New Roman" w:hAnsi="Times New Roman" w:cs="Times New Roman"/>
      </w:rPr>
    </w:lvl>
    <w:lvl w:ilvl="7" w:tentative="0">
      <w:start w:val="1"/>
      <w:numFmt w:val="lowerLetter"/>
      <w:lvlText w:val="%8."/>
      <w:lvlJc w:val="left"/>
      <w:pPr>
        <w:ind w:left="5760" w:hanging="360"/>
      </w:pPr>
      <w:rPr>
        <w:rFonts w:hint="default" w:ascii="Times New Roman" w:hAnsi="Times New Roman" w:cs="Times New Roman"/>
      </w:rPr>
    </w:lvl>
    <w:lvl w:ilvl="8" w:tentative="0">
      <w:start w:val="1"/>
      <w:numFmt w:val="lowerRoman"/>
      <w:lvlText w:val="%9."/>
      <w:lvlJc w:val="right"/>
      <w:pPr>
        <w:ind w:left="6480" w:hanging="360"/>
      </w:pPr>
      <w:rPr>
        <w:rFonts w:hint="default" w:ascii="Times New Roman" w:hAnsi="Times New Roman" w:cs="Times New Roman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1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261"/>
    <w:rsid w:val="000547B5"/>
    <w:rsid w:val="00097261"/>
    <w:rsid w:val="00102E0C"/>
    <w:rsid w:val="00155663"/>
    <w:rsid w:val="001B7105"/>
    <w:rsid w:val="001D1B3C"/>
    <w:rsid w:val="001F0AD3"/>
    <w:rsid w:val="00243A40"/>
    <w:rsid w:val="00246369"/>
    <w:rsid w:val="0029068F"/>
    <w:rsid w:val="00294D2A"/>
    <w:rsid w:val="002B41A4"/>
    <w:rsid w:val="00302B84"/>
    <w:rsid w:val="003B16AB"/>
    <w:rsid w:val="003B19F5"/>
    <w:rsid w:val="003C5444"/>
    <w:rsid w:val="003E44CC"/>
    <w:rsid w:val="00403378"/>
    <w:rsid w:val="0042421E"/>
    <w:rsid w:val="00464562"/>
    <w:rsid w:val="004A60B1"/>
    <w:rsid w:val="00506419"/>
    <w:rsid w:val="00546A2A"/>
    <w:rsid w:val="005706EF"/>
    <w:rsid w:val="00574511"/>
    <w:rsid w:val="005D41E9"/>
    <w:rsid w:val="005F7909"/>
    <w:rsid w:val="00637BF8"/>
    <w:rsid w:val="00700FCB"/>
    <w:rsid w:val="007253C5"/>
    <w:rsid w:val="00742367"/>
    <w:rsid w:val="00751229"/>
    <w:rsid w:val="00753B2C"/>
    <w:rsid w:val="00763BC8"/>
    <w:rsid w:val="00775EF8"/>
    <w:rsid w:val="007D258E"/>
    <w:rsid w:val="007D5909"/>
    <w:rsid w:val="00841EEB"/>
    <w:rsid w:val="008602E9"/>
    <w:rsid w:val="00862079"/>
    <w:rsid w:val="00896744"/>
    <w:rsid w:val="00957550"/>
    <w:rsid w:val="009800F9"/>
    <w:rsid w:val="009A7F9A"/>
    <w:rsid w:val="009B475D"/>
    <w:rsid w:val="009D0B2E"/>
    <w:rsid w:val="00A07E75"/>
    <w:rsid w:val="00A35525"/>
    <w:rsid w:val="00A37934"/>
    <w:rsid w:val="00AC76EA"/>
    <w:rsid w:val="00B1160B"/>
    <w:rsid w:val="00B84603"/>
    <w:rsid w:val="00BD1E91"/>
    <w:rsid w:val="00BF6AE1"/>
    <w:rsid w:val="00C34247"/>
    <w:rsid w:val="00C52E29"/>
    <w:rsid w:val="00C710E0"/>
    <w:rsid w:val="00C75C13"/>
    <w:rsid w:val="00C80685"/>
    <w:rsid w:val="00C96D02"/>
    <w:rsid w:val="00C96D9F"/>
    <w:rsid w:val="00CD553C"/>
    <w:rsid w:val="00CF2A9C"/>
    <w:rsid w:val="00CF53BA"/>
    <w:rsid w:val="00D9465D"/>
    <w:rsid w:val="00DB45DE"/>
    <w:rsid w:val="00DD60CE"/>
    <w:rsid w:val="00E57D32"/>
    <w:rsid w:val="00ED29E0"/>
    <w:rsid w:val="00EF1B6D"/>
    <w:rsid w:val="00EF38E0"/>
    <w:rsid w:val="00F0199E"/>
    <w:rsid w:val="00F239C8"/>
    <w:rsid w:val="00F26165"/>
    <w:rsid w:val="00F3753C"/>
    <w:rsid w:val="194D5436"/>
    <w:rsid w:val="3A481354"/>
    <w:rsid w:val="78A02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Times New Roman" w:cs="Times New Roman"/>
      <w:sz w:val="22"/>
      <w:szCs w:val="22"/>
      <w:lang w:val="ru-RU" w:eastAsia="ru-RU" w:bidi="ar-SA"/>
    </w:rPr>
  </w:style>
  <w:style w:type="paragraph" w:styleId="2">
    <w:name w:val="heading 2"/>
    <w:basedOn w:val="1"/>
    <w:next w:val="1"/>
    <w:link w:val="13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5B9BD5" w:themeColor="accent1"/>
      <w:sz w:val="26"/>
      <w:szCs w:val="26"/>
      <w:lang w:val="en-US" w:eastAsia="en-US" w:bidi="en-US"/>
      <w14:textFill>
        <w14:solidFill>
          <w14:schemeClr w14:val="accent1"/>
        </w14:solidFill>
      </w14:textFill>
    </w:rPr>
  </w:style>
  <w:style w:type="character" w:default="1" w:styleId="3">
    <w:name w:val="Default Paragraph Font"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semiHidden/>
    <w:unhideWhenUsed/>
    <w:qFormat/>
    <w:uiPriority w:val="99"/>
    <w:rPr>
      <w:color w:val="0000FF"/>
      <w:u w:val="single"/>
    </w:rPr>
  </w:style>
  <w:style w:type="paragraph" w:styleId="6">
    <w:name w:val="Normal (Web)"/>
    <w:basedOn w:val="1"/>
    <w:semiHidden/>
    <w:unhideWhenUsed/>
    <w:qFormat/>
    <w:uiPriority w:val="99"/>
    <w:pPr>
      <w:spacing w:before="100" w:beforeAutospacing="1" w:after="100" w:afterAutospacing="1"/>
    </w:pPr>
    <w:rPr>
      <w:szCs w:val="24"/>
    </w:rPr>
  </w:style>
  <w:style w:type="character" w:styleId="7">
    <w:name w:val="Strong"/>
    <w:basedOn w:val="3"/>
    <w:qFormat/>
    <w:uiPriority w:val="22"/>
    <w:rPr>
      <w:b/>
      <w:bCs/>
    </w:rPr>
  </w:style>
  <w:style w:type="table" w:styleId="8">
    <w:name w:val="Table Grid"/>
    <w:basedOn w:val="4"/>
    <w:qFormat/>
    <w:uiPriority w:val="59"/>
    <w:rPr>
      <w:rFonts w:eastAsiaTheme="minorEastAsia"/>
      <w:lang w:val="en-US" w:bidi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9">
    <w:name w:val="List Paragraph"/>
    <w:basedOn w:val="1"/>
    <w:qFormat/>
    <w:uiPriority w:val="34"/>
    <w:pPr>
      <w:spacing w:after="160" w:line="259" w:lineRule="auto"/>
      <w:ind w:left="720"/>
      <w:contextualSpacing/>
    </w:pPr>
    <w:rPr>
      <w:rFonts w:asciiTheme="minorHAnsi" w:hAnsiTheme="minorHAnsi" w:eastAsiaTheme="minorHAnsi" w:cstheme="minorBidi"/>
      <w:lang w:eastAsia="en-US"/>
    </w:rPr>
  </w:style>
  <w:style w:type="character" w:customStyle="1" w:styleId="10">
    <w:name w:val="layout"/>
    <w:qFormat/>
    <w:uiPriority w:val="0"/>
  </w:style>
  <w:style w:type="paragraph" w:customStyle="1" w:styleId="11">
    <w:name w:val="ConsPlusNormal"/>
    <w:qFormat/>
    <w:uiPriority w:val="0"/>
    <w:pPr>
      <w:widowControl w:val="0"/>
      <w:autoSpaceDE w:val="0"/>
      <w:autoSpaceDN w:val="0"/>
    </w:pPr>
    <w:rPr>
      <w:rFonts w:ascii="Arial" w:hAnsi="Arial" w:eastAsia="Times New Roman" w:cs="Arial"/>
      <w:lang w:val="ru-RU" w:eastAsia="ru-RU" w:bidi="ar-SA"/>
    </w:rPr>
  </w:style>
  <w:style w:type="paragraph" w:styleId="12">
    <w:name w:val="No Spacing"/>
    <w:qFormat/>
    <w:uiPriority w:val="1"/>
    <w:rPr>
      <w:rFonts w:ascii="Calibri" w:hAnsi="Calibri" w:eastAsia="Times New Roman" w:cs="Times New Roman"/>
      <w:sz w:val="22"/>
      <w:szCs w:val="22"/>
      <w:lang w:val="ru-RU" w:eastAsia="ru-RU" w:bidi="ar-SA"/>
    </w:rPr>
  </w:style>
  <w:style w:type="character" w:customStyle="1" w:styleId="13">
    <w:name w:val="Заголовок 2 Знак"/>
    <w:basedOn w:val="3"/>
    <w:link w:val="2"/>
    <w:uiPriority w:val="9"/>
    <w:rPr>
      <w:rFonts w:asciiTheme="majorHAnsi" w:hAnsiTheme="majorHAnsi" w:eastAsiaTheme="majorEastAsia" w:cstheme="majorBidi"/>
      <w:b/>
      <w:bCs/>
      <w:color w:val="5B9BD5" w:themeColor="accent1"/>
      <w:sz w:val="26"/>
      <w:szCs w:val="26"/>
      <w:lang w:val="en-US" w:bidi="en-US"/>
      <w14:textFill>
        <w14:solidFill>
          <w14:schemeClr w14:val="accent1"/>
        </w14:solidFill>
      </w14:textFill>
    </w:rPr>
  </w:style>
  <w:style w:type="paragraph" w:customStyle="1" w:styleId="14">
    <w:name w:val="Default"/>
    <w:uiPriority w:val="0"/>
    <w:pPr>
      <w:autoSpaceDE w:val="0"/>
      <w:autoSpaceDN w:val="0"/>
      <w:adjustRightInd w:val="0"/>
    </w:pPr>
    <w:rPr>
      <w:rFonts w:ascii="Times New Roman" w:hAnsi="Times New Roman" w:cs="Times New Roman" w:eastAsiaTheme="minorEastAsia"/>
      <w:color w:val="000000"/>
      <w:sz w:val="24"/>
      <w:szCs w:val="24"/>
      <w:lang w:val="en-US" w:eastAsia="en-US" w:bidi="en-US"/>
    </w:rPr>
  </w:style>
  <w:style w:type="paragraph" w:customStyle="1" w:styleId="15">
    <w:name w:val="msonormal_mr_css_attr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6">
    <w:name w:val="ds-markdown-paragraph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1123</Words>
  <Characters>7550</Characters>
  <Lines>62</Lines>
  <Paragraphs>17</Paragraphs>
  <TotalTime>78</TotalTime>
  <ScaleCrop>false</ScaleCrop>
  <LinksUpToDate>false</LinksUpToDate>
  <CharactersWithSpaces>8714</CharactersWithSpaces>
  <Application>WPS Office_12.1.0.26886_F1E327BC-269C-435d-A152-05C5408002CA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2026-06-04T12:32:00Z</dcterms:created>
  <dc:creator>Admin</dc:creator>
  <cp:lastModifiedBy>otbmv</cp:lastModifiedBy>
  <dcterms:modified xsi:type="dcterms:W3CDTF">2026-10-01T12:04:24Z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eyJoZGlkIjoiYzdiYWI5YTRhZmFhYzkzZmNmOWJlYzMwZDIwOTQzM2MifQ==</vt:lpwstr>
  </property>
  <property fmtid="{D5CDD505-2E9C-101B-9397-08002B2CF9AE}" pid="3" name="KSOProductBuildVer">
    <vt:lpwstr>1033-12.1.0.26886</vt:lpwstr>
  </property>
  <property fmtid="{D5CDD505-2E9C-101B-9397-08002B2CF9AE}" pid="4" name="ICV">
    <vt:lpwstr>E0176F62A76B45D286A260ACEFB10D65_12</vt:lpwstr>
  </property>
</Properties>
</file>