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8BB48">
      <w:pPr>
        <w:pStyle w:val="14"/>
        <w:jc w:val="center"/>
        <w:rPr>
          <w:b/>
          <w:lang w:val="ru-RU"/>
        </w:rPr>
      </w:pPr>
      <w:r>
        <w:rPr>
          <w:b/>
          <w:lang w:val="ru-RU"/>
        </w:rPr>
        <w:t>Разъяснения положений документации о закупке</w:t>
      </w:r>
    </w:p>
    <w:p w14:paraId="098BA363">
      <w:pPr>
        <w:spacing w:after="0" w:line="360" w:lineRule="atLeast"/>
        <w:jc w:val="center"/>
        <w:rPr>
          <w:rFonts w:ascii="Segoe UI" w:hAnsi="Segoe UI" w:cs="Segoe UI"/>
          <w:color w:val="1A1B26"/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№ 32616385416</w:t>
      </w:r>
    </w:p>
    <w:tbl>
      <w:tblPr>
        <w:tblStyle w:val="8"/>
        <w:tblW w:w="11412" w:type="dxa"/>
        <w:tblInd w:w="-6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5"/>
        <w:gridCol w:w="5547"/>
      </w:tblGrid>
      <w:tr w14:paraId="17F01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5" w:type="dxa"/>
          </w:tcPr>
          <w:p w14:paraId="78625026">
            <w:pPr>
              <w:jc w:val="both"/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  <w:t>Текст запроса</w:t>
            </w:r>
          </w:p>
        </w:tc>
        <w:tc>
          <w:tcPr>
            <w:tcW w:w="5547" w:type="dxa"/>
          </w:tcPr>
          <w:p w14:paraId="49319035">
            <w:pPr>
              <w:jc w:val="both"/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  <w:t>Текст ответа</w:t>
            </w:r>
          </w:p>
        </w:tc>
      </w:tr>
      <w:tr w14:paraId="00879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5" w:type="dxa"/>
          </w:tcPr>
          <w:p w14:paraId="7F0352BB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Уважаемый Заказчик!</w:t>
            </w:r>
          </w:p>
          <w:p w14:paraId="618B720B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Мы внимательно ознакомились с Вашим ответом на повторный запрос: по вопросу предоставления проектной документации сообщаем следующее.</w:t>
            </w:r>
          </w:p>
          <w:p w14:paraId="5C2A4FB8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В своём ответе Вы подтвердили, что проектная документация существует в бумажном виде. Это означает, что перевод документации в электронную форму технически не представляет сложности: сканирование на МФУ, фотографирование на современный мобильный телефон или фотоаппарат, либо запрос электронной версии у проектной организации. Никаких физических или технических препятствий для этого Вы в ответе не указали, сославшись лишь на отсутствие правовой обязанности.</w:t>
            </w:r>
          </w:p>
          <w:p w14:paraId="1B8A330A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Более того, согласно ст. 48 Градостроительного кодекса РФ и Постановлению Правительства РФ от 16.02.2008 № 87 «О составе разделов проектной документации и требованиях к их содержанию», проектная документация включает текстовую и графическую части, в том числе электрические схемы, планы, спецификации оборудования. Проектная организация, разработавшая документацию, располагает её электронной версией. Заказчик вправе запросить у проектировщика электронный комплект.</w:t>
            </w:r>
          </w:p>
          <w:p w14:paraId="5D375E7F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Что касается п. 2.3 Постановления Правительства РФ № 1233, на который вы ссылаетесь, обращаем внимание, что п. 2.3 данного Положения прямо предусматривает:</w:t>
            </w:r>
          </w:p>
          <w:p w14:paraId="01A6780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en-US" w:bidi="en-US"/>
              </w:rPr>
              <w:t>«Обмен электронными документами, содержащими служебную информацию ограниченного распространения, осуществляется с использованием систем электронного документооборота либо иных решений, отвечающих применимым требованиям информационной безопасности».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”</w:t>
            </w:r>
          </w:p>
          <w:p w14:paraId="258BDA6B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Таким образом, само Положение допускает электронную передачу таких документов — при соблюдении требований информационной безопасности. Вы же в ответе лишь констатировали наличие ограничений, но не обосновали, почему при существующих средствах защиты (ЭДО, защищённые каналы, облачные хранилища с ограниченным доступом) электронная передача невозможна.</w:t>
            </w:r>
          </w:p>
          <w:p w14:paraId="781F3926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Вы указали, что NDA — это «инструмент юридической ответственности», но не мера технической защиты. Это верно. Однако п. 2.3 ПП РФ № 1233 допускает сочетание NDA и технических мер защиты. Мы готовы подписать NDA и принять любой предложенный Вами способ передачи: ЭДО, спецсвязь, облачное хранилище с доступом по ссылке/паролю. Отказ от этого варианта не обоснован.</w:t>
            </w:r>
          </w:p>
          <w:p w14:paraId="2C1272B3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Просим:</w:t>
            </w:r>
          </w:p>
          <w:p w14:paraId="62434B73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clear" w:pos="54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Сообщить, существуют ли физические или технические препятствия для перевода имеющейся бумажной проектной документации в электронную форму и её дистанционного предоставления.</w:t>
            </w:r>
          </w:p>
          <w:p w14:paraId="6679D6E5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clear" w:pos="54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Сообщить, запрашивал ли Заказчик у проектной организации электронную версию документации. Если нет — указать причину.</w:t>
            </w:r>
          </w:p>
          <w:p w14:paraId="30B7B734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clear" w:pos="54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Повторно рассмотреть возможность дистанционного предоставления документации после подписания NDA и с использованием согласованного канала передачи.</w:t>
            </w:r>
          </w:p>
          <w:p w14:paraId="67DB6142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В случае если Вы настаиваете на ознакомлении только на территории Заказчика, просим письменно указать конкретную правовую норму, обосновывающую невозможность использования иных способов передачи, предусмотренных п. 2.3 ПП РФ № 1233.</w:t>
            </w:r>
          </w:p>
          <w:p w14:paraId="6EA78049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</w:p>
        </w:tc>
        <w:tc>
          <w:tcPr>
            <w:tcW w:w="5547" w:type="dxa"/>
          </w:tcPr>
          <w:p w14:paraId="316C4468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b/>
                <w:bCs/>
                <w:lang w:val="en-US" w:bidi="en-US"/>
              </w:rPr>
            </w:pPr>
            <w:r>
              <w:rPr>
                <w:rFonts w:ascii="Times New Roman" w:hAnsi="Times New Roman"/>
                <w:b/>
                <w:bCs/>
                <w:lang w:val="en-US" w:bidi="en-US"/>
              </w:rPr>
              <w:t>Уважаем</w:t>
            </w:r>
            <w:r>
              <w:rPr>
                <w:rFonts w:ascii="Times New Roman" w:hAnsi="Times New Roman"/>
                <w:b/>
                <w:bCs/>
                <w:lang w:val="ru-RU" w:bidi="en-US"/>
              </w:rPr>
              <w:t>ы</w:t>
            </w:r>
            <w:r>
              <w:rPr>
                <w:rFonts w:ascii="Times New Roman" w:hAnsi="Times New Roman"/>
                <w:b/>
                <w:bCs/>
                <w:lang w:val="en-US" w:bidi="en-US"/>
              </w:rPr>
              <w:t>й участник!</w:t>
            </w:r>
          </w:p>
          <w:p w14:paraId="3414B35B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b/>
                <w:bCs/>
                <w:lang w:val="en-US" w:bidi="en-US"/>
              </w:rPr>
              <w:t>1. Относительно наличия физических или технических препятствий для перевода бумажной проектной документации в электронную форму.</w:t>
            </w:r>
          </w:p>
          <w:p w14:paraId="76BD3177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Заказчик не утверждает, что перевод бумажного комплекта в электронную форму физически невозможен. Вместе с тем применительно к документам, содержащим служебную информацию ограниченного распространения, юридически значим не сам факт технической возможности сканирования или фотографирования, а соблюдение установленно</w:t>
            </w:r>
            <w:bookmarkStart w:id="0" w:name="_GoBack"/>
            <w:bookmarkEnd w:id="0"/>
            <w:r>
              <w:rPr>
                <w:rFonts w:ascii="Times New Roman" w:hAnsi="Times New Roman"/>
                <w:lang w:val="en-US" w:bidi="en-US"/>
              </w:rPr>
              <w:t>го порядка их копирования, обработки и передачи.</w:t>
            </w:r>
          </w:p>
          <w:p w14:paraId="5F06CBDA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В соответствии с пунктами 1.1 и 1.2 Положения о порядке обращения со служебной информацией ограниченного распространения, утвержденного постановлением Правительства Российской Федерации от 03.11.1994 № 1233 (в редакции, действующей с 13.03.2026), Положение распространяется в том числе на подведомственные федеральным органам исполнительной власти учреждения и регулирует обращение как с бумажными, так и с электронными документами, содержащими служебную информацию ограниченного распространения.</w:t>
            </w:r>
          </w:p>
          <w:p w14:paraId="450565AC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Пунктом 1.5 указанного Положения предусмотрено определение порядка копирования и передачи служебной информации ограниченного распространения другим органам и организациям, а пункт 2.7 прямо устанавливает, что копирование и направление (перенаправление) документов с пометкой «Для служебного пользования» осуществляются с разрешения руководителя организации либо уполномоченного должностного лица.</w:t>
            </w:r>
          </w:p>
          <w:p w14:paraId="6062163A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Действующая редакция пункта 2.3 Положения № 1233 действительно допускает создание и обмен электронными документами, содержащими служебную информацию ограниченного распространения. Однако такой обмен должен осуществляться с использованием систем электронного документооборота или иных программных (программно-аппаратных) решений, отвечающих установленным законодательством требованиям информационной безопасности; межорганизационный обмен осуществляется в соответствии с Правилами, утвержденными постановлением Правительства Российской Федерации от 24.07.2021 № 1264.</w:t>
            </w:r>
          </w:p>
          <w:p w14:paraId="00654F5E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 xml:space="preserve">Следовательно, пункт 2.3 Положения № 1233 </w:t>
            </w:r>
            <w:r>
              <w:rPr>
                <w:rFonts w:ascii="Times New Roman" w:hAnsi="Times New Roman"/>
                <w:b/>
                <w:bCs/>
                <w:lang w:val="en-US" w:bidi="en-US"/>
              </w:rPr>
              <w:t>не устанавливает обязанности Заказчика по требованию участника создавать электронную копию имеющегося бумажного комплекта и передавать ее любым предложенным участником способом</w:t>
            </w:r>
            <w:r>
              <w:rPr>
                <w:rFonts w:ascii="Times New Roman" w:hAnsi="Times New Roman"/>
                <w:lang w:val="en-US" w:bidi="en-US"/>
              </w:rPr>
              <w:t>. Указанная норма определяет допустимые условия электронного документооборота при наличии предусмотренной организационной и технической возможности и соблюдении установленного порядка передачи.</w:t>
            </w:r>
          </w:p>
          <w:p w14:paraId="6DBAD7C7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Обычная электронная почта, общедоступное облачное хранилище, передача по ссылке или фотографирование материалов на личное мобильное устройство сами по себе не подтверждают соблюдение требований пункта 2.3 Положения № 1233 и статьи 16 Федерального закона от 27.07.2006 № 149-ФЗ «Об информации, информационных технологиях и о защите информации».</w:t>
            </w:r>
          </w:p>
          <w:p w14:paraId="2616324F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b/>
                <w:bCs/>
                <w:lang w:val="en-US" w:bidi="en-US"/>
              </w:rPr>
              <w:t>2. Относительно обращения к проектной организации за электронной версией документации.</w:t>
            </w:r>
          </w:p>
          <w:p w14:paraId="4A7BB43F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Заказчик располагает официальным комплектом проектной документации, переданным ему в рамках ранее исполненного договора на бумажном носителе. Электронную версию указанного комплекта у проектной организации Заказчик не запрашивал.</w:t>
            </w:r>
          </w:p>
          <w:p w14:paraId="362B1E8D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 xml:space="preserve">Ссылка участника на статью 48 Градостроительного кодекса Российской Федерации и постановление Правительства Российской Федерации от 16.02.2008 № 87 данный вывод не изменяет. Указанные нормы определяют понятие, состав и содержание проектной документации применительно к объектам капитального строительства, но </w:t>
            </w:r>
            <w:r>
              <w:rPr>
                <w:rFonts w:ascii="Times New Roman" w:hAnsi="Times New Roman"/>
                <w:b/>
                <w:bCs/>
                <w:lang w:val="en-US" w:bidi="en-US"/>
              </w:rPr>
              <w:t>не устанавливают обязанности Заказчика после исполнения договора на проектирование запрашивать у проектировщика электронный экземпляр документации для последующей передачи потенциальным участникам закупки</w:t>
            </w:r>
            <w:r>
              <w:rPr>
                <w:rFonts w:ascii="Times New Roman" w:hAnsi="Times New Roman"/>
                <w:lang w:val="en-US" w:bidi="en-US"/>
              </w:rPr>
              <w:t>. Из названных норм также не следует безусловный вывод о наличии у проектной организации в настоящее время электронной версии, подлежащей передаче Заказчику по его требованию.</w:t>
            </w:r>
          </w:p>
          <w:p w14:paraId="63EE09DB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b/>
                <w:bCs/>
                <w:lang w:val="en-US" w:bidi="en-US"/>
              </w:rPr>
              <w:t>3. Относительно повторного предложения о дистанционной передаче после подписания NDA.</w:t>
            </w:r>
          </w:p>
          <w:p w14:paraId="3F3E4672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 xml:space="preserve">Предложение рассмотрено повторно. Заказчик не отрицает, что соглашение о конфиденциальности может устанавливать обязанности получателя по неразглашению и использованию переданных сведений. Вместе с тем </w:t>
            </w:r>
            <w:r>
              <w:rPr>
                <w:rFonts w:ascii="Times New Roman" w:hAnsi="Times New Roman"/>
                <w:b/>
                <w:bCs/>
                <w:lang w:val="en-US" w:bidi="en-US"/>
              </w:rPr>
              <w:t>NDA не заменяет порядок копирования и передачи служебной информации ограниченного распространения и не подтверждает соответствие конкретного технического канала требованиям информационной безопасности.</w:t>
            </w:r>
          </w:p>
          <w:p w14:paraId="5C1067E1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Постановление Правительства Российской Федерации № 1264 регулирует электронный обмен при условии присоединения участников информационного взаимодействия к предусмотренным им системам государственного или межведомственного электронного документооборота. </w:t>
            </w:r>
            <w:r>
              <w:rPr>
                <w:rFonts w:ascii="Times New Roman" w:hAnsi="Times New Roman"/>
                <w:b/>
                <w:bCs/>
                <w:lang w:val="en-US" w:bidi="en-US"/>
              </w:rPr>
              <w:t>Само по себе согласие участника использовать коммерческий ЭДО, облачное хранилище либо иной предлагаемый сервис не означает, что такой способ соответствует порядку, установленному пунктом 2.3 Положения № 1233 для конкретной передачи документов.</w:t>
            </w:r>
          </w:p>
          <w:p w14:paraId="2148A3AF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 xml:space="preserve">Кроме того, в силу статьи 16 Федерального закона № 149-ФЗ Заказчик обязан принимать правовые, организационные и технические меры по предотвращению неправомерного доступа, копирования, предоставления и распространения информации. </w:t>
            </w:r>
            <w:r>
              <w:rPr>
                <w:rFonts w:ascii="Times New Roman" w:hAnsi="Times New Roman"/>
                <w:b/>
                <w:bCs/>
                <w:lang w:val="en-US" w:bidi="en-US"/>
              </w:rPr>
              <w:t>Поскольку рассматриваемая документация содержит детализированные сведения о размещении и конфигурации элементов информационно-телекоммуникационной инфраструктуры, используемой в том числе при обработке персональных данных, при определении режима доступа также учитываются обязанности оператора, предусмотренные статьей 19 Федерального закона от 27.07.2006 № 152-ФЗ «О персональных данных».</w:t>
            </w:r>
          </w:p>
          <w:p w14:paraId="1EF3DD65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b/>
                <w:bCs/>
                <w:lang w:val="en-US" w:bidi="en-US"/>
              </w:rPr>
              <w:t>4. Относительно требования указать норму, запрещающую любые иные способы передачи.</w:t>
            </w:r>
          </w:p>
          <w:p w14:paraId="0D470841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Заказчик не ссылается на наличие нормы, устанавливающей абсолютный запрет на электронную передачу документов, содержащих служебную информацию ограниченного распространения. Напротив, действующий пункт 2.3 Положения № 1233 предусматривает возможность такой передачи при соблюдении установленных требований.</w:t>
            </w:r>
          </w:p>
          <w:p w14:paraId="31E8A67E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Однако</w:t>
            </w:r>
            <w:r>
              <w:rPr>
                <w:rFonts w:ascii="Times New Roman" w:hAnsi="Times New Roman"/>
                <w:b/>
                <w:bCs/>
                <w:lang w:val="en-US" w:bidi="en-US"/>
              </w:rPr>
              <w:t xml:space="preserve"> из возможности электронного обмена не следует обязанность Заказчика создавать электронную копию бумажного документа и организовывать ее дистанционную передачу по требованию потенциального участника закупки</w:t>
            </w:r>
            <w:r>
              <w:rPr>
                <w:rFonts w:ascii="Times New Roman" w:hAnsi="Times New Roman"/>
                <w:lang w:val="en-US" w:bidi="en-US"/>
              </w:rPr>
              <w:t>. Для копирования и передачи применяются пункты 1.5, 2.3 и 2.7 Положения № 1233, статья 16 Федерального закона № 149-ФЗ, а при электронном межорганизационном обмене — также постановление Правительства Российской Федерации № 1264.</w:t>
            </w:r>
          </w:p>
          <w:p w14:paraId="465407E6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Одновременно Заказчик обязан соблюдать требования Закона № 223-ФЗ к информационной открытости закупки. В соответствии с частью 1 статьи 3 и статьей 4 Закона № 223-ФЗ в размещенной закупочной документации должны содержаться сведения, достаточные для определения предмета закупки и формирования предложения участника. Такой подход прямо отражен в пункте 1 Обзора судебной практики по вопросам, связанным с применением Федерального закона от 18.07.2011 № 223-ФЗ «О закупках товаров, работ, услуг отдельными видами юридических лиц», утвержденного Президиумом Верховного Суда Российской Федерации 16.05.2018.</w:t>
            </w:r>
          </w:p>
          <w:p w14:paraId="6FD1E29E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b/>
                <w:bCs/>
                <w:lang w:val="en-US" w:bidi="en-US"/>
              </w:rPr>
              <w:t xml:space="preserve">Заказчик исходит из того, что размещенная документация содержит необходимые сведения о составе, объеме и условиях выполнения работ. </w:t>
            </w:r>
            <w:r>
              <w:rPr>
                <w:rFonts w:ascii="Times New Roman" w:hAnsi="Times New Roman"/>
                <w:lang w:val="en-US" w:bidi="en-US"/>
              </w:rPr>
              <w:t>Пункт 5.4 Технического задания дополнительно предоставляет всем заинтересованным лицам возможность ознакомиться с полным бумажным комплектом проектной документации по единому порядку до окончания срока подачи заявок. Указанный порядок не зависит от места регистрации или нахождения потенциального участника и применяется ко всем заинтересованным лицам одинаково.</w:t>
            </w:r>
          </w:p>
          <w:p w14:paraId="2BD90811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 xml:space="preserve">Практика ФАС России по применению статьи 4 Закона № 223-ФЗ также исходит прежде всего из оценки того, позволяют ли размещенные материалы определить объем и содержание закупаемых работ и сформировать предложение. </w:t>
            </w:r>
          </w:p>
          <w:p w14:paraId="494B9350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С учетом изложенного Заказчик повторно рассмотрел предложение участника и подтверждает ранее установленный пунктом 5.4 Технического задания порядок ознакомления с проектной документацией. Оснований для создания и дистанционной передачи электронного комплекта проектной документации по запросу участника Заказчик не усматривает.</w:t>
            </w:r>
          </w:p>
          <w:p w14:paraId="05CCE613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Ознакомление с имеющимся у Заказчика полным комплектом проектной документации обеспечивается до окончания срока подачи заявок в ранее установленном порядке.</w:t>
            </w:r>
          </w:p>
          <w:p w14:paraId="0DAA3342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</w:p>
        </w:tc>
      </w:tr>
    </w:tbl>
    <w:p w14:paraId="3F137871">
      <w:pPr>
        <w:spacing w:after="0"/>
        <w:ind w:firstLine="284"/>
        <w:jc w:val="both"/>
        <w:rPr>
          <w:rFonts w:ascii="Times New Roman" w:hAnsi="Times New Roman"/>
          <w:i/>
          <w:sz w:val="18"/>
          <w:szCs w:val="18"/>
        </w:rPr>
      </w:pPr>
    </w:p>
    <w:p w14:paraId="5BDA82FB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26561DD1">
      <w:pPr>
        <w:tabs>
          <w:tab w:val="left" w:pos="763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И.о Проректора по экономике и информатизации                                                                        Т.К. Чиркова</w:t>
      </w:r>
    </w:p>
    <w:p w14:paraId="39739896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3A0CF938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63BEAF05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15E7BC11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50C8B468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54394C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>
      <w:pgSz w:w="11906" w:h="16838"/>
      <w:pgMar w:top="709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506B08"/>
    <w:multiLevelType w:val="multilevel"/>
    <w:tmpl w:val="69506B08"/>
    <w:lvl w:ilvl="0" w:tentative="0">
      <w:start w:val="1"/>
      <w:numFmt w:val="decimal"/>
      <w:lvlText w:val="%1.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61"/>
    <w:rsid w:val="000547B5"/>
    <w:rsid w:val="00097261"/>
    <w:rsid w:val="00102E0C"/>
    <w:rsid w:val="00155663"/>
    <w:rsid w:val="001B7105"/>
    <w:rsid w:val="001D1B3C"/>
    <w:rsid w:val="001F0AD3"/>
    <w:rsid w:val="00243A40"/>
    <w:rsid w:val="0029068F"/>
    <w:rsid w:val="00294D2A"/>
    <w:rsid w:val="002B41A4"/>
    <w:rsid w:val="00302B84"/>
    <w:rsid w:val="003B16AB"/>
    <w:rsid w:val="003B19F5"/>
    <w:rsid w:val="003C5444"/>
    <w:rsid w:val="003E44CC"/>
    <w:rsid w:val="00403378"/>
    <w:rsid w:val="0042421E"/>
    <w:rsid w:val="00464562"/>
    <w:rsid w:val="004A60B1"/>
    <w:rsid w:val="00506419"/>
    <w:rsid w:val="00546A2A"/>
    <w:rsid w:val="005706EF"/>
    <w:rsid w:val="00574511"/>
    <w:rsid w:val="005D41E9"/>
    <w:rsid w:val="005F7909"/>
    <w:rsid w:val="00637BF8"/>
    <w:rsid w:val="00700FCB"/>
    <w:rsid w:val="007253C5"/>
    <w:rsid w:val="00742367"/>
    <w:rsid w:val="00751229"/>
    <w:rsid w:val="00753B2C"/>
    <w:rsid w:val="00763BC8"/>
    <w:rsid w:val="00775EF8"/>
    <w:rsid w:val="007D258E"/>
    <w:rsid w:val="007D5909"/>
    <w:rsid w:val="008602E9"/>
    <w:rsid w:val="00862079"/>
    <w:rsid w:val="00896744"/>
    <w:rsid w:val="00957550"/>
    <w:rsid w:val="009800F9"/>
    <w:rsid w:val="009A7F9A"/>
    <w:rsid w:val="009B475D"/>
    <w:rsid w:val="009D0B2E"/>
    <w:rsid w:val="00A07E75"/>
    <w:rsid w:val="00A35525"/>
    <w:rsid w:val="00A37934"/>
    <w:rsid w:val="00B1160B"/>
    <w:rsid w:val="00B84603"/>
    <w:rsid w:val="00BF6AE1"/>
    <w:rsid w:val="00C34247"/>
    <w:rsid w:val="00C52E29"/>
    <w:rsid w:val="00C710E0"/>
    <w:rsid w:val="00C75C13"/>
    <w:rsid w:val="00C80685"/>
    <w:rsid w:val="00C96D02"/>
    <w:rsid w:val="00C96D9F"/>
    <w:rsid w:val="00CD553C"/>
    <w:rsid w:val="00CF2A9C"/>
    <w:rsid w:val="00CF53BA"/>
    <w:rsid w:val="00D9465D"/>
    <w:rsid w:val="00DB45DE"/>
    <w:rsid w:val="00DD60CE"/>
    <w:rsid w:val="00E57D32"/>
    <w:rsid w:val="00ED29E0"/>
    <w:rsid w:val="00EF1B6D"/>
    <w:rsid w:val="00EF38E0"/>
    <w:rsid w:val="00F0199E"/>
    <w:rsid w:val="00F239C8"/>
    <w:rsid w:val="00F26165"/>
    <w:rsid w:val="00F3753C"/>
    <w:rsid w:val="3A481354"/>
    <w:rsid w:val="78A0274D"/>
    <w:rsid w:val="7C10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val="en-US" w:eastAsia="en-US" w:bidi="en-US"/>
      <w14:textFill>
        <w14:solidFill>
          <w14:schemeClr w14:val="accent1"/>
        </w14:solidFill>
      </w14:textFill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szCs w:val="24"/>
    </w:rPr>
  </w:style>
  <w:style w:type="character" w:styleId="7">
    <w:name w:val="Strong"/>
    <w:basedOn w:val="3"/>
    <w:qFormat/>
    <w:uiPriority w:val="22"/>
    <w:rPr>
      <w:b/>
      <w:bCs/>
    </w:rPr>
  </w:style>
  <w:style w:type="table" w:styleId="8">
    <w:name w:val="Table Grid"/>
    <w:basedOn w:val="4"/>
    <w:qFormat/>
    <w:uiPriority w:val="59"/>
    <w:rPr>
      <w:rFonts w:eastAsiaTheme="minorEastAsia"/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character" w:customStyle="1" w:styleId="10">
    <w:name w:val="layout"/>
    <w:qFormat/>
    <w:uiPriority w:val="0"/>
  </w:style>
  <w:style w:type="paragraph" w:customStyle="1" w:styleId="11">
    <w:name w:val="ConsPlusNormal"/>
    <w:qFormat/>
    <w:uiPriority w:val="0"/>
    <w:pPr>
      <w:widowControl w:val="0"/>
      <w:autoSpaceDE w:val="0"/>
      <w:autoSpaceDN w:val="0"/>
    </w:pPr>
    <w:rPr>
      <w:rFonts w:ascii="Arial" w:hAnsi="Arial" w:eastAsia="Times New Roman" w:cs="Arial"/>
      <w:lang w:val="ru-RU" w:eastAsia="ru-RU" w:bidi="ar-SA"/>
    </w:rPr>
  </w:style>
  <w:style w:type="paragraph" w:styleId="12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3">
    <w:name w:val="Заголовок 2 Знак"/>
    <w:basedOn w:val="3"/>
    <w:link w:val="2"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val="en-US" w:bidi="en-US"/>
      <w14:textFill>
        <w14:solidFill>
          <w14:schemeClr w14:val="accent1"/>
        </w14:solidFill>
      </w14:textFill>
    </w:rPr>
  </w:style>
  <w:style w:type="paragraph" w:customStyle="1" w:styleId="14">
    <w:name w:val="Default"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en-US" w:bidi="en-US"/>
    </w:rPr>
  </w:style>
  <w:style w:type="paragraph" w:customStyle="1" w:styleId="15">
    <w:name w:val="msonormal_mr_css_attr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6">
    <w:name w:val="ds-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1298</Words>
  <Characters>9701</Characters>
  <Lines>78</Lines>
  <Paragraphs>22</Paragraphs>
  <TotalTime>21</TotalTime>
  <ScaleCrop>false</ScaleCrop>
  <LinksUpToDate>false</LinksUpToDate>
  <CharactersWithSpaces>11030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2026-06-04T12:32:00Z</dcterms:created>
  <dc:creator>Admin</dc:creator>
  <cp:lastModifiedBy>otbmv</cp:lastModifiedBy>
  <dcterms:modified xsi:type="dcterms:W3CDTF">2026-10-01T12:05:34Z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eyJoZGlkIjoiYzdiYWI5YTRhZmFhYzkzZmNmOWJlYzMwZDIwOTQzM2MifQ==</vt:lpwstr>
  </property>
  <property fmtid="{D5CDD505-2E9C-101B-9397-08002B2CF9AE}" pid="3" name="KSOProductBuildVer">
    <vt:lpwstr>1033-12.1.0.26886</vt:lpwstr>
  </property>
  <property fmtid="{D5CDD505-2E9C-101B-9397-08002B2CF9AE}" pid="4" name="ICV">
    <vt:lpwstr>E0176F62A76B45D286A260ACEFB10D65_12</vt:lpwstr>
  </property>
</Properties>
</file>