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B98E0">
      <w:pPr>
        <w:pStyle w:val="14"/>
        <w:jc w:val="center"/>
        <w:rPr>
          <w:b/>
          <w:lang w:val="ru-RU"/>
        </w:rPr>
      </w:pPr>
      <w:r>
        <w:rPr>
          <w:b/>
          <w:lang w:val="ru-RU"/>
        </w:rPr>
        <w:t>Разъяснения положений документации о закупке</w:t>
      </w:r>
    </w:p>
    <w:p w14:paraId="4EE04F3E">
      <w:pPr>
        <w:spacing w:after="0" w:line="360" w:lineRule="atLeast"/>
        <w:jc w:val="center"/>
        <w:rPr>
          <w:rFonts w:ascii="Segoe UI" w:hAnsi="Segoe UI" w:cs="Segoe UI"/>
          <w:color w:val="1A1B26"/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№ 32616385416</w:t>
      </w:r>
    </w:p>
    <w:tbl>
      <w:tblPr>
        <w:tblStyle w:val="8"/>
        <w:tblW w:w="11412" w:type="dxa"/>
        <w:tblInd w:w="-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5"/>
        <w:gridCol w:w="5547"/>
      </w:tblGrid>
      <w:tr w14:paraId="6213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5" w:type="dxa"/>
          </w:tcPr>
          <w:p w14:paraId="60F69442">
            <w:pPr>
              <w:jc w:val="both"/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  <w:t>Текст запроса</w:t>
            </w:r>
          </w:p>
        </w:tc>
        <w:tc>
          <w:tcPr>
            <w:tcW w:w="5547" w:type="dxa"/>
          </w:tcPr>
          <w:p w14:paraId="23F80B04">
            <w:pPr>
              <w:jc w:val="both"/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  <w:t>Текст ответа</w:t>
            </w:r>
          </w:p>
        </w:tc>
      </w:tr>
      <w:tr w14:paraId="613FE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5" w:type="dxa"/>
          </w:tcPr>
          <w:p w14:paraId="04111617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Уважаемый Заказчик!</w:t>
            </w:r>
          </w:p>
          <w:p w14:paraId="7D92D5A6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В Закупочной документации отсутствует информация о требованиях к обеспечению заявки, а именно к Банковской гарантии, включая требования к форме такой гарантии (если они имеются).</w:t>
            </w:r>
          </w:p>
          <w:p w14:paraId="02F8967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Просим разъяснить следующие моменты по Обеспечению заявки на участие в аукционе в виде Банковской гарантии:</w:t>
            </w:r>
          </w:p>
          <w:p w14:paraId="1507EFC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1. О применимых требованиях к независимой гарантии</w:t>
            </w:r>
          </w:p>
          <w:p w14:paraId="731FE12F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Поскольку закупка не проводится среди СМСП, а Положение о закупке не содержит отдельного раздела с требованиями к гарантии для таких процедур, Просим разъяснить: какими нормативными актами или внутренними документами Заказчика следует руководствоваться при составлении независимой гарантии? Применяются ли к ней требования Постановления Правительства РФ № 1397 (типовая форма для МСП) или гарантия должна соответствовать только общим нормам ГК РФ (ст. 368–379)?</w:t>
            </w:r>
          </w:p>
          <w:p w14:paraId="35D77EFA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2. О сроке вступления гарантии в силу</w:t>
            </w:r>
          </w:p>
          <w:p w14:paraId="2CC91906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Просим уточнить, с какой даты (события) должна вступать в силу независимая гарантия для обеспечения заявки. Допустимо ли указание срока вступления в силу с даты выдачи гарантии, или Заказчик требует привязку к иной дате (например, к дате окончания подачи заявок)?</w:t>
            </w:r>
          </w:p>
          <w:p w14:paraId="43A9E116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3. О сроке действия гарантии</w:t>
            </w:r>
          </w:p>
          <w:p w14:paraId="7C3F294E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Просим уточнить минимальный срок действия независимой гарантии, который будет считаться надлежащим. Должен ли о составлять не менее одного месяца с даты окончания подачи заявок, или установлен иной срок?</w:t>
            </w:r>
          </w:p>
          <w:p w14:paraId="12AA695A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4. О реестре независимых гарантий</w:t>
            </w:r>
          </w:p>
          <w:p w14:paraId="59F1EA9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Требуется ли включение информации о независимой гарантии в реестр независимых гарантий (по аналогии с ч. 8 ст. 45 Закона № 44-ФЗ), или для данной закупки это не предусмотрено?</w:t>
            </w:r>
          </w:p>
          <w:p w14:paraId="242296A7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5. О подсудности</w:t>
            </w:r>
          </w:p>
          <w:p w14:paraId="7EA8D52D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Просим уточнить арбитражный суд, компетентный рассматривать споры из независимой гарантии. Должна ли гарантия содержать условие о рассмотрении споров в Арбитражном суде города Санкт-Петербурга и Ленинградской области (по месту нахождения Заказчика), или иной суд?</w:t>
            </w:r>
          </w:p>
          <w:p w14:paraId="24E2192F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6. О возможности замены способа обеспечения</w:t>
            </w:r>
          </w:p>
          <w:p w14:paraId="36DFD75D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Просим подтвердить, что участник вправе по своему выбору предоставить обеспечение заявки либо денежными средствами, либо независимой гарантией, и что выбор гарантии не создает дополнительных рисков отклонения заявки.</w:t>
            </w:r>
          </w:p>
          <w:p w14:paraId="32CB7C60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</w:p>
        </w:tc>
        <w:tc>
          <w:tcPr>
            <w:tcW w:w="5547" w:type="dxa"/>
          </w:tcPr>
          <w:p w14:paraId="7F0A7716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  <w:t>Уважаемый Участник!</w:t>
            </w:r>
          </w:p>
          <w:p w14:paraId="3F2B4A0E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В ответ на ваш запрос о разъяснении требований к обеспечению заявки в виде независимой (банковской) гарантии сообщаем следующее. 1. О применимых требованиях к независимой гарантии Поскольку настоящая закупка не проводится среди субъектов малого и среднего предпринимательства, требования Постановления Правительства РФ от 01.07.2021 № 1397 (типовая форма независимой гарантии для МСП) к настоящей закупке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не применяются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. Независимая гарантия должна соответствовать общим требованиям Гражданского кодекса Российской Федерации (ст.ст. 368–379 ГК РФ). В Положении о закупке Заказчика не установлены отдельные дополнительные требования к форме и содержанию независимой гарантии для обеспечения заявки. Участник вправе представить независимую гарантию, соответствующую общим требованиям ГК РФ.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2. О сроке вступления гарантии в силу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Независимая гарантия вступает в силу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с даты её выдачи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(ст. 373 ГК РФ), если в тексте гарантии не предусмотрено иное. Заказчик не требует привязки срока вступления гарантии в силу к дате окончания подачи заявок или иному событию.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3. О сроке действия гарантии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Срок действия независимой гарантии, предоставляемой в качестве обеспечения заявки, должен составлять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не менее одного месяца с даты окончания срока подачи заявок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на участие в аукционе. Гарантия с меньшим сроком действия может быть признана не соответствующей требованиям Закупочной документации.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4. О реестре независимых гарантий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Требование о включении информации о независимой гарантии в реестр независимых гарантий, предусмотренное ч. 8 ст. 45 Федерального закона № 44-ФЗ,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к настоящей закупке не применяется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, поскольку закупка осуществляется в соответствии с Федеральным законом № 223-ФЗ. Включение информации о гарантии в указанный реестр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не требуется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.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5. О подсудности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Независимая гарантия должна содержать условие о рассмотрении споров, в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Арбитражном суде города Санкт-Петербурга и Ленинградской области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то есть— по месту нахождения Заказчика.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6. О возможности замены способа обеспечения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Подтверждаем: участник вправе по своему выбору предоставить обеспечение заявки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либо денежными средствами, либо независимой гарантией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. Выбор независимой гарантии в качестве способа обеспечения заявки </w:t>
            </w:r>
            <w:r>
              <w:rPr>
                <w:rFonts w:hint="default" w:ascii="Times New Roman" w:hAnsi="Times New Roman"/>
                <w:sz w:val="24"/>
                <w:szCs w:val="24"/>
                <w:lang w:val="en-US" w:eastAsia="zh-CN" w:bidi="en-US"/>
              </w:rPr>
              <w:t>не создаёт дополнительных рисков отклонения заявки</w:t>
            </w:r>
            <w:r>
              <w:rPr>
                <w:rFonts w:ascii="Times New Roman" w:hAnsi="Times New Roman"/>
                <w:sz w:val="24"/>
                <w:szCs w:val="24"/>
                <w:lang w:val="en-US" w:eastAsia="zh-CN" w:bidi="en-US"/>
              </w:rPr>
              <w:t xml:space="preserve"> при условии, что гарантия соответствует требованиям ГК РФ и Закупочной документации.</w:t>
            </w:r>
          </w:p>
          <w:p w14:paraId="77B0CAA7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val="en-US" w:bidi="en-US"/>
              </w:rPr>
            </w:pPr>
            <w:bookmarkStart w:id="0" w:name="_GoBack"/>
            <w:bookmarkEnd w:id="0"/>
          </w:p>
        </w:tc>
      </w:tr>
    </w:tbl>
    <w:p w14:paraId="17F3571E">
      <w:pPr>
        <w:spacing w:after="0"/>
        <w:ind w:firstLine="284"/>
        <w:jc w:val="both"/>
        <w:rPr>
          <w:rFonts w:ascii="Times New Roman" w:hAnsi="Times New Roman"/>
          <w:i/>
          <w:sz w:val="18"/>
          <w:szCs w:val="18"/>
        </w:rPr>
      </w:pPr>
    </w:p>
    <w:p w14:paraId="777EF0E3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794160FE">
      <w:pPr>
        <w:tabs>
          <w:tab w:val="left" w:pos="763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И.о Проректора по экономике и информатизации                                                                        Т.К. Чиркова</w:t>
      </w:r>
    </w:p>
    <w:p w14:paraId="30D43B99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07603BFC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3F389C81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17995120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2C42180A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576C9B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>
      <w:pgSz w:w="11906" w:h="16838"/>
      <w:pgMar w:top="709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markup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61"/>
    <w:rsid w:val="000547B5"/>
    <w:rsid w:val="00097261"/>
    <w:rsid w:val="00102E0C"/>
    <w:rsid w:val="00155663"/>
    <w:rsid w:val="001B7105"/>
    <w:rsid w:val="001D1B3C"/>
    <w:rsid w:val="001F0AD3"/>
    <w:rsid w:val="00243A40"/>
    <w:rsid w:val="0029068F"/>
    <w:rsid w:val="00294D2A"/>
    <w:rsid w:val="002B41A4"/>
    <w:rsid w:val="00302B84"/>
    <w:rsid w:val="003B16AB"/>
    <w:rsid w:val="003B19F5"/>
    <w:rsid w:val="003C5444"/>
    <w:rsid w:val="003E44CC"/>
    <w:rsid w:val="00403378"/>
    <w:rsid w:val="0042421E"/>
    <w:rsid w:val="00464562"/>
    <w:rsid w:val="00506419"/>
    <w:rsid w:val="00546A2A"/>
    <w:rsid w:val="005706EF"/>
    <w:rsid w:val="00574511"/>
    <w:rsid w:val="005D41E9"/>
    <w:rsid w:val="005F7909"/>
    <w:rsid w:val="00637BF8"/>
    <w:rsid w:val="00700FCB"/>
    <w:rsid w:val="007253C5"/>
    <w:rsid w:val="00742367"/>
    <w:rsid w:val="00751229"/>
    <w:rsid w:val="00753B2C"/>
    <w:rsid w:val="00763BC8"/>
    <w:rsid w:val="00775EF8"/>
    <w:rsid w:val="007D258E"/>
    <w:rsid w:val="008602E9"/>
    <w:rsid w:val="00862079"/>
    <w:rsid w:val="00896744"/>
    <w:rsid w:val="00957550"/>
    <w:rsid w:val="009800F9"/>
    <w:rsid w:val="009A7F9A"/>
    <w:rsid w:val="009B475D"/>
    <w:rsid w:val="009D0B2E"/>
    <w:rsid w:val="00A07E75"/>
    <w:rsid w:val="00A35525"/>
    <w:rsid w:val="00A37934"/>
    <w:rsid w:val="00B1160B"/>
    <w:rsid w:val="00B84603"/>
    <w:rsid w:val="00BF6AE1"/>
    <w:rsid w:val="00C34247"/>
    <w:rsid w:val="00C710E0"/>
    <w:rsid w:val="00C75C13"/>
    <w:rsid w:val="00C80685"/>
    <w:rsid w:val="00C96D9F"/>
    <w:rsid w:val="00CD553C"/>
    <w:rsid w:val="00CF2A9C"/>
    <w:rsid w:val="00CF53BA"/>
    <w:rsid w:val="00D9465D"/>
    <w:rsid w:val="00DB45DE"/>
    <w:rsid w:val="00DD60CE"/>
    <w:rsid w:val="00E57D32"/>
    <w:rsid w:val="00ED29E0"/>
    <w:rsid w:val="00EF1B6D"/>
    <w:rsid w:val="00EF38E0"/>
    <w:rsid w:val="00F0199E"/>
    <w:rsid w:val="00F239C8"/>
    <w:rsid w:val="00F26165"/>
    <w:rsid w:val="00F3753C"/>
    <w:rsid w:val="3A481354"/>
    <w:rsid w:val="78A0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val="en-US" w:eastAsia="en-US" w:bidi="en-US"/>
      <w14:textFill>
        <w14:solidFill>
          <w14:schemeClr w14:val="accent1"/>
        </w14:solidFill>
      </w14:textFill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szCs w:val="24"/>
    </w:rPr>
  </w:style>
  <w:style w:type="character" w:styleId="7">
    <w:name w:val="Strong"/>
    <w:basedOn w:val="3"/>
    <w:qFormat/>
    <w:uiPriority w:val="22"/>
    <w:rPr>
      <w:b/>
      <w:bCs/>
    </w:rPr>
  </w:style>
  <w:style w:type="table" w:styleId="8">
    <w:name w:val="Table Grid"/>
    <w:basedOn w:val="4"/>
    <w:qFormat/>
    <w:uiPriority w:val="59"/>
    <w:rPr>
      <w:rFonts w:eastAsiaTheme="minorEastAsia"/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character" w:customStyle="1" w:styleId="10">
    <w:name w:val="layout"/>
    <w:qFormat/>
    <w:uiPriority w:val="0"/>
  </w:style>
  <w:style w:type="paragraph" w:customStyle="1" w:styleId="11">
    <w:name w:val="ConsPlusNormal"/>
    <w:qFormat/>
    <w:uiPriority w:val="0"/>
    <w:pPr>
      <w:widowControl w:val="0"/>
      <w:autoSpaceDE w:val="0"/>
      <w:autoSpaceDN w:val="0"/>
    </w:pPr>
    <w:rPr>
      <w:rFonts w:ascii="Arial" w:hAnsi="Arial" w:eastAsia="Times New Roman" w:cs="Arial"/>
      <w:lang w:val="ru-RU" w:eastAsia="ru-RU" w:bidi="ar-SA"/>
    </w:rPr>
  </w:style>
  <w:style w:type="paragraph" w:styleId="12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3">
    <w:name w:val="Заголовок 2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val="en-US" w:bidi="en-US"/>
      <w14:textFill>
        <w14:solidFill>
          <w14:schemeClr w14:val="accent1"/>
        </w14:solidFill>
      </w14:textFill>
    </w:rPr>
  </w:style>
  <w:style w:type="paragraph" w:customStyle="1" w:styleId="14">
    <w:name w:val="Default"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en-US" w:bidi="en-US"/>
    </w:rPr>
  </w:style>
  <w:style w:type="paragraph" w:customStyle="1" w:styleId="15">
    <w:name w:val="msonormal_mr_css_attr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6">
    <w:name w:val="ds-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2231</Words>
  <Characters>16165</Characters>
  <Lines>131</Lines>
  <Paragraphs>36</Paragraphs>
  <TotalTime>1</TotalTime>
  <ScaleCrop>false</ScaleCrop>
  <LinksUpToDate>false</LinksUpToDate>
  <CharactersWithSpaces>18412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2026-06-04T12:32:00Z</dcterms:created>
  <dc:creator>Admin</dc:creator>
  <cp:lastModifiedBy>otbmv</cp:lastModifiedBy>
  <dcterms:modified xsi:type="dcterms:W3CDTF">2026-09-30T13:00:41Z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eyJoZGlkIjoiYzdiYWI5YTRhZmFhYzkzZmNmOWJlYzMwZDIwOTQzM2MifQ==</vt:lpwstr>
  </property>
  <property fmtid="{D5CDD505-2E9C-101B-9397-08002B2CF9AE}" pid="3" name="KSOProductBuildVer">
    <vt:lpwstr>1033-12.1.0.26886</vt:lpwstr>
  </property>
  <property fmtid="{D5CDD505-2E9C-101B-9397-08002B2CF9AE}" pid="4" name="ICV">
    <vt:lpwstr>E0176F62A76B45D286A260ACEFB10D65_12</vt:lpwstr>
  </property>
</Properties>
</file>