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53523">
      <w:pPr>
        <w:jc w:val="right"/>
        <w:rPr>
          <w:i/>
          <w:iCs/>
          <w:sz w:val="22"/>
          <w:szCs w:val="22"/>
          <w:lang w:eastAsia="ru-RU"/>
        </w:rPr>
      </w:pPr>
      <w:r>
        <w:rPr>
          <w:i/>
          <w:iCs/>
          <w:sz w:val="22"/>
          <w:szCs w:val="22"/>
        </w:rPr>
        <w:t>Приложение № 1. Техническое задание</w:t>
      </w:r>
    </w:p>
    <w:p w14:paraId="21945BBB">
      <w:pPr>
        <w:widowControl w:val="0"/>
        <w:tabs>
          <w:tab w:val="left" w:pos="142"/>
        </w:tabs>
        <w:jc w:val="right"/>
        <w:rPr>
          <w:b/>
          <w:bCs/>
          <w:sz w:val="22"/>
          <w:szCs w:val="22"/>
        </w:rPr>
      </w:pPr>
    </w:p>
    <w:p w14:paraId="538FCA82">
      <w:pPr>
        <w:widowControl w:val="0"/>
        <w:tabs>
          <w:tab w:val="left" w:pos="142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14:paraId="4E58B232">
      <w:pPr>
        <w:widowControl w:val="0"/>
        <w:tabs>
          <w:tab w:val="left" w:pos="142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поставку трансформаторов ТМГ для нужд АО «КСК»</w:t>
      </w:r>
      <w:bookmarkStart w:id="0" w:name="_Hlk223433858"/>
      <w:bookmarkEnd w:id="0"/>
      <w:bookmarkStart w:id="1" w:name="_Hlk237446327"/>
      <w:bookmarkEnd w:id="1"/>
    </w:p>
    <w:p w14:paraId="3BB90141">
      <w:pPr>
        <w:widowControl w:val="0"/>
        <w:tabs>
          <w:tab w:val="left" w:pos="142"/>
        </w:tabs>
        <w:jc w:val="center"/>
        <w:rPr>
          <w:b/>
          <w:bCs/>
          <w:sz w:val="22"/>
          <w:szCs w:val="22"/>
        </w:rPr>
      </w:pPr>
    </w:p>
    <w:p w14:paraId="4371F354">
      <w:pPr>
        <w:widowControl w:val="0"/>
        <w:tabs>
          <w:tab w:val="left" w:pos="142"/>
        </w:tabs>
        <w:jc w:val="both"/>
        <w:rPr>
          <w:b/>
          <w:bCs/>
          <w:sz w:val="22"/>
          <w:szCs w:val="22"/>
        </w:rPr>
      </w:pPr>
      <w:r>
        <w:rPr>
          <w:rFonts w:eastAsia="SimSun"/>
          <w:b/>
          <w:bCs/>
          <w:kern w:val="1"/>
          <w:sz w:val="22"/>
          <w:szCs w:val="22"/>
        </w:rPr>
        <w:t>1.</w:t>
      </w:r>
      <w:r>
        <w:rPr>
          <w:rFonts w:eastAsia="SimSun"/>
          <w:b/>
          <w:kern w:val="1"/>
          <w:sz w:val="22"/>
          <w:szCs w:val="22"/>
        </w:rPr>
        <w:t xml:space="preserve"> Описание объекта закупки:</w:t>
      </w:r>
    </w:p>
    <w:p w14:paraId="0590B9C2">
      <w:pPr>
        <w:ind w:left="357"/>
        <w:rPr>
          <w:rFonts w:eastAsia="SimSun"/>
          <w:kern w:val="1"/>
          <w:sz w:val="22"/>
          <w:szCs w:val="22"/>
        </w:rPr>
      </w:pPr>
    </w:p>
    <w:tbl>
      <w:tblPr>
        <w:tblStyle w:val="7"/>
        <w:tblW w:w="10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410"/>
        <w:gridCol w:w="4111"/>
        <w:gridCol w:w="1417"/>
        <w:gridCol w:w="851"/>
        <w:gridCol w:w="959"/>
      </w:tblGrid>
      <w:tr w14:paraId="19D9E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1C32EB98">
            <w:pPr>
              <w:jc w:val="center"/>
              <w:rPr>
                <w:rFonts w:eastAsia="SimSun"/>
                <w:b/>
                <w:bCs/>
                <w:kern w:val="1"/>
                <w:sz w:val="22"/>
                <w:szCs w:val="22"/>
              </w:rPr>
            </w:pPr>
            <w:r>
              <w:rPr>
                <w:rFonts w:eastAsia="SimSun"/>
                <w:b/>
                <w:bCs/>
                <w:kern w:val="1"/>
                <w:sz w:val="22"/>
                <w:szCs w:val="22"/>
              </w:rPr>
              <w:t>№ п/п</w:t>
            </w:r>
          </w:p>
        </w:tc>
        <w:tc>
          <w:tcPr>
            <w:tcW w:w="2410" w:type="dxa"/>
          </w:tcPr>
          <w:p w14:paraId="6884EED2">
            <w:pPr>
              <w:jc w:val="center"/>
              <w:rPr>
                <w:rFonts w:eastAsia="SimSun"/>
                <w:b/>
                <w:bCs/>
                <w:kern w:val="1"/>
                <w:sz w:val="22"/>
                <w:szCs w:val="22"/>
              </w:rPr>
            </w:pPr>
            <w:r>
              <w:rPr>
                <w:rFonts w:eastAsia="SimSun"/>
                <w:b/>
                <w:bCs/>
                <w:kern w:val="1"/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4111" w:type="dxa"/>
          </w:tcPr>
          <w:p w14:paraId="4ECAEEDE">
            <w:pPr>
              <w:jc w:val="center"/>
              <w:rPr>
                <w:rFonts w:eastAsia="SimSun"/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</w:rPr>
              <w:t>Функциональные и технические характеристики товара</w:t>
            </w:r>
          </w:p>
        </w:tc>
        <w:tc>
          <w:tcPr>
            <w:tcW w:w="1417" w:type="dxa"/>
          </w:tcPr>
          <w:p w14:paraId="5A3A88CC">
            <w:pPr>
              <w:jc w:val="center"/>
              <w:rPr>
                <w:rFonts w:eastAsia="SimSun"/>
                <w:b/>
                <w:kern w:val="1"/>
                <w:sz w:val="22"/>
                <w:szCs w:val="22"/>
              </w:rPr>
            </w:pPr>
            <w:r>
              <w:rPr>
                <w:rFonts w:eastAsia="SimSun"/>
                <w:b/>
                <w:kern w:val="1"/>
                <w:sz w:val="22"/>
                <w:szCs w:val="22"/>
              </w:rPr>
              <w:t>ОКПД 2</w:t>
            </w:r>
          </w:p>
        </w:tc>
        <w:tc>
          <w:tcPr>
            <w:tcW w:w="851" w:type="dxa"/>
          </w:tcPr>
          <w:p w14:paraId="129EE543">
            <w:pPr>
              <w:jc w:val="center"/>
              <w:rPr>
                <w:rFonts w:eastAsia="SimSun"/>
                <w:b/>
                <w:kern w:val="1"/>
                <w:sz w:val="22"/>
                <w:szCs w:val="22"/>
              </w:rPr>
            </w:pPr>
            <w:r>
              <w:rPr>
                <w:rFonts w:eastAsia="SimSun"/>
                <w:b/>
                <w:kern w:val="1"/>
                <w:sz w:val="22"/>
                <w:szCs w:val="22"/>
              </w:rPr>
              <w:t>Ед. изм.</w:t>
            </w:r>
          </w:p>
        </w:tc>
        <w:tc>
          <w:tcPr>
            <w:tcW w:w="959" w:type="dxa"/>
          </w:tcPr>
          <w:p w14:paraId="74CDE512">
            <w:pPr>
              <w:jc w:val="center"/>
              <w:rPr>
                <w:rFonts w:eastAsia="SimSun"/>
                <w:b/>
                <w:kern w:val="1"/>
                <w:sz w:val="22"/>
                <w:szCs w:val="22"/>
              </w:rPr>
            </w:pPr>
            <w:r>
              <w:rPr>
                <w:rFonts w:eastAsia="SimSun"/>
                <w:b/>
                <w:kern w:val="1"/>
                <w:sz w:val="22"/>
                <w:szCs w:val="22"/>
              </w:rPr>
              <w:t>Кол-во</w:t>
            </w:r>
          </w:p>
        </w:tc>
      </w:tr>
      <w:tr w14:paraId="7FBA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5802962F">
            <w:pPr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w="2410" w:type="dxa"/>
          </w:tcPr>
          <w:p w14:paraId="76487352">
            <w:r>
              <w:rPr>
                <w:sz w:val="22"/>
              </w:rPr>
              <w:t>Трансформатор ТМГ-630/10/0,4 Д/Ун-11 (или эквивалент)</w:t>
            </w:r>
          </w:p>
        </w:tc>
        <w:tc>
          <w:tcPr>
            <w:tcW w:w="4111" w:type="dxa"/>
          </w:tcPr>
          <w:p w14:paraId="2D5E73B8">
            <w:pPr>
              <w:jc w:val="both"/>
              <w:rPr>
                <w:sz w:val="22"/>
              </w:rPr>
            </w:pPr>
            <w:r>
              <w:rPr>
                <w:sz w:val="22"/>
              </w:rPr>
              <w:t>Трансформатор силовой масляный герметичный типа ТМГ, овального исполнения, или эквивалент.</w:t>
            </w:r>
          </w:p>
          <w:p w14:paraId="1B8A2E4A">
            <w:pPr>
              <w:jc w:val="both"/>
              <w:rPr>
                <w:sz w:val="22"/>
              </w:rPr>
            </w:pPr>
            <w:r>
              <w:rPr>
                <w:sz w:val="22"/>
              </w:rPr>
              <w:t>Номинальная мощность — 630 кВА.</w:t>
            </w:r>
          </w:p>
          <w:p w14:paraId="1F1E9B8F">
            <w:pPr>
              <w:jc w:val="both"/>
              <w:rPr>
                <w:sz w:val="22"/>
              </w:rPr>
            </w:pPr>
            <w:r>
              <w:rPr>
                <w:sz w:val="22"/>
              </w:rPr>
              <w:t>Номинальное напряжение обмотки ВН — 10 кВ; обмотки НН — 0,4 кВ.</w:t>
            </w:r>
          </w:p>
          <w:p w14:paraId="74428C25">
            <w:pPr>
              <w:jc w:val="both"/>
              <w:rPr>
                <w:sz w:val="22"/>
              </w:rPr>
            </w:pPr>
            <w:r>
              <w:rPr>
                <w:sz w:val="22"/>
              </w:rPr>
              <w:t>Схема и группа соединения обмоток — Д/Ун-11 (Dyn11).</w:t>
            </w:r>
          </w:p>
          <w:p w14:paraId="3807676B">
            <w:pPr>
              <w:jc w:val="both"/>
              <w:rPr>
                <w:sz w:val="22"/>
              </w:rPr>
            </w:pPr>
            <w:r>
              <w:rPr>
                <w:sz w:val="22"/>
              </w:rPr>
              <w:t>Тип регулирования напряжения — ПБВ; диапазон регулирования — ±2×2,5 %.</w:t>
            </w:r>
          </w:p>
          <w:p w14:paraId="0F175701">
            <w:pPr>
              <w:jc w:val="both"/>
              <w:rPr>
                <w:sz w:val="22"/>
              </w:rPr>
            </w:pPr>
            <w:r>
              <w:rPr>
                <w:sz w:val="22"/>
              </w:rPr>
              <w:t>Материал обмоток — алюминий.</w:t>
            </w:r>
          </w:p>
          <w:p w14:paraId="0D7180C2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Потери короткого замыкания Рк — не более 8500 Вт (+10 %); напряжение короткого замыкания Uк — 5,5 % (±10 %).</w:t>
            </w:r>
          </w:p>
          <w:p w14:paraId="56653937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Потери холостого хода Р0 — не более 1070 Вт (+15 %); ток холостого хода I0 — не более 1,0 % (+30 %).</w:t>
            </w:r>
          </w:p>
          <w:p w14:paraId="0450C94D">
            <w:pPr>
              <w:jc w:val="both"/>
              <w:rPr>
                <w:sz w:val="22"/>
              </w:rPr>
            </w:pPr>
            <w:r>
              <w:rPr>
                <w:sz w:val="22"/>
              </w:rPr>
              <w:t>Климатическое исполнение и категория размещения — У1 или УХЛ1; степень защиты — IP00.</w:t>
            </w:r>
          </w:p>
          <w:p w14:paraId="2A474C0A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Полная масса / масса масла — 1580 / 328 кг; допустимое отклонение полной массы — +10 %.</w:t>
            </w:r>
          </w:p>
          <w:p w14:paraId="0C3CF6E6">
            <w:pPr>
              <w:jc w:val="both"/>
              <w:rPr>
                <w:sz w:val="22"/>
              </w:rPr>
            </w:pPr>
            <w:r>
              <w:rPr>
                <w:sz w:val="22"/>
              </w:rPr>
              <w:t>Установочные размеры, не более — 660×660 мм.</w:t>
            </w:r>
          </w:p>
          <w:p w14:paraId="19D8922D">
            <w:pPr>
              <w:jc w:val="both"/>
              <w:rPr>
                <w:sz w:val="22"/>
              </w:rPr>
            </w:pPr>
            <w:r>
              <w:rPr>
                <w:sz w:val="22"/>
              </w:rPr>
              <w:t>Габаритные размеры, не более: длина — 1421 мм; ширина — 1023 мм; высота — 1209 мм без катков / 1308 мм с катками.</w:t>
            </w:r>
          </w:p>
          <w:p w14:paraId="0980A9A0">
            <w:pPr>
              <w:jc w:val="both"/>
              <w:rPr>
                <w:sz w:val="22"/>
              </w:rPr>
            </w:pPr>
            <w:r>
              <w:rPr>
                <w:sz w:val="22"/>
              </w:rPr>
              <w:t>Комплектность:</w:t>
            </w:r>
          </w:p>
          <w:p w14:paraId="33991C85">
            <w:pPr>
              <w:jc w:val="both"/>
              <w:rPr>
                <w:sz w:val="22"/>
              </w:rPr>
            </w:pPr>
            <w:r>
              <w:rPr>
                <w:sz w:val="22"/>
              </w:rPr>
              <w:t>транспортные катки — да;</w:t>
            </w:r>
          </w:p>
          <w:p w14:paraId="2E9B4039">
            <w:pPr>
              <w:jc w:val="both"/>
              <w:rPr>
                <w:sz w:val="22"/>
              </w:rPr>
            </w:pPr>
            <w:r>
              <w:rPr>
                <w:sz w:val="22"/>
              </w:rPr>
              <w:t>заводской маслоуказатель — да;</w:t>
            </w:r>
          </w:p>
          <w:p w14:paraId="10EACE51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стеклянный термометр — да; </w:t>
            </w:r>
          </w:p>
          <w:p w14:paraId="246C79CD">
            <w:pPr>
              <w:jc w:val="both"/>
              <w:rPr>
                <w:sz w:val="22"/>
              </w:rPr>
            </w:pPr>
            <w:r>
              <w:rPr>
                <w:sz w:val="22"/>
              </w:rPr>
              <w:t>контактные зажимы НН — да.</w:t>
            </w:r>
          </w:p>
          <w:p w14:paraId="708982D0">
            <w:pPr>
              <w:jc w:val="both"/>
              <w:rPr>
                <w:sz w:val="22"/>
              </w:rPr>
            </w:pPr>
            <w:r>
              <w:rPr>
                <w:sz w:val="22"/>
              </w:rPr>
              <w:t>Степень сейсмостойкости по шкале MSK-64 — 6 баллов.</w:t>
            </w:r>
          </w:p>
          <w:p w14:paraId="666C617E">
            <w:pPr>
              <w:jc w:val="both"/>
              <w:rPr>
                <w:sz w:val="22"/>
              </w:rPr>
            </w:pPr>
            <w:r>
              <w:rPr>
                <w:sz w:val="22"/>
              </w:rPr>
              <w:t>Остальные характеристики — согласно ГОСТ 11677 и документации изготовителя.</w:t>
            </w:r>
          </w:p>
          <w:p w14:paraId="547D005B">
            <w:pPr>
              <w:jc w:val="both"/>
            </w:pPr>
            <w:r>
              <w:rPr>
                <w:sz w:val="22"/>
              </w:rPr>
              <w:t>Товар должен быть новым, ранее не использовавшимся и не восстановленным.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0AF884FA">
            <w:pPr>
              <w:jc w:val="center"/>
            </w:pPr>
            <w:r>
              <w:rPr>
                <w:sz w:val="22"/>
              </w:rPr>
              <w:t>27.11.43.000</w:t>
            </w:r>
          </w:p>
        </w:tc>
        <w:tc>
          <w:tcPr>
            <w:tcW w:w="851" w:type="dxa"/>
          </w:tcPr>
          <w:p w14:paraId="7B122317">
            <w:pPr>
              <w:jc w:val="center"/>
            </w:pPr>
            <w:r>
              <w:rPr>
                <w:sz w:val="22"/>
              </w:rPr>
              <w:t>шт.</w:t>
            </w:r>
          </w:p>
        </w:tc>
        <w:tc>
          <w:tcPr>
            <w:tcW w:w="959" w:type="dxa"/>
          </w:tcPr>
          <w:p w14:paraId="01D91302">
            <w:pPr>
              <w:jc w:val="center"/>
            </w:pPr>
            <w:r>
              <w:rPr>
                <w:sz w:val="22"/>
              </w:rPr>
              <w:t>2</w:t>
            </w:r>
          </w:p>
        </w:tc>
      </w:tr>
      <w:tr w14:paraId="1A5AF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40F0FFCE">
            <w:pPr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w="2410" w:type="dxa"/>
          </w:tcPr>
          <w:p w14:paraId="78926137">
            <w:r>
              <w:rPr>
                <w:sz w:val="22"/>
              </w:rPr>
              <w:t>Трансформатор ТМГ-1000/10/0,4 Д/Ун-11 (или эквивалент)</w:t>
            </w:r>
          </w:p>
        </w:tc>
        <w:tc>
          <w:tcPr>
            <w:tcW w:w="4111" w:type="dxa"/>
          </w:tcPr>
          <w:p w14:paraId="36E750A7">
            <w:pPr>
              <w:jc w:val="both"/>
              <w:rPr>
                <w:sz w:val="22"/>
              </w:rPr>
            </w:pPr>
            <w:r>
              <w:rPr>
                <w:sz w:val="22"/>
              </w:rPr>
              <w:t>Трансформатор силовой масляный герметичный типа ТМГ, овального исполнения, или эквивалент.</w:t>
            </w:r>
          </w:p>
          <w:p w14:paraId="630DEC29">
            <w:pPr>
              <w:jc w:val="both"/>
              <w:rPr>
                <w:sz w:val="22"/>
              </w:rPr>
            </w:pPr>
            <w:r>
              <w:rPr>
                <w:sz w:val="22"/>
              </w:rPr>
              <w:t>Номинальная мощность — 1000 кВА.</w:t>
            </w:r>
          </w:p>
          <w:p w14:paraId="2829C467">
            <w:pPr>
              <w:jc w:val="both"/>
              <w:rPr>
                <w:sz w:val="22"/>
              </w:rPr>
            </w:pPr>
            <w:r>
              <w:rPr>
                <w:sz w:val="22"/>
              </w:rPr>
              <w:t>Номинальное напряжение обмотки ВН — 10 кВ; обмотки НН — 0,4 кВ.</w:t>
            </w:r>
          </w:p>
          <w:p w14:paraId="65605F49">
            <w:pPr>
              <w:jc w:val="both"/>
              <w:rPr>
                <w:sz w:val="22"/>
              </w:rPr>
            </w:pPr>
            <w:r>
              <w:rPr>
                <w:sz w:val="22"/>
              </w:rPr>
              <w:t>Схема и группа соединения обмоток — Д/Ун-11 (Dyn11).</w:t>
            </w:r>
          </w:p>
          <w:p w14:paraId="3D345261">
            <w:pPr>
              <w:jc w:val="both"/>
              <w:rPr>
                <w:sz w:val="22"/>
              </w:rPr>
            </w:pPr>
            <w:r>
              <w:rPr>
                <w:sz w:val="22"/>
              </w:rPr>
              <w:t>Тип регулирования напряжения — ПБВ; диапазон регулирования — ±2×2,5 %.</w:t>
            </w:r>
          </w:p>
          <w:p w14:paraId="1B492B6E">
            <w:pPr>
              <w:jc w:val="both"/>
              <w:rPr>
                <w:sz w:val="22"/>
              </w:rPr>
            </w:pPr>
            <w:r>
              <w:rPr>
                <w:sz w:val="22"/>
              </w:rPr>
              <w:t>Материал обмоток — алюминий.</w:t>
            </w:r>
          </w:p>
          <w:p w14:paraId="6113ECC8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Потери короткого замыкания Рк — не более 12200 Вт (+10 %); напряжение короткого замыкания Uк — 5,5 % (±10 %).</w:t>
            </w:r>
          </w:p>
          <w:p w14:paraId="546F9BFB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Потери холостого хода Р0 — не более 1470 Вт (+15 %); ток холостого хода I0 — не более 0,8 % (+30 %).</w:t>
            </w:r>
          </w:p>
          <w:p w14:paraId="58BFD887">
            <w:pPr>
              <w:jc w:val="both"/>
              <w:rPr>
                <w:sz w:val="22"/>
              </w:rPr>
            </w:pPr>
            <w:r>
              <w:rPr>
                <w:sz w:val="22"/>
              </w:rPr>
              <w:t>Климатическое исполнение и категория размещения — У1 или УХЛ1; степень защиты — IP00.</w:t>
            </w:r>
          </w:p>
          <w:p w14:paraId="52E2A5E8">
            <w:pPr>
              <w:jc w:val="both"/>
              <w:rPr>
                <w:sz w:val="22"/>
              </w:rPr>
            </w:pPr>
            <w:r>
              <w:rPr>
                <w:sz w:val="22"/>
              </w:rPr>
              <w:t>Полная масса / масса масла, не более — 2230 / 474 кг; допустимое отклонение полной массы — +10 %.</w:t>
            </w:r>
          </w:p>
          <w:p w14:paraId="5C03A094">
            <w:pPr>
              <w:jc w:val="both"/>
              <w:rPr>
                <w:sz w:val="22"/>
              </w:rPr>
            </w:pPr>
            <w:r>
              <w:rPr>
                <w:sz w:val="22"/>
              </w:rPr>
              <w:t>Установочные размеры, не более — 820×820 мм.</w:t>
            </w:r>
          </w:p>
          <w:p w14:paraId="12342BCE">
            <w:pPr>
              <w:jc w:val="both"/>
              <w:rPr>
                <w:sz w:val="22"/>
              </w:rPr>
            </w:pPr>
            <w:r>
              <w:rPr>
                <w:sz w:val="22"/>
              </w:rPr>
              <w:t>Габаритные размеры, не более: длина — 1639 мм; ширина — 1155 мм; высота — 1410 мм без катков / 1497 мм с катками.</w:t>
            </w:r>
          </w:p>
          <w:p w14:paraId="536FCEF8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Комплектность: </w:t>
            </w:r>
          </w:p>
          <w:p w14:paraId="2B83B6C7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транспортные катки — да; </w:t>
            </w:r>
          </w:p>
          <w:p w14:paraId="7FCB7890">
            <w:pPr>
              <w:jc w:val="both"/>
              <w:rPr>
                <w:sz w:val="22"/>
              </w:rPr>
            </w:pPr>
            <w:r>
              <w:rPr>
                <w:sz w:val="22"/>
              </w:rPr>
              <w:t>заводской маслоуказатель — да;</w:t>
            </w:r>
          </w:p>
          <w:p w14:paraId="609BB16C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стеклянный термометр — да; </w:t>
            </w:r>
          </w:p>
          <w:p w14:paraId="76812FBC">
            <w:pPr>
              <w:jc w:val="both"/>
              <w:rPr>
                <w:sz w:val="22"/>
              </w:rPr>
            </w:pPr>
            <w:r>
              <w:rPr>
                <w:sz w:val="22"/>
              </w:rPr>
              <w:t>контактные зажимы НН — да.</w:t>
            </w:r>
          </w:p>
          <w:p w14:paraId="55113E73">
            <w:pPr>
              <w:jc w:val="both"/>
              <w:rPr>
                <w:sz w:val="22"/>
              </w:rPr>
            </w:pPr>
            <w:r>
              <w:rPr>
                <w:sz w:val="22"/>
              </w:rPr>
              <w:t>Остальные характеристики — согласно ГОСТ 11677 и документации изготовителя.</w:t>
            </w:r>
          </w:p>
          <w:p w14:paraId="22A883F4">
            <w:pPr>
              <w:jc w:val="both"/>
            </w:pPr>
            <w:r>
              <w:rPr>
                <w:sz w:val="22"/>
              </w:rPr>
              <w:t>Товар должен быть новым, ранее не использовавшимся и не восстановленным.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43B601B3">
            <w:pPr>
              <w:jc w:val="center"/>
            </w:pPr>
            <w:r>
              <w:rPr>
                <w:sz w:val="22"/>
              </w:rPr>
              <w:t>27.11.43.000</w:t>
            </w:r>
          </w:p>
        </w:tc>
        <w:tc>
          <w:tcPr>
            <w:tcW w:w="851" w:type="dxa"/>
          </w:tcPr>
          <w:p w14:paraId="386C116F">
            <w:pPr>
              <w:jc w:val="center"/>
            </w:pPr>
            <w:r>
              <w:rPr>
                <w:sz w:val="22"/>
              </w:rPr>
              <w:t>шт.</w:t>
            </w:r>
          </w:p>
        </w:tc>
        <w:tc>
          <w:tcPr>
            <w:tcW w:w="959" w:type="dxa"/>
          </w:tcPr>
          <w:p w14:paraId="24E5AE43">
            <w:pPr>
              <w:jc w:val="center"/>
            </w:pPr>
            <w:r>
              <w:rPr>
                <w:sz w:val="22"/>
              </w:rPr>
              <w:t>2</w:t>
            </w:r>
          </w:p>
        </w:tc>
      </w:tr>
    </w:tbl>
    <w:p w14:paraId="7765B25C">
      <w:pPr>
        <w:autoSpaceDE w:val="0"/>
        <w:autoSpaceDN w:val="0"/>
        <w:ind w:firstLine="709"/>
        <w:jc w:val="both"/>
        <w:rPr>
          <w:sz w:val="22"/>
          <w:szCs w:val="22"/>
        </w:rPr>
      </w:pPr>
    </w:p>
    <w:p w14:paraId="1378640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Место поставки товара: </w:t>
      </w:r>
    </w:p>
    <w:p w14:paraId="0CA2ADC6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357700, Россия, Ставропольский край, г. Кисловодск, ул.</w:t>
      </w:r>
      <w:r>
        <w:rPr>
          <w:rFonts w:hint="default"/>
          <w:sz w:val="22"/>
          <w:szCs w:val="22"/>
          <w:lang w:val="en-US" w:eastAsia="ru-RU"/>
        </w:rPr>
        <w:t xml:space="preserve"> Промышленная</w:t>
      </w:r>
      <w:r>
        <w:rPr>
          <w:sz w:val="22"/>
          <w:szCs w:val="22"/>
          <w:lang w:eastAsia="ru-RU"/>
        </w:rPr>
        <w:t xml:space="preserve">, д. </w:t>
      </w:r>
      <w:r>
        <w:rPr>
          <w:rFonts w:hint="default"/>
          <w:sz w:val="22"/>
          <w:szCs w:val="22"/>
          <w:lang w:val="en-US" w:eastAsia="ru-RU"/>
        </w:rPr>
        <w:t>20</w:t>
      </w:r>
      <w:r>
        <w:rPr>
          <w:sz w:val="22"/>
          <w:szCs w:val="22"/>
          <w:lang w:eastAsia="ru-RU"/>
        </w:rPr>
        <w:t>.</w:t>
      </w:r>
    </w:p>
    <w:p w14:paraId="57F14C1C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Погрузка, доставка, разгрузка товара осуществляется силами Поставщика.</w:t>
      </w:r>
    </w:p>
    <w:p w14:paraId="5F01BD70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3. Срок поставки: </w:t>
      </w:r>
      <w:r>
        <w:rPr>
          <w:bCs/>
          <w:sz w:val="22"/>
          <w:szCs w:val="22"/>
        </w:rPr>
        <w:t>в течение ___ календарных дней</w:t>
      </w:r>
      <w:r>
        <w:rPr>
          <w:b/>
          <w:sz w:val="22"/>
          <w:szCs w:val="22"/>
        </w:rPr>
        <w:t xml:space="preserve"> </w:t>
      </w:r>
      <w:r>
        <w:rPr>
          <w:b/>
          <w:i/>
          <w:iCs/>
          <w:sz w:val="22"/>
          <w:szCs w:val="22"/>
        </w:rPr>
        <w:t>(предложенный участником срок не должен превышать 30 календарных дней)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>с момента заключения договора.</w:t>
      </w:r>
    </w:p>
    <w:p w14:paraId="60CD67C6">
      <w:pPr>
        <w:pStyle w:val="5"/>
        <w:tabs>
          <w:tab w:val="left" w:pos="142"/>
        </w:tabs>
        <w:spacing w:before="0" w:beforeAutospacing="0" w:after="0" w:afterAutospacing="0"/>
        <w:rPr>
          <w:bCs/>
          <w:sz w:val="22"/>
          <w:szCs w:val="22"/>
        </w:rPr>
      </w:pPr>
      <w:bookmarkStart w:id="2" w:name="_GoBack1"/>
      <w:r>
        <w:rPr>
          <w:bCs/>
          <w:sz w:val="22"/>
          <w:szCs w:val="22"/>
        </w:rPr>
        <w:t>4. Требования к качеству:</w:t>
      </w:r>
    </w:p>
    <w:p w14:paraId="4A3275A6">
      <w:pPr>
        <w:pStyle w:val="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4.1. Поставляемый товар должен быть допущен к обращению и эксплуатации на территории Российской Федерации и соответствовать обязательным требованиям законодательства Российской Федерации, технических регламентов, ГОСТ 11677 и документации изготовителя. Вместе с каждым трансформатором передаются паспорт изделия с заводским номером, руководство (инструкция) по эксплуатации, электрическая схема (схема соединения), гарантийные документы и иные документы, предусмотренные изготовителем и законодательством Российской Федерации;4.2. Поставляемый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0CD849AF">
      <w:pPr>
        <w:pStyle w:val="5"/>
        <w:spacing w:before="0" w:beforeAutospacing="0" w:after="0" w:afterAutospacing="0"/>
        <w:jc w:val="both"/>
        <w:rPr>
          <w:sz w:val="22"/>
          <w:szCs w:val="22"/>
        </w:rPr>
      </w:pPr>
      <w:r>
        <w:rPr>
          <w:rFonts w:eastAsia="NSimSun"/>
          <w:sz w:val="22"/>
          <w:szCs w:val="22"/>
        </w:rPr>
        <w:t>4.3. Поставляемый товар должен отвечать требованиям безопасности жизни и здоровья, окружающей среды в течение гарантийного срока эксплуатации при обычных условиях его использования.</w:t>
      </w:r>
    </w:p>
    <w:p w14:paraId="608F7306">
      <w:pPr>
        <w:pStyle w:val="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Гарантийный срок на поставляемый товар устанавливается не менее срока, установленного изготовителем, но в любом случае </w:t>
      </w:r>
      <w:r>
        <w:rPr>
          <w:b/>
          <w:bCs/>
          <w:sz w:val="22"/>
          <w:szCs w:val="22"/>
        </w:rPr>
        <w:t>не менее 12 месяцев</w:t>
      </w:r>
      <w:r>
        <w:rPr>
          <w:sz w:val="22"/>
          <w:szCs w:val="22"/>
        </w:rPr>
        <w:t xml:space="preserve"> с даты приемки товара Заказчиком.</w:t>
      </w:r>
    </w:p>
    <w:p w14:paraId="7A3C8CB6">
      <w:pPr>
        <w:pStyle w:val="5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>5. Требования к поставке товара:</w:t>
      </w:r>
    </w:p>
    <w:p w14:paraId="7FEF12A8">
      <w:pPr>
        <w:pStyle w:val="5"/>
        <w:spacing w:before="0" w:beforeAutospacing="0" w:after="0" w:afterAutospacing="0"/>
        <w:jc w:val="both"/>
        <w:rPr>
          <w:rFonts w:eastAsia="NSimSun"/>
          <w:sz w:val="22"/>
          <w:szCs w:val="22"/>
        </w:rPr>
      </w:pPr>
      <w:r>
        <w:rPr>
          <w:rFonts w:eastAsia="NSimSun"/>
          <w:sz w:val="22"/>
          <w:szCs w:val="22"/>
        </w:rPr>
        <w:t>5.1.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Заказчику;</w:t>
      </w:r>
    </w:p>
    <w:p w14:paraId="11ABB0A5">
      <w:pPr>
        <w:pStyle w:val="5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rFonts w:eastAsia="NSimSun"/>
          <w:sz w:val="22"/>
          <w:szCs w:val="22"/>
        </w:rPr>
        <w:t>5.2. Поставщик несет ответственность за ненадлежащую упаковку, не обеспечивающую сохранность товара при его хранении и транспортировании.</w:t>
      </w:r>
      <w:bookmarkEnd w:id="2"/>
    </w:p>
    <w:p w14:paraId="02A455EE">
      <w:pPr>
        <w:pStyle w:val="5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>6. Сроки оплаты товара.</w:t>
      </w:r>
    </w:p>
    <w:p w14:paraId="782D87D2">
      <w:pPr>
        <w:jc w:val="both"/>
        <w:rPr>
          <w:sz w:val="22"/>
          <w:szCs w:val="22"/>
        </w:rPr>
      </w:pPr>
      <w:r>
        <w:rPr>
          <w:rFonts w:eastAsia="NSimSun"/>
          <w:sz w:val="22"/>
          <w:szCs w:val="22"/>
          <w:lang w:eastAsia="ru-RU"/>
        </w:rPr>
        <w:t>Аванс 30 % цены договора — в течение 10 рабочих дней с даты заключения договора. Оставшиеся 7</w:t>
      </w:r>
      <w:bookmarkStart w:id="3" w:name="_GoBack"/>
      <w:bookmarkEnd w:id="3"/>
      <w:r>
        <w:rPr>
          <w:rFonts w:eastAsia="NSimSun"/>
          <w:sz w:val="22"/>
          <w:szCs w:val="22"/>
          <w:lang w:eastAsia="ru-RU"/>
        </w:rPr>
        <w:t>0 % — в течение 7 рабочих дней после поставки и подписания документа о приемке без замечаний, с зачетом аванса. Порядок расчетов при поставке до перечисления аванса установлен проектом договора.</w:t>
      </w:r>
    </w:p>
    <w:sectPr>
      <w:pgSz w:w="11906" w:h="16838"/>
      <w:pgMar w:top="1134" w:right="850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E"/>
    <w:rsid w:val="00015FB6"/>
    <w:rsid w:val="00031F2A"/>
    <w:rsid w:val="00035B40"/>
    <w:rsid w:val="00075E41"/>
    <w:rsid w:val="00077383"/>
    <w:rsid w:val="000D7712"/>
    <w:rsid w:val="00184D08"/>
    <w:rsid w:val="00195483"/>
    <w:rsid w:val="001B74B7"/>
    <w:rsid w:val="001F7B0D"/>
    <w:rsid w:val="00267110"/>
    <w:rsid w:val="00276D2C"/>
    <w:rsid w:val="002D5455"/>
    <w:rsid w:val="0033283B"/>
    <w:rsid w:val="00353575"/>
    <w:rsid w:val="003A4E55"/>
    <w:rsid w:val="003C7C62"/>
    <w:rsid w:val="0040391E"/>
    <w:rsid w:val="004430C0"/>
    <w:rsid w:val="00470595"/>
    <w:rsid w:val="00475A81"/>
    <w:rsid w:val="004F0495"/>
    <w:rsid w:val="004F3D4C"/>
    <w:rsid w:val="005353EA"/>
    <w:rsid w:val="005507E4"/>
    <w:rsid w:val="005743B2"/>
    <w:rsid w:val="0058077D"/>
    <w:rsid w:val="005C42EF"/>
    <w:rsid w:val="0060245D"/>
    <w:rsid w:val="0060586E"/>
    <w:rsid w:val="00611487"/>
    <w:rsid w:val="00631EE5"/>
    <w:rsid w:val="006A5D35"/>
    <w:rsid w:val="006D767B"/>
    <w:rsid w:val="00786AA8"/>
    <w:rsid w:val="007C4794"/>
    <w:rsid w:val="007F2E15"/>
    <w:rsid w:val="008565D4"/>
    <w:rsid w:val="00881199"/>
    <w:rsid w:val="009054C0"/>
    <w:rsid w:val="009862A9"/>
    <w:rsid w:val="009A4F2F"/>
    <w:rsid w:val="009A7F71"/>
    <w:rsid w:val="009B7BCC"/>
    <w:rsid w:val="009E41A2"/>
    <w:rsid w:val="00A13519"/>
    <w:rsid w:val="00A15E21"/>
    <w:rsid w:val="00A444CB"/>
    <w:rsid w:val="00A91F5E"/>
    <w:rsid w:val="00AB637E"/>
    <w:rsid w:val="00AC55CB"/>
    <w:rsid w:val="00B527A9"/>
    <w:rsid w:val="00B71352"/>
    <w:rsid w:val="00B92776"/>
    <w:rsid w:val="00C57134"/>
    <w:rsid w:val="00C60B86"/>
    <w:rsid w:val="00C8506D"/>
    <w:rsid w:val="00C929BD"/>
    <w:rsid w:val="00CC37FB"/>
    <w:rsid w:val="00CC4B91"/>
    <w:rsid w:val="00CF3ABA"/>
    <w:rsid w:val="00D14616"/>
    <w:rsid w:val="00D26FFC"/>
    <w:rsid w:val="00D75C0D"/>
    <w:rsid w:val="00E038F4"/>
    <w:rsid w:val="00E66A0A"/>
    <w:rsid w:val="00E87279"/>
    <w:rsid w:val="00E9260C"/>
    <w:rsid w:val="00F55B42"/>
    <w:rsid w:val="00F61E39"/>
    <w:rsid w:val="00FF48DF"/>
    <w:rsid w:val="22BE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59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Paragraph"/>
    <w:basedOn w:val="1"/>
    <w:qFormat/>
    <w:uiPriority w:val="1"/>
    <w:pPr>
      <w:widowControl w:val="0"/>
      <w:suppressAutoHyphens w:val="0"/>
      <w:autoSpaceDE w:val="0"/>
      <w:autoSpaceDN w:val="0"/>
    </w:pPr>
    <w:rPr>
      <w:sz w:val="24"/>
      <w:szCs w:val="24"/>
      <w:lang w:eastAsia="ru-RU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futurisfootnotegroup"/>
    <w:basedOn w:val="2"/>
    <w:uiPriority w:val="0"/>
  </w:style>
  <w:style w:type="character" w:customStyle="1" w:styleId="11">
    <w:name w:val="markdown-word"/>
    <w:basedOn w:val="2"/>
    <w:uiPriority w:val="0"/>
  </w:style>
  <w:style w:type="character" w:customStyle="1" w:styleId="12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E8290-D8FE-4986-B4C8-63D72E38B2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704</Words>
  <Characters>4183</Characters>
  <Lines>34</Lines>
  <Paragraphs>9</Paragraphs>
  <TotalTime>85</TotalTime>
  <ScaleCrop>false</ScaleCrop>
  <LinksUpToDate>false</LinksUpToDate>
  <CharactersWithSpaces>4820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2026-08-12T08:25:00Z</dcterms:created>
  <dc:creator>Igor</dc:creator>
  <cp:lastModifiedBy>Хачиев М Б</cp:lastModifiedBy>
  <dcterms:modified xsi:type="dcterms:W3CDTF">2026-10-02T12:04:11Z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eyJoZGlkIjoiODdhNDUzNGRlNTE5YzVmYTg3YWFlMTRhZjgxYWZhYzkifQ==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CF8AB11580224A828923E7C0E37903A7_12</vt:lpwstr>
  </property>
</Properties>
</file>