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bCs/>
          <w:sz w:val="28"/>
          <w:szCs w:val="28"/>
        </w:rPr>
      </w:pPr>
      <w:r>
        <w:rPr>
          <w:bCs/>
          <w:sz w:val="28"/>
          <w:szCs w:val="28"/>
        </w:rPr>
        <w:t>ГОСУДАРСТВЕННОЕ УНИТАРНОЕ ПРЕДПРИЯТИЕ ГОРОДА СЕВАСТОПОЛЯ «СЕВЭЛЕКТРОАВТОТРАНС ИМ. А.С. КРУПОДЁРОВА»</w:t>
      </w:r>
    </w:p>
    <w:p>
      <w:pPr>
        <w:pStyle w:val="Normal"/>
        <w:spacing w:lineRule="auto" w:line="240" w:before="0" w:after="0"/>
        <w:ind w:left="5387"/>
        <w:rPr>
          <w:b/>
          <w:bCs/>
        </w:rPr>
      </w:pPr>
      <w:r>
        <w:rPr>
          <w:b/>
          <w:bCs/>
        </w:rPr>
      </w:r>
    </w:p>
    <w:p>
      <w:pPr>
        <w:pStyle w:val="Normal"/>
        <w:spacing w:lineRule="auto" w:line="240" w:before="0" w:after="0"/>
        <w:ind w:left="5387"/>
        <w:rPr>
          <w:b/>
          <w:bCs/>
        </w:rPr>
      </w:pPr>
      <w:r>
        <w:rPr>
          <w:b/>
          <w:bCs/>
        </w:rPr>
      </w:r>
    </w:p>
    <w:p>
      <w:pPr>
        <w:pStyle w:val="Normal"/>
        <w:spacing w:lineRule="auto" w:line="240" w:before="0" w:after="0"/>
        <w:ind w:left="5387"/>
        <w:rPr>
          <w:bCs/>
        </w:rPr>
      </w:pPr>
      <w:r>
        <w:rPr>
          <w:bCs/>
        </w:rPr>
      </w:r>
    </w:p>
    <w:p>
      <w:pPr>
        <w:pStyle w:val="Normal"/>
        <w:spacing w:lineRule="auto" w:line="240" w:before="0" w:after="0"/>
        <w:ind w:left="5387"/>
        <w:rPr>
          <w:bCs/>
        </w:rPr>
      </w:pPr>
      <w:r>
        <w:rPr>
          <w:bCs/>
        </w:rPr>
      </w:r>
    </w:p>
    <w:p>
      <w:pPr>
        <w:pStyle w:val="Normal"/>
        <w:tabs>
          <w:tab w:val="clear" w:pos="708"/>
          <w:tab w:val="left" w:pos="0" w:leader="none"/>
        </w:tabs>
        <w:spacing w:lineRule="auto" w:line="240" w:before="0" w:after="0"/>
        <w:ind w:left="6600"/>
        <w:jc w:val="right"/>
        <w:rPr>
          <w:bCs/>
        </w:rPr>
      </w:pPr>
      <w:r>
        <w:rPr>
          <w:bCs/>
        </w:rPr>
        <w:t>УТВЕРЖДАЮ</w:t>
      </w:r>
    </w:p>
    <w:p>
      <w:pPr>
        <w:pStyle w:val="Normal"/>
        <w:spacing w:lineRule="auto" w:line="240" w:before="0" w:after="0"/>
        <w:ind w:left="6600"/>
        <w:jc w:val="right"/>
        <w:rPr>
          <w:bCs/>
        </w:rPr>
      </w:pPr>
      <w:r>
        <w:rPr>
          <w:bCs/>
        </w:rPr>
        <w:t>Директор</w:t>
      </w:r>
    </w:p>
    <w:p>
      <w:pPr>
        <w:pStyle w:val="Normal"/>
        <w:spacing w:lineRule="auto" w:line="240" w:before="0" w:after="0"/>
        <w:ind w:left="6600"/>
        <w:jc w:val="right"/>
        <w:rPr>
          <w:bCs/>
        </w:rPr>
      </w:pPr>
      <w:r>
        <w:rPr>
          <w:bCs/>
        </w:rPr>
        <w:t>ГУП «Севэлектроавтотранс</w:t>
      </w:r>
    </w:p>
    <w:p>
      <w:pPr>
        <w:pStyle w:val="Normal"/>
        <w:spacing w:lineRule="auto" w:line="240" w:before="0" w:after="0"/>
        <w:ind w:left="6600"/>
        <w:jc w:val="right"/>
        <w:rPr>
          <w:bCs/>
        </w:rPr>
      </w:pPr>
      <w:r>
        <w:rPr>
          <w:bCs/>
        </w:rPr>
        <w:t>им. А.С. Круподёрова»</w:t>
      </w:r>
    </w:p>
    <w:p>
      <w:pPr>
        <w:pStyle w:val="Normal"/>
        <w:spacing w:lineRule="auto" w:line="240" w:before="0" w:after="0"/>
        <w:ind w:left="6600"/>
        <w:jc w:val="right"/>
        <w:rPr>
          <w:bCs/>
        </w:rPr>
      </w:pPr>
      <w:r>
        <w:rPr>
          <w:bCs/>
        </w:rPr>
        <w:t>____________ Д.В. Будыш</w:t>
      </w:r>
    </w:p>
    <w:p>
      <w:pPr>
        <w:pStyle w:val="Normal"/>
        <w:spacing w:lineRule="auto" w:line="240" w:before="0" w:after="0"/>
        <w:ind w:left="6600"/>
        <w:jc w:val="right"/>
        <w:rPr>
          <w:bCs/>
        </w:rPr>
      </w:pPr>
      <w:r>
        <w:rPr>
          <w:bCs/>
        </w:rPr>
        <w:t>«___» ____________2026 г.</w:t>
      </w:r>
    </w:p>
    <w:p>
      <w:pPr>
        <w:pStyle w:val="Normal"/>
        <w:spacing w:lineRule="auto" w:line="240" w:before="0" w:after="0"/>
        <w:ind w:left="5387"/>
        <w:rPr>
          <w:b/>
        </w:rPr>
      </w:pPr>
      <w:r>
        <w:rPr>
          <w:b/>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sz w:val="28"/>
          <w:szCs w:val="28"/>
        </w:rPr>
      </w:pPr>
      <w:r>
        <w:rPr>
          <w:b/>
          <w:color w:val="000000"/>
          <w:sz w:val="28"/>
          <w:szCs w:val="28"/>
        </w:rPr>
        <w:t>ИЗВЕЩЕНИЕ</w:t>
      </w:r>
    </w:p>
    <w:p>
      <w:pPr>
        <w:pStyle w:val="Normal"/>
        <w:spacing w:lineRule="auto" w:line="240" w:before="0" w:after="0"/>
        <w:jc w:val="center"/>
        <w:rPr>
          <w:b/>
          <w:color w:val="000000"/>
          <w:sz w:val="28"/>
          <w:szCs w:val="28"/>
        </w:rPr>
      </w:pPr>
      <w:r>
        <w:rPr>
          <w:b/>
          <w:color w:val="000000"/>
          <w:sz w:val="28"/>
          <w:szCs w:val="28"/>
        </w:rPr>
        <w:t>НА ПРОВЕДЕНИЕ ЗАПРОСА КОТИРОВОК В ЭЛЕКТРОННОЙ ФОРМЕ</w:t>
      </w:r>
    </w:p>
    <w:p>
      <w:pPr>
        <w:pStyle w:val="Normal"/>
        <w:spacing w:lineRule="auto" w:line="240" w:before="0" w:after="0"/>
        <w:jc w:val="center"/>
        <w:rPr>
          <w:b/>
          <w:color w:val="000000"/>
          <w:sz w:val="28"/>
          <w:szCs w:val="28"/>
        </w:rPr>
      </w:pPr>
      <w:r>
        <w:rPr>
          <w:b/>
          <w:color w:val="000000"/>
          <w:sz w:val="28"/>
          <w:szCs w:val="28"/>
        </w:rPr>
      </w:r>
    </w:p>
    <w:p>
      <w:pPr>
        <w:pStyle w:val="Normal"/>
        <w:spacing w:lineRule="auto" w:line="240" w:before="0" w:after="0"/>
        <w:ind w:right="-1"/>
        <w:jc w:val="center"/>
        <w:rPr>
          <w:sz w:val="28"/>
          <w:szCs w:val="28"/>
        </w:rPr>
      </w:pPr>
      <w:r>
        <w:rPr>
          <w:b/>
          <w:bCs/>
          <w:sz w:val="28"/>
          <w:szCs w:val="28"/>
        </w:rPr>
        <w:t xml:space="preserve">№ </w:t>
      </w:r>
      <w:r>
        <w:rPr>
          <w:b/>
          <w:bCs/>
          <w:sz w:val="28"/>
          <w:szCs w:val="28"/>
        </w:rPr>
        <w:t>445-ЗК-223-26</w:t>
      </w:r>
    </w:p>
    <w:p>
      <w:pPr>
        <w:pStyle w:val="Normal"/>
        <w:spacing w:lineRule="auto" w:line="240" w:before="0" w:after="0"/>
        <w:ind w:right="-1"/>
        <w:jc w:val="center"/>
        <w:rPr>
          <w:rFonts w:ascii="Times New Roman" w:hAnsi="Times New Roman"/>
          <w:b/>
          <w:bCs/>
          <w:sz w:val="28"/>
          <w:szCs w:val="28"/>
        </w:rPr>
      </w:pPr>
      <w:r>
        <w:rPr>
          <w:b/>
          <w:bCs/>
          <w:sz w:val="28"/>
          <w:szCs w:val="28"/>
        </w:rPr>
      </w:r>
    </w:p>
    <w:p>
      <w:pPr>
        <w:pStyle w:val="Normal"/>
        <w:keepNext w:val="false"/>
        <w:keepLines w:val="false"/>
        <w:widowControl w:val="false"/>
        <w:overflowPunct w:val="false"/>
        <w:bidi w:val="0"/>
        <w:snapToGrid w:val="true"/>
        <w:spacing w:lineRule="auto" w:line="240" w:before="0" w:after="0"/>
        <w:ind w:hanging="0" w:left="0"/>
        <w:jc w:val="center"/>
        <w:textAlignment w:val="auto"/>
        <w:rPr>
          <w:sz w:val="28"/>
          <w:szCs w:val="28"/>
        </w:rPr>
      </w:pPr>
      <w:r>
        <w:rPr>
          <w:rFonts w:eastAsia="" w:cs="Times New Roman"/>
          <w:b/>
          <w:bCs/>
          <w:i w:val="false"/>
          <w:iCs w:val="false"/>
          <w:strike w:val="false"/>
          <w:dstrike w:val="false"/>
          <w:outline w:val="false"/>
          <w:shadow w:val="false"/>
          <w:color w:val="000000"/>
          <w:kern w:val="2"/>
          <w:sz w:val="28"/>
          <w:szCs w:val="28"/>
          <w:u w:val="none"/>
          <w:em w:val="none"/>
          <w:lang w:val="ru-RU" w:eastAsia="ru-RU" w:bidi="ar-SA"/>
        </w:rPr>
        <w:t>«Поставка монолитного поликарбоната»</w:t>
      </w:r>
    </w:p>
    <w:p>
      <w:pPr>
        <w:pStyle w:val="Normal"/>
        <w:spacing w:lineRule="auto" w:line="240" w:before="0" w:after="0"/>
        <w:jc w:val="center"/>
        <w:rPr>
          <w:b/>
          <w:bCs/>
          <w:i w:val="false"/>
          <w:i w:val="false"/>
          <w:iCs w:val="false"/>
          <w:sz w:val="32"/>
          <w:szCs w:val="32"/>
        </w:rPr>
      </w:pPr>
      <w:r>
        <w:rPr>
          <w:b/>
          <w:bCs/>
          <w:i w:val="false"/>
          <w:iCs w:val="false"/>
          <w:sz w:val="32"/>
          <w:szCs w:val="32"/>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color w:val="000000"/>
        </w:rPr>
      </w:pPr>
      <w:r>
        <w:rPr>
          <w:b/>
          <w:bCs/>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t>г. Севастополь 2026</w:t>
      </w:r>
      <w:r>
        <w:br w:type="page"/>
      </w:r>
    </w:p>
    <w:p>
      <w:pPr>
        <w:pStyle w:val="Normal"/>
        <w:spacing w:before="0" w:after="160"/>
        <w:jc w:val="center"/>
        <w:rPr>
          <w:b/>
          <w:bCs/>
        </w:rPr>
      </w:pPr>
      <w:r>
        <w:rPr>
          <w:b/>
          <w:bCs/>
        </w:rPr>
        <w:t>ИЗВЕЩЕНИЕ О ПРОВЕДЕНИИ ЗАПРОСА КОТИРОВОК В ЭЛЕКТРОННОЙ ФОРМЕ</w:t>
      </w:r>
    </w:p>
    <w:p>
      <w:pPr>
        <w:pStyle w:val="Normal"/>
        <w:spacing w:lineRule="auto" w:line="240" w:before="0" w:after="0"/>
        <w:jc w:val="center"/>
        <w:rPr/>
      </w:pPr>
      <w:r>
        <w:rPr>
          <w:sz w:val="22"/>
          <w:szCs w:val="22"/>
        </w:rPr>
        <w:t xml:space="preserve">Общая информация о заказе для размещения на сайте </w:t>
      </w:r>
      <w:hyperlink r:id="rId2">
        <w:r>
          <w:rPr>
            <w:rStyle w:val="Style"/>
            <w:sz w:val="22"/>
            <w:szCs w:val="22"/>
          </w:rPr>
          <w:t>www.zakupki.gov.ru</w:t>
        </w:r>
      </w:hyperlink>
    </w:p>
    <w:tbl>
      <w:tblPr>
        <w:tblStyle w:val="12"/>
        <w:tblW w:w="10030" w:type="dxa"/>
        <w:jc w:val="center"/>
        <w:tblInd w:w="0" w:type="dxa"/>
        <w:tblLayout w:type="fixed"/>
        <w:tblCellMar>
          <w:top w:w="57" w:type="dxa"/>
          <w:left w:w="57" w:type="dxa"/>
          <w:bottom w:w="57" w:type="dxa"/>
          <w:right w:w="57" w:type="dxa"/>
        </w:tblCellMar>
      </w:tblPr>
      <w:tblGrid>
        <w:gridCol w:w="421"/>
        <w:gridCol w:w="2755"/>
        <w:gridCol w:w="6854"/>
      </w:tblGrid>
      <w:tr>
        <w:trPr>
          <w:trHeight w:val="25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7"/>
              </w:numPr>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Способ размещения заказа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Запрос котировок в электронной форме (далее - запрос котировок).</w:t>
            </w:r>
          </w:p>
        </w:tc>
      </w:tr>
      <w:tr>
        <w:trPr>
          <w:trHeight w:val="171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Наименование заказчика, место нахождения, контрактная информация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rPr>
                <w:sz w:val="22"/>
                <w:szCs w:val="22"/>
                <w:shd w:fill="E1DFDD" w:val="clear"/>
              </w:rPr>
            </w:pPr>
            <w:r>
              <w:rPr>
                <w:sz w:val="22"/>
                <w:szCs w:val="22"/>
                <w:shd w:fill="auto" w:val="clear"/>
              </w:rPr>
              <w:t>Государственное унитарное предприятие города Севастополя «Севэлектроавтотранс им. А.С. Круподёрова» (сокращённое наименование - ГУП «Севэлектроавтотранс им. А.С. Круподёрова»).</w:t>
            </w:r>
          </w:p>
          <w:p>
            <w:pPr>
              <w:pStyle w:val="Normal"/>
              <w:spacing w:lineRule="auto" w:line="240" w:before="0" w:after="0"/>
              <w:rPr>
                <w:sz w:val="22"/>
                <w:szCs w:val="22"/>
                <w:shd w:fill="E1DFDD" w:val="clear"/>
              </w:rPr>
            </w:pPr>
            <w:r>
              <w:rPr>
                <w:color w:val="000000"/>
                <w:sz w:val="22"/>
                <w:szCs w:val="22"/>
                <w:shd w:fill="auto" w:val="clear"/>
              </w:rPr>
              <w:t>Юридический адрес: 299003, г. Севастополь, ул. Льва Толстого, 51.</w:t>
            </w:r>
          </w:p>
          <w:p>
            <w:pPr>
              <w:pStyle w:val="Normal"/>
              <w:spacing w:lineRule="auto" w:line="240" w:before="0" w:after="0"/>
              <w:rPr>
                <w:sz w:val="22"/>
                <w:szCs w:val="22"/>
                <w:shd w:fill="E1DFDD" w:val="clear"/>
              </w:rPr>
            </w:pPr>
            <w:r>
              <w:rPr>
                <w:color w:val="000000"/>
                <w:sz w:val="22"/>
                <w:szCs w:val="22"/>
                <w:shd w:fill="auto" w:val="clear"/>
              </w:rPr>
              <w:t>Почтовый адрес: 299003, г. Севастополь, ул. Льва Толстого, 51.</w:t>
            </w:r>
          </w:p>
          <w:p>
            <w:pPr>
              <w:pStyle w:val="Normal"/>
              <w:snapToGrid w:val="false"/>
              <w:spacing w:before="0" w:after="0"/>
              <w:jc w:val="both"/>
              <w:rPr>
                <w:shd w:fill="E1DFDD" w:val="clear"/>
              </w:rPr>
            </w:pPr>
            <w:r>
              <w:rPr>
                <w:b/>
                <w:bCs/>
                <w:color w:val="000000"/>
                <w:sz w:val="22"/>
                <w:szCs w:val="22"/>
                <w:shd w:fill="auto" w:val="clear"/>
              </w:rPr>
              <w:t>Инициаторы закупки:</w:t>
            </w:r>
            <w:r>
              <w:rPr>
                <w:color w:val="000000"/>
                <w:sz w:val="22"/>
                <w:szCs w:val="22"/>
                <w:shd w:fill="auto" w:val="clear"/>
              </w:rPr>
              <w:t xml:space="preserve"> Начальник управления ремонта Кухарев Пётр Васильевич</w:t>
            </w:r>
            <w:r>
              <w:rPr>
                <w:rStyle w:val="Hyperlink"/>
                <w:color w:val="000000"/>
                <w:sz w:val="22"/>
                <w:szCs w:val="22"/>
                <w:u w:val="none"/>
                <w:shd w:fill="auto" w:val="clear"/>
              </w:rPr>
              <w:t xml:space="preserve">, e-mail: </w:t>
            </w:r>
            <w:r>
              <w:rPr>
                <w:rStyle w:val="Hyperlink"/>
                <w:rFonts w:cs="Arial"/>
                <w:b w:val="false"/>
                <w:i w:val="false"/>
                <w:caps w:val="false"/>
                <w:smallCaps w:val="false"/>
                <w:color w:val="2C2D2E"/>
                <w:spacing w:val="0"/>
                <w:sz w:val="22"/>
                <w:szCs w:val="22"/>
                <w:u w:val="none"/>
                <w:shd w:fill="auto" w:val="clear"/>
              </w:rPr>
              <w:t>p.kukharev@seat92.ru</w:t>
            </w:r>
            <w:r>
              <w:rPr>
                <w:color w:val="000000"/>
                <w:sz w:val="22"/>
                <w:szCs w:val="22"/>
                <w:shd w:fill="auto" w:val="clear"/>
              </w:rPr>
              <w:t>;</w:t>
            </w:r>
          </w:p>
          <w:p>
            <w:pPr>
              <w:pStyle w:val="Normal"/>
              <w:snapToGrid w:val="false"/>
              <w:spacing w:before="0" w:after="0"/>
              <w:jc w:val="both"/>
              <w:rPr>
                <w:shd w:fill="E1DFDD" w:val="clear"/>
              </w:rPr>
            </w:pPr>
            <w:r>
              <w:rPr>
                <w:rStyle w:val="Hyperlink"/>
                <w:rFonts w:cs="Arial"/>
                <w:b/>
                <w:bCs/>
                <w:color w:val="000000"/>
                <w:sz w:val="22"/>
                <w:szCs w:val="22"/>
                <w:u w:val="none"/>
                <w:shd w:fill="auto" w:val="clear"/>
              </w:rPr>
              <w:t>Техническая часть:</w:t>
            </w:r>
            <w:r>
              <w:rPr>
                <w:rStyle w:val="Hyperlink"/>
                <w:rFonts w:cs="Arial"/>
                <w:b w:val="false"/>
                <w:bCs w:val="false"/>
                <w:color w:val="000000"/>
                <w:sz w:val="22"/>
                <w:szCs w:val="22"/>
                <w:u w:val="none"/>
                <w:shd w:fill="auto" w:val="clear"/>
              </w:rPr>
              <w:t xml:space="preserve"> Начальник РХС Конюхов Сергей Валентинович, тел: +7 (8692) 55-77-26, e-mail: </w:t>
            </w:r>
            <w:hyperlink r:id="rId3">
              <w:r>
                <w:rPr>
                  <w:rStyle w:val="Hyperlink"/>
                  <w:rFonts w:cs="Arial"/>
                  <w:b w:val="false"/>
                  <w:bCs w:val="false"/>
                  <w:i w:val="false"/>
                  <w:caps w:val="false"/>
                  <w:smallCaps w:val="false"/>
                  <w:color w:val="2C2D2E"/>
                  <w:spacing w:val="0"/>
                  <w:sz w:val="22"/>
                  <w:szCs w:val="22"/>
                  <w:u w:val="none"/>
                  <w:shd w:fill="auto" w:val="clear"/>
                </w:rPr>
                <w:t>rhs@seat92.ru</w:t>
              </w:r>
            </w:hyperlink>
            <w:r>
              <w:rPr>
                <w:rStyle w:val="Hyperlink"/>
                <w:rFonts w:cs="Arial"/>
                <w:b w:val="false"/>
                <w:bCs w:val="false"/>
                <w:color w:val="000000"/>
                <w:sz w:val="22"/>
                <w:szCs w:val="22"/>
                <w:u w:val="none"/>
                <w:shd w:fill="auto" w:val="clear"/>
              </w:rPr>
              <w:t xml:space="preserve">; Инженер-технолог РХС Аржинтарь Эдгар Георгиевич, тел: +7 (8692) 55-77-26, e-mail: </w:t>
            </w:r>
            <w:r>
              <w:rPr>
                <w:rStyle w:val="Hyperlink"/>
                <w:rFonts w:cs="Arial"/>
                <w:b w:val="false"/>
                <w:bCs w:val="false"/>
                <w:i w:val="false"/>
                <w:caps w:val="false"/>
                <w:smallCaps w:val="false"/>
                <w:color w:val="2C2D2E"/>
                <w:spacing w:val="0"/>
                <w:sz w:val="22"/>
                <w:szCs w:val="22"/>
                <w:u w:val="none"/>
                <w:shd w:fill="auto" w:val="clear"/>
              </w:rPr>
              <w:t>e.arzhintar@seat92.ru</w:t>
            </w:r>
            <w:r>
              <w:rPr>
                <w:rStyle w:val="Hyperlink"/>
                <w:rFonts w:cs="Arial"/>
                <w:b w:val="false"/>
                <w:bCs w:val="false"/>
                <w:i w:val="false"/>
                <w:caps w:val="false"/>
                <w:smallCaps w:val="false"/>
                <w:color w:val="000000"/>
                <w:spacing w:val="0"/>
                <w:sz w:val="22"/>
                <w:szCs w:val="22"/>
                <w:u w:val="none"/>
                <w:shd w:fill="auto" w:val="clear"/>
              </w:rPr>
              <w:t>;</w:t>
            </w:r>
          </w:p>
          <w:p>
            <w:pPr>
              <w:pStyle w:val="Normal"/>
              <w:widowControl w:val="false"/>
              <w:overflowPunct w:val="true"/>
              <w:snapToGrid w:val="false"/>
              <w:spacing w:before="0" w:after="0"/>
              <w:jc w:val="both"/>
              <w:rPr>
                <w:shd w:fill="E1DFDD" w:val="clear"/>
              </w:rPr>
            </w:pPr>
            <w:r>
              <w:rPr>
                <w:rStyle w:val="Hyperlink"/>
                <w:rFonts w:cs="Times New Roman"/>
                <w:b/>
                <w:bCs/>
                <w:i w:val="false"/>
                <w:caps w:val="false"/>
                <w:smallCaps w:val="false"/>
                <w:color w:val="000000"/>
                <w:spacing w:val="0"/>
                <w:sz w:val="22"/>
                <w:szCs w:val="22"/>
                <w:u w:val="none"/>
                <w:shd w:fill="auto" w:val="clear"/>
                <w:lang w:val="ru-RU"/>
              </w:rPr>
              <w:t xml:space="preserve">Закупочная документация: </w:t>
            </w:r>
            <w:r>
              <w:rPr>
                <w:rStyle w:val="Hyperlink"/>
                <w:rFonts w:cs="Times New Roman"/>
                <w:b w:val="false"/>
                <w:bCs w:val="false"/>
                <w:i w:val="false"/>
                <w:caps w:val="false"/>
                <w:smallCaps w:val="false"/>
                <w:color w:val="000000"/>
                <w:spacing w:val="0"/>
                <w:sz w:val="22"/>
                <w:szCs w:val="22"/>
                <w:u w:val="none"/>
                <w:shd w:fill="auto" w:val="clear"/>
                <w:lang w:val="ru-RU"/>
              </w:rPr>
              <w:t>отдел проведения закупочных процедур, тел.: +79782541768, e-mail: opzp@seat92.ru.</w:t>
            </w:r>
          </w:p>
        </w:tc>
      </w:tr>
      <w:tr>
        <w:trPr>
          <w:trHeight w:val="397"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9"/>
              </w:numPr>
              <w:tabs>
                <w:tab w:val="clear" w:pos="708"/>
                <w:tab w:val="left" w:pos="0" w:leader="none"/>
              </w:tabs>
              <w:snapToGrid w:val="false"/>
              <w:spacing w:lineRule="auto" w:line="240" w:before="0" w:after="0"/>
              <w:ind w:hanging="357" w:left="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hd w:val="clear" w:color="auto" w:fill="FFFFFF"/>
              <w:spacing w:lineRule="auto" w:line="240" w:before="0" w:after="0"/>
              <w:jc w:val="both"/>
              <w:rPr>
                <w:highlight w:val="none"/>
                <w:shd w:fill="auto" w:val="clear"/>
              </w:rPr>
            </w:pPr>
            <w:r>
              <w:rPr>
                <w:sz w:val="22"/>
                <w:szCs w:val="22"/>
                <w:shd w:fill="auto" w:val="clear"/>
              </w:rPr>
              <w:t>Наименование объекта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overflowPunct w:val="false"/>
              <w:bidi w:val="0"/>
              <w:snapToGrid w:val="true"/>
              <w:spacing w:lineRule="auto" w:line="240" w:before="0" w:after="0"/>
              <w:ind w:hanging="0" w:left="0"/>
              <w:textAlignment w:val="auto"/>
              <w:rPr>
                <w:sz w:val="22"/>
                <w:szCs w:val="22"/>
                <w:shd w:fill="E1DFDD" w:val="clear"/>
              </w:rPr>
            </w:pPr>
            <w:r>
              <w:rPr>
                <w:rFonts w:eastAsia="" w:cs="Times New Roman"/>
                <w:b/>
                <w:bCs/>
                <w:i w:val="false"/>
                <w:strike w:val="false"/>
                <w:dstrike w:val="false"/>
                <w:outline w:val="false"/>
                <w:shadow w:val="false"/>
                <w:color w:val="000000"/>
                <w:kern w:val="2"/>
                <w:sz w:val="22"/>
                <w:szCs w:val="22"/>
                <w:u w:val="none"/>
                <w:shd w:fill="auto" w:val="clear"/>
                <w:em w:val="none"/>
                <w:lang w:val="ru-RU" w:eastAsia="ru-RU" w:bidi="ar-SA"/>
              </w:rPr>
              <w:t>«Поставка монолитного поликарбоната»</w:t>
            </w:r>
          </w:p>
          <w:p>
            <w:pPr>
              <w:pStyle w:val="Normal"/>
              <w:widowControl w:val="false"/>
              <w:overflowPunct w:val="false"/>
              <w:bidi w:val="0"/>
              <w:snapToGrid w:val="true"/>
              <w:spacing w:lineRule="auto" w:line="240" w:before="0" w:after="0"/>
              <w:ind w:hanging="0" w:left="0"/>
              <w:jc w:val="both"/>
              <w:textAlignment w:val="auto"/>
              <w:rPr>
                <w:sz w:val="22"/>
                <w:szCs w:val="22"/>
                <w:highlight w:val="none"/>
                <w:shd w:fill="auto" w:val="clear"/>
              </w:rPr>
            </w:pPr>
            <w:r>
              <w:rPr>
                <w:sz w:val="22"/>
                <w:szCs w:val="22"/>
                <w:shd w:fill="auto" w:val="clear"/>
              </w:rPr>
            </w:r>
          </w:p>
          <w:p>
            <w:pPr>
              <w:pStyle w:val="Style28"/>
              <w:spacing w:lineRule="auto" w:line="240"/>
              <w:ind w:right="286"/>
              <w:rPr>
                <w:shd w:fill="E1DFDD" w:val="clear"/>
              </w:rPr>
            </w:pPr>
            <w:r>
              <w:rPr>
                <w:rStyle w:val="hps"/>
                <w:rFonts w:eastAsia="" w:cs="PT Astra Serif"/>
                <w:b w:val="false"/>
                <w:bCs w:val="false"/>
                <w:color w:val="000000"/>
                <w:spacing w:val="1"/>
                <w:kern w:val="2"/>
                <w:sz w:val="22"/>
                <w:szCs w:val="22"/>
                <w:u w:val="none"/>
                <w:shd w:fill="auto" w:val="clear"/>
                <w:lang w:val="ru-RU" w:eastAsia="ru-RU" w:bidi="ar-SA"/>
              </w:rPr>
              <w:t xml:space="preserve">ОКПД2: </w:t>
            </w:r>
            <w:r>
              <w:rPr>
                <w:rStyle w:val="hps"/>
                <w:rFonts w:eastAsia="" w:cs="Times New Roman"/>
                <w:b w:val="false"/>
                <w:bCs w:val="false"/>
                <w:color w:val="000000"/>
                <w:spacing w:val="1"/>
                <w:kern w:val="2"/>
                <w:sz w:val="22"/>
                <w:szCs w:val="22"/>
                <w:u w:val="none"/>
                <w:shd w:fill="auto" w:val="clear"/>
                <w:lang w:val="ru-RU" w:eastAsia="ru-RU" w:bidi="ar-SA"/>
              </w:rPr>
              <w:t>(преимущество) — 20.16.40.140</w:t>
            </w:r>
          </w:p>
        </w:tc>
      </w:tr>
      <w:tr>
        <w:trPr>
          <w:trHeight w:val="25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b/>
                <w:sz w:val="22"/>
                <w:szCs w:val="22"/>
                <w:lang w:val="ru-RU"/>
              </w:rPr>
            </w:pPr>
            <w:r>
              <w:rPr>
                <w:rFonts w:cs="Times New Roman" w:ascii="Times New Roman" w:hAnsi="Times New Roman"/>
                <w:b/>
                <w:sz w:val="22"/>
                <w:szCs w:val="22"/>
                <w:shd w:fill="E1DFDD" w:val="clear"/>
                <w:lang w:val="ru-RU"/>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Описание объекта закупки (характеристики и количество поставляемого товара, объёма выполняемых работ, оказываемых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В соответствии с Техническим заданием (Приложение № 1 к Извещению).</w:t>
            </w:r>
          </w:p>
        </w:tc>
      </w:tr>
      <w:tr>
        <w:trPr>
          <w:trHeight w:val="1026"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1"/>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Место, условия и сроки поставки товара,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u w:val="none"/>
                <w:shd w:fill="auto" w:val="clear"/>
              </w:rPr>
              <w:t>Указано в Техническом задании (Приложение № 1 к настоящему Извещению) и Проекте договора (Приложение № 6 к настоящему Извещению).</w:t>
            </w:r>
          </w:p>
          <w:p>
            <w:pPr>
              <w:pStyle w:val="Normal"/>
              <w:spacing w:lineRule="auto" w:line="240" w:before="0" w:after="0"/>
              <w:contextualSpacing/>
              <w:jc w:val="both"/>
              <w:rPr>
                <w:highlight w:val="none"/>
                <w:shd w:fill="auto" w:val="clear"/>
              </w:rPr>
            </w:pPr>
            <w:r>
              <w:rPr>
                <w:sz w:val="22"/>
                <w:szCs w:val="22"/>
                <w:u w:val="none"/>
                <w:shd w:fill="auto" w:val="clear"/>
              </w:rPr>
              <w:t>Сроки поставки товара, выполнения работ, оказания услуг: в соответствии с Техническим заданием.</w:t>
            </w:r>
          </w:p>
          <w:p>
            <w:pPr>
              <w:pStyle w:val="Normal"/>
              <w:spacing w:lineRule="auto" w:line="240" w:before="0" w:after="0"/>
              <w:contextualSpacing/>
              <w:jc w:val="both"/>
              <w:rPr>
                <w:highlight w:val="none"/>
                <w:shd w:fill="auto" w:val="clear"/>
              </w:rPr>
            </w:pPr>
            <w:r>
              <w:rPr>
                <w:color w:val="000000"/>
                <w:sz w:val="22"/>
                <w:szCs w:val="22"/>
                <w:u w:val="none"/>
                <w:shd w:fill="auto" w:val="clear"/>
              </w:rPr>
              <w:t>Место поставки товара,</w:t>
            </w:r>
            <w:r>
              <w:rPr>
                <w:sz w:val="22"/>
                <w:szCs w:val="22"/>
                <w:u w:val="none"/>
                <w:shd w:fill="auto" w:val="clear"/>
              </w:rPr>
              <w:t xml:space="preserve"> выполнения работ, оказания услуг</w:t>
            </w:r>
            <w:r>
              <w:rPr>
                <w:color w:val="000000"/>
                <w:sz w:val="22"/>
                <w:szCs w:val="22"/>
                <w:u w:val="none"/>
                <w:shd w:fill="auto" w:val="clear"/>
              </w:rPr>
              <w:t xml:space="preserve">: </w:t>
            </w:r>
            <w:r>
              <w:rPr>
                <w:rFonts w:eastAsia="LiberationSerif"/>
                <w:color w:val="000000"/>
                <w:sz w:val="22"/>
                <w:szCs w:val="22"/>
                <w:u w:val="none"/>
                <w:shd w:fill="auto" w:val="clear"/>
                <w:lang w:eastAsia="zh-CN"/>
              </w:rPr>
              <w:t>в соответствии с Техническим заданием.</w:t>
            </w:r>
          </w:p>
          <w:p>
            <w:pPr>
              <w:pStyle w:val="Normal"/>
              <w:spacing w:lineRule="auto" w:line="240" w:before="0" w:after="0"/>
              <w:contextualSpacing/>
              <w:jc w:val="both"/>
              <w:rPr>
                <w:highlight w:val="none"/>
                <w:shd w:fill="auto" w:val="clear"/>
              </w:rPr>
            </w:pPr>
            <w:r>
              <w:rPr>
                <w:rFonts w:eastAsia="LiberationSerif"/>
                <w:color w:val="000000"/>
                <w:sz w:val="22"/>
                <w:szCs w:val="22"/>
                <w:u w:val="none"/>
                <w:shd w:fill="auto" w:val="clear"/>
                <w:lang w:eastAsia="zh-CN"/>
              </w:rPr>
              <w:t>Условия поставки товара,</w:t>
            </w:r>
            <w:r>
              <w:rPr>
                <w:sz w:val="22"/>
                <w:szCs w:val="22"/>
                <w:u w:val="none"/>
                <w:shd w:fill="auto" w:val="clear"/>
              </w:rPr>
              <w:t xml:space="preserve"> выполнения работ, оказания услуг:</w:t>
            </w:r>
          </w:p>
          <w:p>
            <w:pPr>
              <w:pStyle w:val="Normal"/>
              <w:spacing w:lineRule="auto" w:line="240" w:before="0" w:after="0"/>
              <w:contextualSpacing/>
              <w:jc w:val="both"/>
              <w:rPr>
                <w:highlight w:val="none"/>
                <w:shd w:fill="auto" w:val="clear"/>
              </w:rPr>
            </w:pPr>
            <w:r>
              <w:rPr>
                <w:rFonts w:eastAsia="SimSun;Times New Roman" w:cs="Times New Roman"/>
                <w:color w:val="000000"/>
                <w:sz w:val="22"/>
                <w:szCs w:val="22"/>
                <w:u w:val="none"/>
                <w:shd w:fill="auto" w:val="clear"/>
              </w:rPr>
              <w:t>в соответствии с Техническим заданием.</w:t>
            </w:r>
          </w:p>
        </w:tc>
      </w:tr>
      <w:tr>
        <w:trPr>
          <w:trHeight w:val="359"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2"/>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color w:val="000000"/>
                <w:sz w:val="22"/>
                <w:szCs w:val="22"/>
                <w:lang w:val="ru-RU"/>
              </w:rPr>
            </w:pPr>
            <w:r>
              <w:rPr>
                <w:rFonts w:cs="Times New Roman" w:ascii="Times New Roman" w:hAnsi="Times New Roman"/>
                <w:color w:val="000000"/>
                <w:sz w:val="22"/>
                <w:szCs w:val="22"/>
                <w:shd w:fill="E1DFDD" w:val="clear"/>
                <w:lang w:val="ru-RU"/>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Начальная (максимальная) цена договора (НМЦД)</w:t>
            </w:r>
          </w:p>
          <w:p>
            <w:pPr>
              <w:pStyle w:val="Normal"/>
              <w:spacing w:lineRule="auto" w:line="240" w:before="0" w:after="0"/>
              <w:contextualSpacing/>
              <w:jc w:val="both"/>
              <w:rPr>
                <w:sz w:val="22"/>
                <w:szCs w:val="22"/>
                <w:highlight w:val="none"/>
                <w:shd w:fill="auto" w:val="clear"/>
              </w:rPr>
            </w:pPr>
            <w:r>
              <w:rPr>
                <w:sz w:val="22"/>
                <w:szCs w:val="22"/>
                <w:shd w:fill="auto" w:val="clear"/>
              </w:rPr>
            </w:r>
          </w:p>
        </w:tc>
        <w:tc>
          <w:tcPr>
            <w:tcW w:w="6854"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both"/>
              <w:rPr>
                <w:color w:val="auto"/>
                <w:highlight w:val="none"/>
                <w:shd w:fill="auto" w:val="clear"/>
              </w:rPr>
            </w:pPr>
            <w:r>
              <w:rPr>
                <w:b/>
                <w:bCs/>
                <w:color w:val="000000"/>
                <w:sz w:val="22"/>
                <w:szCs w:val="22"/>
                <w:shd w:fill="auto" w:val="clear"/>
              </w:rPr>
              <w:t>Начальная (максимальная) цена договора установлена: 833 803,20</w:t>
            </w:r>
            <w:r>
              <w:rPr>
                <w:rFonts w:cs="Times New Roman"/>
                <w:b/>
                <w:bCs/>
                <w:color w:val="000000"/>
                <w:sz w:val="22"/>
                <w:szCs w:val="22"/>
                <w:shd w:fill="auto" w:val="clear"/>
                <w:lang w:val="ru-RU" w:eastAsia="ru-RU" w:bidi="ar-SA"/>
              </w:rPr>
              <w:t xml:space="preserve"> руб. </w:t>
            </w:r>
            <w:r>
              <w:rPr>
                <w:rFonts w:cs="Times New Roman"/>
                <w:b/>
                <w:bCs/>
                <w:i w:val="false"/>
                <w:strike w:val="false"/>
                <w:dstrike w:val="false"/>
                <w:outline w:val="false"/>
                <w:shadow w:val="false"/>
                <w:color w:val="000000"/>
                <w:sz w:val="22"/>
                <w:szCs w:val="22"/>
                <w:u w:val="none"/>
                <w:shd w:fill="auto" w:val="clear"/>
                <w:em w:val="none"/>
                <w:lang w:val="ru-RU" w:eastAsia="ru-RU" w:bidi="ar-SA"/>
              </w:rPr>
              <w:t>(Восемьсот тридцать три тысячи восемьсот три</w:t>
            </w:r>
            <w:r>
              <w:rPr>
                <w:b/>
                <w:i w:val="false"/>
                <w:strike w:val="false"/>
                <w:dstrike w:val="false"/>
                <w:outline w:val="false"/>
                <w:shadow w:val="false"/>
                <w:color w:val="000000"/>
                <w:sz w:val="22"/>
                <w:szCs w:val="22"/>
                <w:u w:val="none"/>
                <w:shd w:fill="auto" w:val="clear"/>
                <w:em w:val="none"/>
              </w:rPr>
              <w:t xml:space="preserve"> рубля 20 копеек).</w:t>
            </w:r>
          </w:p>
          <w:p>
            <w:pPr>
              <w:pStyle w:val="Normal"/>
              <w:spacing w:lineRule="auto" w:line="240" w:before="0" w:after="0"/>
              <w:jc w:val="both"/>
              <w:rPr>
                <w:color w:val="auto"/>
                <w:highlight w:val="none"/>
                <w:shd w:fill="auto" w:val="clear"/>
              </w:rPr>
            </w:pPr>
            <w:r>
              <w:rPr>
                <w:color w:val="000000"/>
                <w:sz w:val="22"/>
                <w:szCs w:val="22"/>
                <w:shd w:fill="auto" w:val="clear"/>
              </w:rPr>
              <w:t>НМЦД рассчитана из средней суммы цен за единицу товара.</w:t>
            </w:r>
          </w:p>
          <w:p>
            <w:pPr>
              <w:pStyle w:val="NoSpacing"/>
              <w:spacing w:lineRule="auto" w:line="240" w:before="0" w:after="0"/>
              <w:jc w:val="both"/>
              <w:rPr>
                <w:color w:val="auto"/>
                <w:highlight w:val="none"/>
                <w:shd w:fill="auto" w:val="clear"/>
              </w:rPr>
            </w:pPr>
            <w:r>
              <w:rPr>
                <w:bCs/>
                <w:color w:val="000000"/>
                <w:sz w:val="22"/>
                <w:szCs w:val="22"/>
                <w:shd w:fill="auto" w:val="clear"/>
              </w:rPr>
              <w:t>Расчёт начальной (максимальной) цены договора представлен в Приложении № 7 настоящего Извещения о проведении запроса котировок в электронной форме. НМЦД рассчитана методом сопоставимых рыночных цен и включает в себя все расходы, необходимые для осуществления обязательств по договору в полном объёме и надлежащего качества, в том числе все подлежащие к уплате налоги, сборы, отчисления и другие платежи, включая таможенные платежи с сборы и прочие расходы (согласно условиям договора).</w:t>
            </w:r>
          </w:p>
          <w:p>
            <w:pPr>
              <w:pStyle w:val="NoSpacing"/>
              <w:spacing w:lineRule="auto" w:line="240" w:before="0" w:after="0"/>
              <w:jc w:val="both"/>
              <w:rPr>
                <w:color w:val="auto"/>
                <w:highlight w:val="none"/>
                <w:shd w:fill="auto" w:val="clear"/>
              </w:rPr>
            </w:pPr>
            <w:r>
              <w:rPr>
                <w:bCs/>
                <w:color w:val="000000"/>
                <w:sz w:val="22"/>
                <w:szCs w:val="22"/>
                <w:shd w:fill="auto" w:val="clear"/>
              </w:rPr>
              <w:t>При подаче ценового предложения участником закупки, предложенная цена единицы товара (работы, услуги) не должна превышать среднюю цену за единицу товара, работы, услуги определённую в расчете НМЦД.</w:t>
            </w:r>
          </w:p>
          <w:p>
            <w:pPr>
              <w:pStyle w:val="Normal"/>
              <w:spacing w:lineRule="auto" w:line="240" w:before="0" w:after="0"/>
              <w:contextualSpacing/>
              <w:jc w:val="both"/>
              <w:rPr>
                <w:color w:val="auto"/>
                <w:highlight w:val="none"/>
                <w:shd w:fill="auto" w:val="clear"/>
              </w:rPr>
            </w:pPr>
            <w:r>
              <w:rPr>
                <w:color w:val="000000"/>
                <w:sz w:val="22"/>
                <w:szCs w:val="22"/>
                <w:shd w:fill="auto" w:val="clear"/>
              </w:rPr>
              <w:t>Все расходы должны быть включены в ценовое предложение участника закупки.</w:t>
            </w:r>
          </w:p>
          <w:p>
            <w:pPr>
              <w:pStyle w:val="Normal"/>
              <w:spacing w:lineRule="auto" w:line="240" w:before="0" w:after="0"/>
              <w:contextualSpacing/>
              <w:jc w:val="both"/>
              <w:rPr>
                <w:sz w:val="22"/>
                <w:szCs w:val="22"/>
              </w:rPr>
            </w:pPr>
            <w:r>
              <w:rPr>
                <w:rFonts w:cs="Times New Roman"/>
                <w:b/>
                <w:bCs/>
                <w:color w:val="000000"/>
                <w:sz w:val="22"/>
                <w:szCs w:val="22"/>
                <w:shd w:fill="auto" w:val="clear"/>
                <w:lang w:val="ru-RU" w:eastAsia="ru-RU" w:bidi="ar-SA"/>
              </w:rPr>
              <w:t>По согласованию Сторон максимальная цена договора (лимит потребления) может быть увеличен в соответствии с условиями договора.</w:t>
            </w:r>
          </w:p>
        </w:tc>
      </w:tr>
      <w:tr>
        <w:trPr>
          <w:trHeight w:val="2142"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3"/>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Срок и условия оплаты поставки товаров,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sz w:val="22"/>
                <w:szCs w:val="22"/>
                <w:shd w:fill="E1DFDD" w:val="clear"/>
              </w:rPr>
            </w:pPr>
            <w:r>
              <w:rPr>
                <w:sz w:val="22"/>
                <w:szCs w:val="22"/>
                <w:shd w:fill="auto" w:val="clear"/>
              </w:rPr>
              <w:t>Согласно Проекту договора (Приложение № 6 к настоящему Извещению).</w:t>
            </w:r>
          </w:p>
        </w:tc>
      </w:tr>
      <w:tr>
        <w:trPr>
          <w:trHeight w:val="51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4"/>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Источник финансирования заказа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z w:val="22"/>
                <w:szCs w:val="22"/>
                <w:shd w:fill="E1DFDD" w:val="clear"/>
              </w:rPr>
            </w:pPr>
            <w:r>
              <w:rPr>
                <w:sz w:val="22"/>
                <w:szCs w:val="22"/>
                <w:shd w:fill="auto" w:val="clear"/>
              </w:rPr>
              <w:t>Собственные средства предприятия.</w:t>
            </w:r>
          </w:p>
        </w:tc>
      </w:tr>
      <w:tr>
        <w:trPr>
          <w:trHeight w:val="412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5"/>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Порядок формирования цены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sz w:val="22"/>
                <w:szCs w:val="22"/>
                <w:shd w:fill="E1DFDD" w:val="clear"/>
              </w:rPr>
            </w:pPr>
            <w:r>
              <w:rPr>
                <w:rFonts w:eastAsia="SimSun" w:cs="Times New Roman"/>
                <w:sz w:val="22"/>
                <w:szCs w:val="22"/>
                <w:shd w:fill="auto" w:val="clear"/>
              </w:rPr>
              <w:t>В цену Договора включены все расходы Поставщика, необходимые для выполнения им своих обязательств по настоящему Договору, в том числе, стоимость Товара, стоимость транспортных расходов на доставку Товара до установленного Договором места поставки, стоимость тары (если в соответствии с условиями Технического задания не определено, что тара является возвратной), затаривания, упаковки, маркировки, затраты на осуществление погрузочно-разгрузочных работ (в т.ч., стоимость разгрузки в месте поставки Товара – если иное не определено условиями Технического задания),</w:t>
            </w:r>
            <w:r>
              <w:rPr>
                <w:rFonts w:eastAsia="SimSun" w:cs="Times New Roman"/>
                <w:sz w:val="22"/>
                <w:szCs w:val="22"/>
                <w:shd w:fill="auto" w:val="clear"/>
                <w:lang w:val="ru-RU"/>
              </w:rPr>
              <w:t xml:space="preserve"> стоимость выполнения Сопутствующих работ, </w:t>
            </w:r>
            <w:r>
              <w:rPr>
                <w:rFonts w:eastAsia="SimSun" w:cs="Times New Roman"/>
                <w:sz w:val="22"/>
                <w:szCs w:val="22"/>
                <w:shd w:fill="auto" w:val="clear"/>
              </w:rPr>
              <w:t>в том числе все подлежащие к уплате Поставщиком налоги, сборы и другие обязательные для Поставщика платежи, расходы на страхование, сертификацию, иные расходы Поставщика, связанные с выполнением обязательств по настоящему Договору.</w:t>
            </w:r>
          </w:p>
        </w:tc>
      </w:tr>
      <w:tr>
        <w:trPr>
          <w:trHeight w:val="699"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6"/>
              </w:numPr>
              <w:tabs>
                <w:tab w:val="clear" w:pos="708"/>
                <w:tab w:val="left" w:pos="0" w:leader="none"/>
              </w:tabs>
              <w:snapToGrid w:val="false"/>
              <w:spacing w:lineRule="auto" w:line="240" w:before="0" w:after="0"/>
              <w:ind w:hanging="357" w:left="470"/>
              <w:contextualSpacing/>
              <w:jc w:val="center"/>
              <w:rPr>
                <w:rFonts w:ascii="Times New Roman" w:hAnsi="Times New Roman" w:eastAsia="SimSun;Times New Roman" w:cs="Times New Roman"/>
                <w:sz w:val="22"/>
                <w:szCs w:val="22"/>
              </w:rPr>
            </w:pPr>
            <w:r>
              <w:rPr>
                <w:rFonts w:eastAsia="SimSun;Times New Roman"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left"/>
              <w:rPr>
                <w:highlight w:val="none"/>
                <w:shd w:fill="auto" w:val="clear"/>
              </w:rPr>
            </w:pPr>
            <w:r>
              <w:rPr>
                <w:sz w:val="22"/>
                <w:szCs w:val="22"/>
                <w:shd w:fill="auto" w:val="clear"/>
              </w:rPr>
              <w:t>Требования, предъявляемые к участникам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z w:val="22"/>
                <w:szCs w:val="22"/>
                <w:shd w:fill="E1DFDD" w:val="clear"/>
              </w:rPr>
            </w:pPr>
            <w:r>
              <w:rPr>
                <w:b/>
                <w:bCs/>
                <w:sz w:val="22"/>
                <w:szCs w:val="22"/>
                <w:shd w:fill="auto" w:val="clear"/>
              </w:rPr>
              <w:t>Участник закупки</w:t>
            </w:r>
            <w:r>
              <w:rPr>
                <w:sz w:val="22"/>
                <w:szCs w:val="22"/>
                <w:shd w:fill="auto" w:val="clear"/>
              </w:rPr>
              <w:t xml:space="preserve"> –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pPr>
              <w:pStyle w:val="Normal"/>
              <w:spacing w:lineRule="auto" w:line="240" w:before="0" w:after="0"/>
              <w:contextualSpacing/>
              <w:jc w:val="both"/>
              <w:rPr>
                <w:sz w:val="22"/>
                <w:szCs w:val="22"/>
                <w:shd w:fill="E1DFDD" w:val="clear"/>
              </w:rPr>
            </w:pPr>
            <w:r>
              <w:rPr>
                <w:sz w:val="22"/>
                <w:szCs w:val="22"/>
                <w:shd w:fill="auto" w:val="clear"/>
              </w:rPr>
              <w:t xml:space="preserve">10.1. При проведении закупок заказчик устанавливает следующие </w:t>
            </w:r>
            <w:r>
              <w:rPr>
                <w:b/>
                <w:bCs/>
                <w:sz w:val="22"/>
                <w:szCs w:val="22"/>
                <w:shd w:fill="auto" w:val="clear"/>
              </w:rPr>
              <w:t>единые обязательные требования к участникам закупки</w:t>
            </w:r>
            <w:r>
              <w:rPr>
                <w:sz w:val="22"/>
                <w:szCs w:val="22"/>
                <w:shd w:fill="auto" w:val="clear"/>
              </w:rPr>
              <w:t>:</w:t>
            </w:r>
          </w:p>
          <w:p>
            <w:pPr>
              <w:pStyle w:val="Normal"/>
              <w:numPr>
                <w:ilvl w:val="0"/>
                <w:numId w:val="87"/>
              </w:numPr>
              <w:tabs>
                <w:tab w:val="clear" w:pos="708"/>
                <w:tab w:val="left" w:pos="240" w:leader="none"/>
              </w:tabs>
              <w:spacing w:lineRule="auto" w:line="240" w:before="0" w:after="0"/>
              <w:ind w:hanging="0" w:left="0"/>
              <w:contextualSpacing/>
              <w:jc w:val="both"/>
              <w:rPr>
                <w:sz w:val="22"/>
                <w:szCs w:val="22"/>
                <w:shd w:fill="E1DFDD" w:val="clear"/>
              </w:rPr>
            </w:pPr>
            <w:r>
              <w:rPr>
                <w:sz w:val="22"/>
                <w:szCs w:val="22"/>
                <w:shd w:fill="auto" w:val="clear"/>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pPr>
              <w:pStyle w:val="Normal"/>
              <w:numPr>
                <w:ilvl w:val="0"/>
                <w:numId w:val="88"/>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numPr>
                <w:ilvl w:val="0"/>
                <w:numId w:val="89"/>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pPr>
              <w:pStyle w:val="Normal"/>
              <w:numPr>
                <w:ilvl w:val="0"/>
                <w:numId w:val="90"/>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(исполнителя, подрядчика) не принято;</w:t>
            </w:r>
          </w:p>
          <w:p>
            <w:pPr>
              <w:pStyle w:val="Normal"/>
              <w:numPr>
                <w:ilvl w:val="0"/>
                <w:numId w:val="91"/>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numPr>
                <w:ilvl w:val="0"/>
                <w:numId w:val="92"/>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непривлечение в течение 2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участника закупки – юридического лица;</w:t>
            </w:r>
          </w:p>
          <w:p>
            <w:pPr>
              <w:pStyle w:val="Normal"/>
              <w:numPr>
                <w:ilvl w:val="0"/>
                <w:numId w:val="93"/>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pPr>
              <w:pStyle w:val="Normal"/>
              <w:numPr>
                <w:ilvl w:val="0"/>
                <w:numId w:val="94"/>
              </w:numPr>
              <w:tabs>
                <w:tab w:val="clear" w:pos="708"/>
                <w:tab w:val="left" w:pos="0" w:leader="none"/>
                <w:tab w:val="left" w:pos="240" w:leader="none"/>
              </w:tabs>
              <w:spacing w:lineRule="auto" w:line="240" w:before="0" w:after="0"/>
              <w:ind w:hanging="11" w:left="0"/>
              <w:contextualSpacing/>
              <w:jc w:val="both"/>
              <w:rPr>
                <w:sz w:val="22"/>
                <w:szCs w:val="22"/>
                <w:shd w:fill="E1DFDD" w:val="clear"/>
              </w:rPr>
            </w:pPr>
            <w:r>
              <w:rPr>
                <w:sz w:val="22"/>
                <w:szCs w:val="22"/>
                <w:shd w:fill="auto" w:val="clear"/>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усыновлённое должностным лицом Заказчика, либо усыновитель этого должностного лица Заказчика является:</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а) физическим лицом (в том числе зарегистрированным в качестве индивидуального предпринимателя), являющимся участником закупки;</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numPr>
                <w:ilvl w:val="0"/>
                <w:numId w:val="95"/>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numPr>
                <w:ilvl w:val="0"/>
                <w:numId w:val="96"/>
              </w:numPr>
              <w:tabs>
                <w:tab w:val="clear" w:pos="708"/>
                <w:tab w:val="left" w:pos="0" w:leader="none"/>
                <w:tab w:val="left" w:pos="240" w:leader="none"/>
              </w:tabs>
              <w:spacing w:lineRule="auto" w:line="240" w:before="0" w:after="0"/>
              <w:contextualSpacing/>
              <w:jc w:val="both"/>
              <w:rPr>
                <w:sz w:val="22"/>
                <w:szCs w:val="22"/>
                <w:shd w:fill="E1DFDD" w:val="clear"/>
              </w:rPr>
            </w:pPr>
            <w:r>
              <w:rPr>
                <w:sz w:val="22"/>
                <w:szCs w:val="22"/>
                <w:shd w:fill="auto" w:val="clear"/>
              </w:rPr>
              <w:t>участник закупки не является иностранным агентом;</w:t>
            </w:r>
          </w:p>
          <w:p>
            <w:pPr>
              <w:pStyle w:val="Normal"/>
              <w:numPr>
                <w:ilvl w:val="0"/>
                <w:numId w:val="97"/>
              </w:numPr>
              <w:tabs>
                <w:tab w:val="clear" w:pos="708"/>
                <w:tab w:val="left" w:pos="0" w:leader="none"/>
                <w:tab w:val="left" w:pos="240" w:leader="none"/>
              </w:tabs>
              <w:spacing w:lineRule="auto" w:line="240" w:before="0" w:after="0"/>
              <w:ind w:firstLine="11" w:left="-11"/>
              <w:contextualSpacing/>
              <w:jc w:val="both"/>
              <w:rPr>
                <w:sz w:val="22"/>
                <w:szCs w:val="22"/>
                <w:shd w:fill="E1DFDD" w:val="clear"/>
              </w:rPr>
            </w:pPr>
            <w:r>
              <w:rPr>
                <w:sz w:val="22"/>
                <w:szCs w:val="22"/>
                <w:shd w:fill="auto" w:val="clear"/>
              </w:rPr>
              <w:t>отсутствие у участника закупки ограничений для участия в закупках, установленных законодательством Российской Федерации.</w:t>
            </w:r>
          </w:p>
          <w:p>
            <w:pPr>
              <w:pStyle w:val="Normal"/>
              <w:numPr>
                <w:ilvl w:val="0"/>
                <w:numId w:val="98"/>
              </w:numPr>
              <w:tabs>
                <w:tab w:val="clear" w:pos="708"/>
                <w:tab w:val="left" w:pos="0" w:leader="none"/>
                <w:tab w:val="left" w:pos="240" w:leader="none"/>
              </w:tabs>
              <w:spacing w:lineRule="auto" w:line="240" w:before="0" w:after="0"/>
              <w:ind w:firstLine="11" w:left="-11"/>
              <w:contextualSpacing/>
              <w:jc w:val="both"/>
              <w:rPr>
                <w:sz w:val="22"/>
                <w:szCs w:val="22"/>
                <w:shd w:fill="E1DFDD" w:val="clear"/>
              </w:rPr>
            </w:pPr>
            <w:r>
              <w:rPr>
                <w:sz w:val="22"/>
                <w:szCs w:val="22"/>
                <w:shd w:fill="auto" w:val="clear"/>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numPr>
                <w:ilvl w:val="0"/>
                <w:numId w:val="99"/>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сведений об участнике закупки в реестре недобросовестных поставщиков, предусмотренном Федеральном законом от 18.07.2011 № 223-ФЗ «О закупках товаров, работ, услуг отдельными видами юридических лиц»</w:t>
            </w:r>
          </w:p>
          <w:p>
            <w:pPr>
              <w:pStyle w:val="Normal"/>
              <w:spacing w:lineRule="auto" w:line="240" w:before="0" w:after="0"/>
              <w:contextualSpacing/>
              <w:jc w:val="both"/>
              <w:rPr>
                <w:sz w:val="22"/>
                <w:szCs w:val="22"/>
                <w:shd w:fill="E1DFDD" w:val="clear"/>
              </w:rPr>
            </w:pPr>
            <w:r>
              <w:rPr>
                <w:sz w:val="22"/>
                <w:szCs w:val="22"/>
                <w:shd w:fill="auto" w:val="clear"/>
              </w:rPr>
              <w:t>10.2. Требования, предъявляемые к участникам закупки, применяются в равной степени ко всем участникам закупки.</w:t>
            </w:r>
          </w:p>
          <w:p>
            <w:pPr>
              <w:pStyle w:val="Normal"/>
              <w:spacing w:lineRule="auto" w:line="240" w:before="0" w:after="0"/>
              <w:contextualSpacing/>
              <w:jc w:val="both"/>
              <w:rPr>
                <w:b w:val="false"/>
                <w:bCs w:val="false"/>
                <w:color w:val="000000"/>
                <w:shd w:fill="E1DFDD" w:val="clear"/>
              </w:rPr>
            </w:pPr>
            <w:r>
              <w:rPr>
                <w:b w:val="false"/>
                <w:bCs w:val="false"/>
                <w:color w:val="000000"/>
                <w:sz w:val="22"/>
                <w:szCs w:val="22"/>
                <w:shd w:fill="auto" w:val="clear"/>
              </w:rPr>
              <w:t>10.3. Требование о наличии действующих лицензий - Сертификация товара и/или услуг, работ в соответствии с Техническим заданием.</w:t>
            </w:r>
          </w:p>
        </w:tc>
      </w:tr>
      <w:tr>
        <w:trPr>
          <w:trHeight w:val="232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Предоставление национального режима при осуществлении закупок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2" w:right="70"/>
              <w:jc w:val="both"/>
              <w:rPr>
                <w:highlight w:val="none"/>
                <w:shd w:fill="auto" w:val="clear"/>
              </w:rPr>
            </w:pPr>
            <w:r>
              <w:rPr>
                <w:sz w:val="22"/>
                <w:szCs w:val="22"/>
                <w:shd w:fill="auto" w:val="clear"/>
              </w:rPr>
              <w:t>11.1</w:t>
              <w:tab/>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pPr>
              <w:pStyle w:val="Normal"/>
              <w:spacing w:lineRule="auto" w:line="240" w:before="0" w:after="0"/>
              <w:ind w:left="-2" w:right="70"/>
              <w:jc w:val="both"/>
              <w:rPr>
                <w:highlight w:val="none"/>
                <w:shd w:fill="auto" w:val="clear"/>
              </w:rPr>
            </w:pPr>
            <w:r>
              <w:rPr>
                <w:sz w:val="22"/>
                <w:szCs w:val="22"/>
                <w:shd w:fill="auto" w:val="clear"/>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pPr>
              <w:pStyle w:val="Normal"/>
              <w:spacing w:lineRule="auto" w:line="240" w:before="0" w:after="0"/>
              <w:ind w:left="-2" w:right="70"/>
              <w:jc w:val="both"/>
              <w:rPr>
                <w:highlight w:val="none"/>
                <w:shd w:fill="auto" w:val="clear"/>
              </w:rPr>
            </w:pPr>
            <w:r>
              <w:rPr>
                <w:sz w:val="22"/>
                <w:szCs w:val="22"/>
                <w:shd w:fill="auto" w:val="clear"/>
              </w:rPr>
              <w:t>11.2</w:t>
              <w:tab/>
            </w:r>
            <w:r>
              <w:rPr>
                <w:b/>
                <w:bCs/>
                <w:sz w:val="22"/>
                <w:szCs w:val="22"/>
                <w:shd w:fill="auto" w:val="clear"/>
              </w:rPr>
              <w:t>При закупке товаров:</w:t>
            </w:r>
          </w:p>
          <w:p>
            <w:pPr>
              <w:pStyle w:val="Normal"/>
              <w:spacing w:lineRule="auto" w:line="240" w:before="0" w:after="0"/>
              <w:ind w:left="-2" w:right="70"/>
              <w:jc w:val="both"/>
              <w:rPr>
                <w:highlight w:val="none"/>
                <w:shd w:fill="auto" w:val="clear"/>
              </w:rPr>
            </w:pPr>
            <w:r>
              <w:rPr>
                <w:sz w:val="22"/>
                <w:szCs w:val="22"/>
                <w:shd w:fill="auto" w:val="clear"/>
              </w:rPr>
              <w:t>11.2.1</w:t>
              <w:tab/>
              <w:t>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поставку такого товара;</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замена такого товара на происходящий из иностранного государства товар, в отношении которого установлен данный запрет.</w:t>
            </w:r>
          </w:p>
          <w:p>
            <w:pPr>
              <w:pStyle w:val="Normal"/>
              <w:spacing w:lineRule="auto" w:line="240" w:before="0" w:after="0"/>
              <w:ind w:left="-2" w:right="70"/>
              <w:jc w:val="both"/>
              <w:rPr>
                <w:highlight w:val="none"/>
                <w:shd w:fill="auto" w:val="clear"/>
              </w:rPr>
            </w:pPr>
            <w:r>
              <w:rPr>
                <w:sz w:val="22"/>
                <w:szCs w:val="22"/>
                <w:shd w:fill="auto" w:val="clear"/>
              </w:rPr>
              <w:t>11.2.2</w:t>
              <w:tab/>
              <w:t>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11.2.3</w:t>
              <w:tab/>
              <w:t>Если Правительством Российской Федерации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pPr>
              <w:pStyle w:val="Normal"/>
              <w:spacing w:lineRule="auto" w:line="240" w:before="0" w:after="0"/>
              <w:ind w:left="-2" w:right="70"/>
              <w:jc w:val="both"/>
              <w:rPr>
                <w:highlight w:val="none"/>
                <w:shd w:fill="auto" w:val="clear"/>
              </w:rPr>
            </w:pPr>
            <w:r>
              <w:rPr>
                <w:sz w:val="22"/>
                <w:szCs w:val="22"/>
                <w:shd w:fill="auto" w:val="clear"/>
              </w:rPr>
              <w:t>1)</w:t>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11.3</w:t>
              <w:tab/>
              <w:t>При закупке работы, услуги:</w:t>
            </w:r>
          </w:p>
          <w:p>
            <w:pPr>
              <w:pStyle w:val="Normal"/>
              <w:spacing w:lineRule="auto" w:line="240" w:before="0" w:after="0"/>
              <w:ind w:right="70"/>
              <w:jc w:val="both"/>
              <w:rPr>
                <w:highlight w:val="none"/>
                <w:shd w:fill="auto" w:val="clear"/>
              </w:rPr>
            </w:pPr>
            <w:r>
              <w:rPr>
                <w:sz w:val="22"/>
                <w:szCs w:val="22"/>
                <w:shd w:fill="auto" w:val="clear"/>
              </w:rPr>
              <w:t>11.3.1</w:t>
              <w:tab/>
              <w:t>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выполнение такой работы, оказание такой услуги с подрядчиком (исполнителем), являющимся иностранным лицом;</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Normal"/>
              <w:spacing w:lineRule="auto" w:line="240" w:before="0" w:after="0"/>
              <w:ind w:left="-2" w:right="70"/>
              <w:jc w:val="both"/>
              <w:rPr>
                <w:highlight w:val="none"/>
                <w:shd w:fill="auto" w:val="clear"/>
              </w:rPr>
            </w:pPr>
            <w:r>
              <w:rPr>
                <w:sz w:val="22"/>
                <w:szCs w:val="22"/>
                <w:shd w:fill="auto" w:val="clear"/>
              </w:rPr>
              <w:t>11.3.2</w:t>
              <w:tab/>
              <w:t>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pPr>
              <w:pStyle w:val="Normal"/>
              <w:spacing w:lineRule="auto" w:line="240" w:before="0" w:after="0"/>
              <w:ind w:left="-2" w:right="70"/>
              <w:jc w:val="both"/>
              <w:rPr>
                <w:highlight w:val="none"/>
                <w:shd w:fill="auto" w:val="clear"/>
              </w:rPr>
            </w:pPr>
            <w:r>
              <w:rPr>
                <w:sz w:val="22"/>
                <w:szCs w:val="22"/>
                <w:shd w:fill="auto" w:val="clear"/>
              </w:rPr>
              <w:t>11.3.3</w:t>
              <w:tab/>
              <w:t>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pPr>
              <w:pStyle w:val="Normal"/>
              <w:spacing w:lineRule="auto" w:line="240" w:before="0" w:after="0"/>
              <w:ind w:left="-2" w:right="70"/>
              <w:jc w:val="both"/>
              <w:rPr>
                <w:highlight w:val="none"/>
                <w:shd w:fill="auto" w:val="clear"/>
              </w:rPr>
            </w:pPr>
            <w:r>
              <w:rPr>
                <w:sz w:val="22"/>
                <w:szCs w:val="22"/>
                <w:shd w:fill="auto" w:val="clear"/>
              </w:rPr>
              <w:t>1)</w:t>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Договор с участником закупки заключается без учета снижения либо увеличения ценового предложения;</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pPr>
              <w:pStyle w:val="Normal"/>
              <w:spacing w:lineRule="auto" w:line="240" w:before="0" w:after="0"/>
              <w:contextualSpacing/>
              <w:jc w:val="both"/>
              <w:rPr>
                <w:highlight w:val="none"/>
                <w:shd w:fill="auto" w:val="clear"/>
              </w:rPr>
            </w:pPr>
            <w:r>
              <w:rPr>
                <w:sz w:val="22"/>
                <w:szCs w:val="22"/>
                <w:shd w:fill="auto" w:val="clear"/>
              </w:rPr>
              <w:t>11.4</w:t>
              <w:tab/>
              <w:t xml:space="preserve">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shd w:fill="auto" w:val="clear"/>
              </w:rPr>
              <w:t>Участникам закупок устанавливаются:</w:t>
            </w:r>
          </w:p>
          <w:p>
            <w:pPr>
              <w:pStyle w:val="Normal"/>
              <w:spacing w:lineRule="auto" w:line="240" w:before="0" w:after="0"/>
              <w:contextualSpacing/>
              <w:jc w:val="both"/>
              <w:rPr>
                <w:color w:val="000000"/>
                <w:shd w:fill="E1DFDD" w:val="clear"/>
              </w:rPr>
            </w:pPr>
            <w:r>
              <w:rPr>
                <w:color w:val="000000"/>
                <w:sz w:val="22"/>
                <w:szCs w:val="22"/>
                <w:shd w:fill="auto" w:val="clear"/>
              </w:rPr>
              <w:t>11.4.1.</w:t>
              <w:tab/>
              <w:t xml:space="preserve">Запрет продукции иностранного происхождения </w:t>
            </w:r>
            <w:r>
              <w:rPr>
                <w:b/>
                <w:bCs/>
                <w:color w:val="000000"/>
                <w:sz w:val="22"/>
                <w:szCs w:val="22"/>
                <w:shd w:fill="auto" w:val="clear"/>
              </w:rPr>
              <w:t>— не</w:t>
            </w:r>
            <w:r>
              <w:rPr>
                <w:color w:val="000000"/>
                <w:sz w:val="22"/>
                <w:szCs w:val="22"/>
                <w:shd w:fill="auto" w:val="clear"/>
              </w:rPr>
              <w:t xml:space="preserve"> </w:t>
            </w:r>
            <w:r>
              <w:rPr>
                <w:b/>
                <w:bCs/>
                <w:color w:val="000000"/>
                <w:sz w:val="22"/>
                <w:szCs w:val="22"/>
                <w:shd w:fill="auto" w:val="clear"/>
              </w:rPr>
              <w:t>установлено.</w:t>
            </w:r>
          </w:p>
          <w:p>
            <w:pPr>
              <w:pStyle w:val="Normal"/>
              <w:spacing w:lineRule="auto" w:line="240" w:before="0" w:after="0"/>
              <w:contextualSpacing/>
              <w:jc w:val="both"/>
              <w:rPr>
                <w:color w:val="000000"/>
                <w:shd w:fill="E1DFDD" w:val="clear"/>
              </w:rPr>
            </w:pPr>
            <w:r>
              <w:rPr>
                <w:color w:val="000000"/>
                <w:sz w:val="22"/>
                <w:szCs w:val="22"/>
                <w:shd w:fill="auto" w:val="clear"/>
              </w:rPr>
              <w:t>11.4.2.</w:t>
              <w:tab/>
              <w:t xml:space="preserve">Ограничение продукции иностранного происхождения — </w:t>
            </w:r>
            <w:r>
              <w:rPr>
                <w:b/>
                <w:bCs/>
                <w:color w:val="000000"/>
                <w:sz w:val="22"/>
                <w:szCs w:val="22"/>
                <w:shd w:fill="auto" w:val="clear"/>
              </w:rPr>
              <w:t>не установлено.</w:t>
            </w:r>
          </w:p>
          <w:p>
            <w:pPr>
              <w:pStyle w:val="Normal"/>
              <w:spacing w:lineRule="auto" w:line="240" w:before="0" w:after="0"/>
              <w:contextualSpacing/>
              <w:jc w:val="both"/>
              <w:rPr>
                <w:shd w:fill="E1DFDD" w:val="clear"/>
              </w:rPr>
            </w:pPr>
            <w:r>
              <w:rPr>
                <w:b w:val="false"/>
                <w:bCs w:val="false"/>
                <w:color w:val="FF0000"/>
                <w:sz w:val="22"/>
                <w:szCs w:val="22"/>
                <w:shd w:fill="auto" w:val="clear"/>
                <w:lang w:val="ru-RU"/>
              </w:rPr>
              <w:t>11.4.3.</w:t>
              <w:tab/>
              <w:t>Преимущество российской продукции (ОКПД2: 20.16.40.140</w:t>
            </w:r>
            <w:r>
              <w:rPr>
                <w:rStyle w:val="hps"/>
                <w:rFonts w:eastAsia="" w:cs="Times New Roman"/>
                <w:b w:val="false"/>
                <w:bCs w:val="false"/>
                <w:color w:val="FF0000"/>
                <w:spacing w:val="1"/>
                <w:kern w:val="2"/>
                <w:sz w:val="22"/>
                <w:szCs w:val="22"/>
                <w:u w:val="none"/>
                <w:shd w:fill="auto" w:val="clear"/>
                <w:lang w:val="ru-RU" w:eastAsia="ru-RU" w:bidi="ar-SA"/>
              </w:rPr>
              <w:t xml:space="preserve">) </w:t>
            </w:r>
            <w:r>
              <w:rPr>
                <w:b w:val="false"/>
                <w:bCs w:val="false"/>
                <w:color w:val="FF0000"/>
                <w:sz w:val="22"/>
                <w:szCs w:val="22"/>
                <w:shd w:fill="auto" w:val="clear"/>
                <w:lang w:val="ru-RU"/>
              </w:rPr>
              <w:t xml:space="preserve">— </w:t>
            </w:r>
            <w:r>
              <w:rPr>
                <w:b/>
                <w:bCs/>
                <w:color w:val="FF0000"/>
                <w:sz w:val="22"/>
                <w:szCs w:val="22"/>
                <w:shd w:fill="auto" w:val="clear"/>
                <w:lang w:val="ru-RU"/>
              </w:rPr>
              <w:t>установлено.</w:t>
            </w:r>
          </w:p>
        </w:tc>
      </w:tr>
      <w:tr>
        <w:trPr>
          <w:trHeight w:val="9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1"/>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color w:val="000000"/>
                <w:sz w:val="22"/>
                <w:szCs w:val="22"/>
                <w:shd w:fill="auto" w:val="clear"/>
              </w:rPr>
              <w:t>Требования к содержанию, форме, оформлению и составу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134" w:leader="none"/>
              </w:tabs>
              <w:spacing w:lineRule="auto" w:line="240" w:before="0" w:after="0"/>
              <w:jc w:val="both"/>
              <w:rPr>
                <w:shd w:fill="E1DFDD" w:val="clear"/>
              </w:rPr>
            </w:pPr>
            <w:r>
              <w:rPr>
                <w:rStyle w:val="wmi-callto"/>
                <w:sz w:val="22"/>
                <w:szCs w:val="22"/>
                <w:shd w:fill="auto" w:val="clear"/>
              </w:rPr>
              <w:t>12.1 Заявка на участие в запросе котировок должна содержать сведения и документы, требования о предоставлении которых предусмотрены Извещением о закупке, а именно:</w:t>
            </w:r>
          </w:p>
          <w:p>
            <w:pPr>
              <w:pStyle w:val="Normal"/>
              <w:numPr>
                <w:ilvl w:val="0"/>
                <w:numId w:val="102"/>
              </w:numPr>
              <w:spacing w:lineRule="auto" w:line="240" w:before="0" w:after="0"/>
              <w:ind w:hanging="0" w:left="0"/>
              <w:contextualSpacing/>
              <w:jc w:val="both"/>
              <w:rPr>
                <w:highlight w:val="none"/>
                <w:shd w:fill="auto" w:val="clear"/>
              </w:rPr>
            </w:pPr>
            <w:r>
              <w:rPr>
                <w:sz w:val="22"/>
                <w:szCs w:val="22"/>
                <w:shd w:fill="auto" w:val="clear"/>
              </w:rPr>
              <w:t xml:space="preserve">указание фирменного наименования (наименования), сведения об организационно-правовой форме, о месте нахождения, почтовый адрес </w:t>
            </w:r>
            <w:r>
              <w:rPr>
                <w:b/>
                <w:bCs/>
                <w:sz w:val="22"/>
                <w:szCs w:val="22"/>
                <w:shd w:fill="auto" w:val="clear"/>
              </w:rPr>
              <w:t>(для юридического лица)</w:t>
            </w:r>
            <w:r>
              <w:rPr>
                <w:sz w:val="22"/>
                <w:szCs w:val="22"/>
                <w:shd w:fill="auto" w:val="clear"/>
              </w:rPr>
              <w:t xml:space="preserve">, фамилия, имя, отчество, паспортные данные, сведения о месте жительства </w:t>
            </w:r>
            <w:r>
              <w:rPr>
                <w:b/>
                <w:bCs/>
                <w:sz w:val="22"/>
                <w:szCs w:val="22"/>
                <w:shd w:fill="auto" w:val="clear"/>
              </w:rPr>
              <w:t>(для физического лица)</w:t>
            </w:r>
            <w:r>
              <w:rPr>
                <w:sz w:val="22"/>
                <w:szCs w:val="22"/>
                <w:shd w:fill="auto" w:val="clear"/>
              </w:rPr>
              <w:t>, номер контактного телефона, адрес электронной почты участника закупки;</w:t>
            </w:r>
          </w:p>
          <w:p>
            <w:pPr>
              <w:pStyle w:val="Normal"/>
              <w:numPr>
                <w:ilvl w:val="0"/>
                <w:numId w:val="103"/>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 xml:space="preserve">копии учредительных документов участника закупки </w:t>
            </w:r>
            <w:r>
              <w:rPr>
                <w:b/>
                <w:bCs/>
                <w:sz w:val="22"/>
                <w:szCs w:val="22"/>
                <w:shd w:fill="auto" w:val="clear"/>
              </w:rPr>
              <w:t>(для юридических лиц)</w:t>
            </w:r>
            <w:r>
              <w:rPr>
                <w:sz w:val="22"/>
                <w:szCs w:val="22"/>
                <w:shd w:fill="auto" w:val="clear"/>
              </w:rPr>
              <w:t>;</w:t>
            </w:r>
          </w:p>
          <w:p>
            <w:pPr>
              <w:pStyle w:val="Normal"/>
              <w:numPr>
                <w:ilvl w:val="0"/>
                <w:numId w:val="104"/>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 xml:space="preserve">выписка из Единого государственного реестра юридических лиц </w:t>
            </w:r>
            <w:r>
              <w:rPr>
                <w:b/>
                <w:bCs/>
                <w:sz w:val="22"/>
                <w:szCs w:val="22"/>
                <w:shd w:fill="auto" w:val="clear"/>
              </w:rPr>
              <w:t>(для юридических лиц)</w:t>
            </w:r>
            <w:r>
              <w:rPr>
                <w:sz w:val="22"/>
                <w:szCs w:val="22"/>
                <w:shd w:fill="auto" w:val="clear"/>
              </w:rPr>
              <w:t xml:space="preserve">, либо выписка из Единого государственного реестра индивидуальных предпринимателей </w:t>
            </w:r>
            <w:r>
              <w:rPr>
                <w:b/>
                <w:bCs/>
                <w:sz w:val="22"/>
                <w:szCs w:val="22"/>
                <w:shd w:fill="auto" w:val="clear"/>
              </w:rPr>
              <w:t>(для индивидуальных предпринимателей)</w:t>
            </w:r>
            <w:r>
              <w:rPr>
                <w:sz w:val="22"/>
                <w:szCs w:val="22"/>
                <w:shd w:fill="auto" w:val="clear"/>
              </w:rPr>
              <w:t xml:space="preserve">,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Pr>
                <w:b/>
                <w:bCs/>
                <w:sz w:val="22"/>
                <w:szCs w:val="22"/>
                <w:shd w:fill="auto" w:val="clear"/>
              </w:rPr>
              <w:t>(для иностранных лиц)</w:t>
            </w:r>
            <w:r>
              <w:rPr>
                <w:sz w:val="22"/>
                <w:szCs w:val="22"/>
                <w:shd w:fill="auto" w:val="clear"/>
              </w:rPr>
              <w:t>;</w:t>
            </w:r>
          </w:p>
          <w:p>
            <w:pPr>
              <w:pStyle w:val="Normal"/>
              <w:numPr>
                <w:ilvl w:val="0"/>
                <w:numId w:val="105"/>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 подтверждающий полномочия лица на осуществление действий от имени участника закупки;</w:t>
            </w:r>
          </w:p>
          <w:p>
            <w:pPr>
              <w:pStyle w:val="Normal"/>
              <w:numPr>
                <w:ilvl w:val="0"/>
                <w:numId w:val="106"/>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документы, подтверждающие соответствие участника закупки требованиям, установленным в подпункте 1 пункта 10.1 Извещения или копии этих документов, а также декларация о соответствии участника закупки требованиям, установленным в подпунктах 2-8 пункта 10.1 Извещения (указанная декларация предоставляется с использованием программно-аппаратных средств электронной площадки);</w:t>
            </w:r>
          </w:p>
          <w:p>
            <w:pPr>
              <w:pStyle w:val="Normal"/>
              <w:numPr>
                <w:ilvl w:val="0"/>
                <w:numId w:val="107"/>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документы, подтверждающие квалификацию участника закупки, документы, подтверждающие соответствие дополнительным требованиям (при установлении таких требований), указанным в Техническом задании (Приложение № 1 к настоящему Извещению);</w:t>
            </w:r>
          </w:p>
          <w:p>
            <w:pPr>
              <w:pStyle w:val="Normal"/>
              <w:numPr>
                <w:ilvl w:val="0"/>
                <w:numId w:val="108"/>
              </w:numPr>
              <w:tabs>
                <w:tab w:val="clear" w:pos="708"/>
                <w:tab w:val="left" w:pos="0" w:leader="none"/>
              </w:tabs>
              <w:spacing w:lineRule="auto" w:line="240" w:before="0" w:after="0"/>
              <w:ind w:hanging="11" w:left="0"/>
              <w:contextualSpacing/>
              <w:jc w:val="both"/>
              <w:rPr>
                <w:highlight w:val="none"/>
                <w:shd w:fill="auto" w:val="clear"/>
              </w:rPr>
            </w:pPr>
            <w:r>
              <w:rPr>
                <w:sz w:val="22"/>
                <w:szCs w:val="22"/>
                <w:shd w:fill="auto" w:val="clear"/>
              </w:rPr>
              <w:t>решение 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обеспечения исполнения гарантийных обязательств по договору, являются крупной сделкой, с указанием случаев:</w:t>
            </w:r>
          </w:p>
          <w:p>
            <w:pPr>
              <w:pStyle w:val="Normal"/>
              <w:spacing w:lineRule="auto" w:line="240" w:before="0" w:after="0"/>
              <w:ind w:hanging="11"/>
              <w:contextualSpacing/>
              <w:jc w:val="both"/>
              <w:rPr>
                <w:highlight w:val="none"/>
                <w:shd w:fill="auto" w:val="clear"/>
              </w:rPr>
            </w:pPr>
            <w:r>
              <w:rPr>
                <w:sz w:val="22"/>
                <w:szCs w:val="22"/>
                <w:shd w:fill="auto" w:val="clear"/>
              </w:rPr>
              <w:t>7.1)</w:t>
              <w:tab/>
              <w:t>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в заявке указывает о том, что данная сделка не является для него крупной;</w:t>
            </w:r>
          </w:p>
          <w:p>
            <w:pPr>
              <w:pStyle w:val="Normal"/>
              <w:spacing w:lineRule="auto" w:line="240" w:before="0" w:after="0"/>
              <w:ind w:hanging="11"/>
              <w:contextualSpacing/>
              <w:jc w:val="both"/>
              <w:rPr>
                <w:highlight w:val="none"/>
                <w:shd w:fill="auto" w:val="clear"/>
              </w:rPr>
            </w:pPr>
            <w:r>
              <w:rPr>
                <w:sz w:val="22"/>
                <w:szCs w:val="22"/>
                <w:shd w:fill="auto" w:val="clear"/>
              </w:rPr>
              <w:t>7.2)</w:t>
              <w:tab/>
              <w:t>если получение указанного решения до истечения срока подачи заявок на участие в закупке для участника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закупки обязан представить письмо, содержащее обязательство в случае признания его победителем закупки до момента заключения договора;</w:t>
            </w:r>
          </w:p>
          <w:p>
            <w:pPr>
              <w:pStyle w:val="Normal"/>
              <w:spacing w:lineRule="auto" w:line="240" w:before="0" w:after="0"/>
              <w:ind w:left="-11"/>
              <w:contextualSpacing/>
              <w:jc w:val="both"/>
              <w:rPr>
                <w:highlight w:val="none"/>
                <w:shd w:fill="auto" w:val="clear"/>
              </w:rPr>
            </w:pPr>
            <w:r>
              <w:rPr>
                <w:sz w:val="22"/>
                <w:szCs w:val="22"/>
                <w:shd w:fill="auto" w:val="clear"/>
              </w:rPr>
              <w:t>8)</w:t>
              <w:tab/>
              <w:t>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если в соответствии с законодательством Российской Федерации такие документы передаются вместе с товаром, требование о представлении копий таких документов в составе заявки не устанавливается;</w:t>
            </w:r>
          </w:p>
          <w:p>
            <w:pPr>
              <w:pStyle w:val="Normal"/>
              <w:spacing w:lineRule="auto" w:line="240" w:before="0" w:after="0"/>
              <w:ind w:left="-11"/>
              <w:contextualSpacing/>
              <w:jc w:val="both"/>
              <w:rPr>
                <w:highlight w:val="none"/>
                <w:shd w:fill="auto" w:val="clear"/>
              </w:rPr>
            </w:pPr>
            <w:r>
              <w:rPr>
                <w:sz w:val="22"/>
                <w:szCs w:val="22"/>
                <w:shd w:fill="auto" w:val="clear"/>
              </w:rPr>
              <w:t>9)</w:t>
              <w:tab/>
              <w:t>указание (декларирование) наименования страны происхождения поставляемых товаров. Отсутствие в заявке на участие в запросе котировок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котировок в электронной форме, и такая заявка рассматривается как содержащая предложение о поставке иностранных товаров;</w:t>
            </w:r>
          </w:p>
          <w:p>
            <w:pPr>
              <w:pStyle w:val="Normal"/>
              <w:spacing w:lineRule="auto" w:line="240" w:before="0" w:after="0"/>
              <w:ind w:left="-11"/>
              <w:contextualSpacing/>
              <w:jc w:val="both"/>
              <w:rPr>
                <w:highlight w:val="none"/>
                <w:shd w:fill="auto" w:val="clear"/>
              </w:rPr>
            </w:pPr>
            <w:r>
              <w:rPr>
                <w:sz w:val="22"/>
                <w:szCs w:val="22"/>
                <w:shd w:fill="auto" w:val="clear"/>
              </w:rPr>
              <w:t>10)</w:t>
              <w:tab/>
              <w:t>конкретные показатели товара, соответствующие значениям, установленным извещением о запросе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таком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таком извещении;</w:t>
            </w:r>
          </w:p>
          <w:p>
            <w:pPr>
              <w:pStyle w:val="Normal"/>
              <w:spacing w:lineRule="auto" w:line="240" w:before="0" w:after="0"/>
              <w:ind w:left="-11"/>
              <w:contextualSpacing/>
              <w:jc w:val="both"/>
              <w:rPr>
                <w:highlight w:val="none"/>
                <w:shd w:fill="auto" w:val="clear"/>
              </w:rPr>
            </w:pPr>
            <w:r>
              <w:rPr>
                <w:sz w:val="22"/>
                <w:szCs w:val="22"/>
                <w:shd w:fill="auto" w:val="clear"/>
              </w:rPr>
              <w:t>11)</w:t>
              <w:tab/>
              <w:t>согласие участника запроса котировок в электронной</w:t>
              <w:tab/>
              <w:t>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pPr>
              <w:pStyle w:val="Normal"/>
              <w:spacing w:lineRule="auto" w:line="240" w:before="0" w:after="0"/>
              <w:ind w:left="-11"/>
              <w:contextualSpacing/>
              <w:jc w:val="both"/>
              <w:rPr>
                <w:highlight w:val="none"/>
                <w:shd w:fill="auto" w:val="clear"/>
              </w:rPr>
            </w:pPr>
            <w:r>
              <w:rPr>
                <w:sz w:val="22"/>
                <w:szCs w:val="22"/>
                <w:shd w:fill="auto" w:val="clear"/>
              </w:rPr>
              <w:t>12)</w:t>
              <w:tab/>
              <w:t>предложение участника запроса котировок в электронной форме о цене договора.</w:t>
            </w:r>
          </w:p>
          <w:p>
            <w:pPr>
              <w:pStyle w:val="Normal"/>
              <w:spacing w:lineRule="auto" w:line="240" w:before="0" w:after="0"/>
              <w:ind w:left="-11"/>
              <w:contextualSpacing/>
              <w:jc w:val="both"/>
              <w:rPr>
                <w:highlight w:val="none"/>
                <w:shd w:fill="auto" w:val="clear"/>
              </w:rPr>
            </w:pPr>
            <w:r>
              <w:rPr>
                <w:sz w:val="22"/>
                <w:szCs w:val="22"/>
                <w:shd w:fill="auto" w:val="clear"/>
              </w:rPr>
              <w:t>13)</w:t>
              <w:tab/>
              <w:t>иные сведения, установленные Заказчиком в документации о конкурентной закупке и (или) извещении об осуществлении конкурентной закупки в соответствии с Положением.</w:t>
            </w:r>
          </w:p>
          <w:p>
            <w:pPr>
              <w:pStyle w:val="Normal"/>
              <w:spacing w:lineRule="auto" w:line="240" w:before="0" w:after="0"/>
              <w:ind w:left="-11"/>
              <w:contextualSpacing/>
              <w:jc w:val="both"/>
              <w:rPr>
                <w:highlight w:val="none"/>
                <w:shd w:fill="auto" w:val="clear"/>
              </w:rPr>
            </w:pPr>
            <w:r>
              <w:rPr>
                <w:sz w:val="22"/>
                <w:szCs w:val="22"/>
                <w:shd w:fill="auto" w:val="clear"/>
              </w:rPr>
              <w:t>14)</w:t>
            </w:r>
            <w:r>
              <w:rPr>
                <w:sz w:val="22"/>
                <w:szCs w:val="22"/>
                <w:shd w:fill="auto" w:val="clear"/>
                <w:lang w:val="ru-RU"/>
              </w:rPr>
              <w:t xml:space="preserve"> в соответствии с </w:t>
            </w:r>
            <w:r>
              <w:rPr>
                <w:sz w:val="22"/>
                <w:szCs w:val="22"/>
                <w:shd w:fill="auto" w:val="clear"/>
              </w:rPr>
              <w:t>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2"/>
                <w:szCs w:val="22"/>
                <w:shd w:fill="auto" w:val="clear"/>
                <w:lang w:val="ru-RU"/>
              </w:rPr>
              <w:t xml:space="preserve"> </w:t>
            </w:r>
            <w:r>
              <w:rPr>
                <w:b/>
                <w:bCs/>
                <w:sz w:val="22"/>
                <w:szCs w:val="22"/>
                <w:shd w:fill="auto" w:val="clear"/>
              </w:rPr>
              <w:t>номер реестровой записи из реестра российской промышленной продукции</w:t>
            </w:r>
            <w:r>
              <w:rPr>
                <w:sz w:val="22"/>
                <w:szCs w:val="22"/>
                <w:shd w:fill="auto" w:val="clear"/>
              </w:rPr>
              <w:t>, предусмотренного ст. 17.1 Федерального закона «О промышленной политике в Российской Федерации», содержащей в том числе:</w:t>
            </w:r>
          </w:p>
          <w:p>
            <w:pPr>
              <w:pStyle w:val="Normal"/>
              <w:spacing w:lineRule="auto" w:line="240" w:before="0" w:after="0"/>
              <w:ind w:left="-11"/>
              <w:contextualSpacing/>
              <w:jc w:val="both"/>
              <w:rPr>
                <w:highlight w:val="none"/>
                <w:shd w:fill="auto" w:val="clear"/>
              </w:rPr>
            </w:pPr>
            <w:r>
              <w:rPr>
                <w:sz w:val="22"/>
                <w:szCs w:val="22"/>
                <w:shd w:fill="auto" w:val="clear"/>
              </w:rPr>
              <w:t>-информацию о совокупном количестве баллов за выполнение (освоение) на территории РФ соответствующих операций (условий) (если в отношении такого товара постановлением Правительства РФ от 17.07.2015 г. № 719 «О подтверждении производства российской промышленной продукции»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РФ № 719;</w:t>
            </w:r>
          </w:p>
          <w:p>
            <w:pPr>
              <w:pStyle w:val="Normal"/>
              <w:spacing w:lineRule="auto" w:line="240" w:before="0" w:after="0"/>
              <w:ind w:left="-11"/>
              <w:contextualSpacing/>
              <w:jc w:val="both"/>
              <w:rPr>
                <w:highlight w:val="none"/>
                <w:shd w:fill="auto" w:val="clear"/>
              </w:rPr>
            </w:pPr>
            <w:r>
              <w:rPr>
                <w:sz w:val="22"/>
                <w:szCs w:val="22"/>
                <w:shd w:fill="auto" w:val="clear"/>
              </w:rPr>
              <w:t>-информацию об уровне радиоэлектронной продукции (для товара, являющегося в соответствии с постановлением Правительства РФ № 719 «радиоэлектронной продукцией первого уровня или радиоэлектронной продукцией второго уровня»).</w:t>
            </w:r>
          </w:p>
          <w:p>
            <w:pPr>
              <w:pStyle w:val="Normal"/>
              <w:spacing w:lineRule="auto" w:line="240" w:before="0" w:after="0"/>
              <w:ind w:left="-11"/>
              <w:contextualSpacing/>
              <w:jc w:val="both"/>
              <w:rPr>
                <w:highlight w:val="none"/>
                <w:shd w:fill="auto" w:val="clear"/>
              </w:rPr>
            </w:pPr>
            <w:r>
              <w:rPr>
                <w:sz w:val="22"/>
                <w:szCs w:val="22"/>
                <w:shd w:fill="auto" w:val="clear"/>
              </w:rPr>
              <w:t xml:space="preserve">15) </w:t>
            </w:r>
            <w:r>
              <w:rPr>
                <w:sz w:val="22"/>
                <w:szCs w:val="22"/>
                <w:shd w:fill="auto" w:val="clear"/>
                <w:lang w:val="ru-RU"/>
              </w:rPr>
              <w:t xml:space="preserve">в соответствии с </w:t>
            </w:r>
            <w:r>
              <w:rPr>
                <w:sz w:val="22"/>
                <w:szCs w:val="22"/>
                <w:shd w:fill="auto" w:val="clear"/>
              </w:rPr>
              <w:t>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2"/>
                <w:szCs w:val="22"/>
                <w:shd w:fill="auto" w:val="clear"/>
                <w:lang w:val="ru-RU"/>
              </w:rPr>
              <w:t xml:space="preserve"> </w:t>
            </w:r>
            <w:r>
              <w:rPr>
                <w:b/>
                <w:bCs/>
                <w:sz w:val="22"/>
                <w:szCs w:val="22"/>
                <w:shd w:fill="auto" w:val="clear"/>
              </w:rPr>
              <w:t>номер реестровой записи из евразийского реестра промышленных товаров государств - членов Евразийского экономического союза</w:t>
            </w:r>
            <w:r>
              <w:rPr>
                <w:sz w:val="22"/>
                <w:szCs w:val="22"/>
                <w:shd w:fill="auto" w:val="clear"/>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pPr>
              <w:pStyle w:val="Normal"/>
              <w:spacing w:lineRule="auto" w:line="240" w:before="0" w:after="0"/>
              <w:ind w:left="-11"/>
              <w:contextualSpacing/>
              <w:jc w:val="both"/>
              <w:rPr>
                <w:highlight w:val="none"/>
                <w:shd w:fill="auto" w:val="clear"/>
              </w:rPr>
            </w:pPr>
            <w:r>
              <w:rPr>
                <w:sz w:val="22"/>
                <w:szCs w:val="22"/>
                <w:shd w:fill="auto" w:val="clear"/>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c>
      </w:tr>
      <w:tr>
        <w:trPr>
          <w:trHeight w:val="1048"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9"/>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Дата начала и дата окончания срока подачи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hd w:fill="E1DFDD" w:val="clear"/>
              </w:rPr>
            </w:pPr>
            <w:r>
              <w:rPr>
                <w:b/>
                <w:bCs/>
                <w:sz w:val="22"/>
                <w:szCs w:val="22"/>
                <w:shd w:fill="auto" w:val="clear"/>
              </w:rPr>
              <w:t>Дата начала подачи заявок – с момента публикации извещения на официальном сайте Единой информационной системы в сфере закупок (</w:t>
            </w:r>
            <w:hyperlink r:id="rId4">
              <w:r>
                <w:rPr>
                  <w:rStyle w:val="Style"/>
                  <w:b/>
                  <w:bCs/>
                  <w:sz w:val="22"/>
                  <w:szCs w:val="22"/>
                  <w:shd w:fill="auto" w:val="clear"/>
                </w:rPr>
                <w:t>www.zakupki.gov.ru</w:t>
              </w:r>
            </w:hyperlink>
            <w:r>
              <w:rPr>
                <w:b/>
                <w:bCs/>
                <w:sz w:val="22"/>
                <w:szCs w:val="22"/>
                <w:shd w:fill="auto" w:val="clear"/>
              </w:rPr>
              <w:t>).</w:t>
            </w:r>
          </w:p>
          <w:p>
            <w:pPr>
              <w:pStyle w:val="Normal"/>
              <w:spacing w:lineRule="auto" w:line="240" w:before="0" w:after="0"/>
              <w:rPr>
                <w:highlight w:val="none"/>
                <w:shd w:fill="auto" w:val="clear"/>
              </w:rPr>
            </w:pPr>
            <w:r>
              <w:rPr>
                <w:b/>
                <w:bCs/>
                <w:sz w:val="22"/>
                <w:szCs w:val="22"/>
                <w:shd w:fill="auto" w:val="clear"/>
              </w:rPr>
              <w:t xml:space="preserve">Дата окончания подачи заявок – </w:t>
            </w:r>
            <w:r>
              <w:rPr>
                <w:b/>
                <w:bCs/>
                <w:sz w:val="22"/>
                <w:szCs w:val="22"/>
                <w:shd w:fill="auto" w:val="clear"/>
              </w:rPr>
              <w:t>19.10.</w:t>
            </w:r>
            <w:r>
              <w:rPr>
                <w:b/>
                <w:bCs/>
                <w:sz w:val="22"/>
                <w:szCs w:val="22"/>
                <w:shd w:fill="auto" w:val="clear"/>
              </w:rPr>
              <w:t>2026 г. 10: 00 по</w:t>
            </w:r>
            <w:r>
              <w:rPr>
                <w:b/>
                <w:bCs/>
                <w:sz w:val="22"/>
                <w:szCs w:val="22"/>
                <w:u w:val="single"/>
                <w:shd w:fill="auto" w:val="clear"/>
              </w:rPr>
              <w:t xml:space="preserve"> МСК.</w:t>
            </w:r>
          </w:p>
        </w:tc>
      </w:tr>
      <w:tr>
        <w:trPr>
          <w:trHeight w:val="190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jc w:val="both"/>
              <w:rPr>
                <w:highlight w:val="none"/>
                <w:shd w:fill="auto" w:val="clear"/>
              </w:rPr>
            </w:pPr>
            <w:r>
              <w:rPr>
                <w:bCs/>
                <w:sz w:val="22"/>
                <w:szCs w:val="22"/>
                <w:shd w:fill="auto" w:val="clear"/>
              </w:rPr>
              <w:t>Адрес электронной торговой площадки в сети «Интернет», на которой проводится закупка (при осуществлении конкурентной закупки в электронной форме)</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jc w:val="both"/>
              <w:rPr>
                <w:shd w:fill="E1DFDD" w:val="clear"/>
              </w:rPr>
            </w:pPr>
            <w:r>
              <w:rPr>
                <w:bCs/>
                <w:sz w:val="22"/>
                <w:szCs w:val="22"/>
                <w:shd w:fill="auto" w:val="clear"/>
              </w:rPr>
              <w:t xml:space="preserve">Извещение о закупке размещается в Единой информационной системе в сфере закупок по адресу в сети Интернет: </w:t>
            </w:r>
            <w:hyperlink r:id="rId5">
              <w:r>
                <w:rPr>
                  <w:rStyle w:val="Hyperlink"/>
                  <w:sz w:val="22"/>
                  <w:szCs w:val="22"/>
                  <w:shd w:fill="auto" w:val="clear"/>
                </w:rPr>
                <w:t>www.zakupki.gov.ru</w:t>
              </w:r>
            </w:hyperlink>
            <w:r>
              <w:rPr>
                <w:bCs/>
                <w:sz w:val="22"/>
                <w:szCs w:val="22"/>
                <w:shd w:fill="auto" w:val="clear"/>
              </w:rPr>
              <w:t xml:space="preserve"> (далее - ЕИС) и на электронной площадке Электронные Торги России, </w:t>
            </w:r>
            <w:hyperlink r:id="rId6">
              <w:r>
                <w:rPr>
                  <w:rStyle w:val="Hyperlink"/>
                  <w:sz w:val="22"/>
                  <w:szCs w:val="22"/>
                  <w:shd w:fill="auto" w:val="clear"/>
                </w:rPr>
                <w:t>https://torgi82.ru/</w:t>
              </w:r>
              <w:r>
                <w:rPr>
                  <w:rStyle w:val="Hyperlink"/>
                  <w:bCs/>
                  <w:sz w:val="22"/>
                  <w:szCs w:val="22"/>
                  <w:shd w:fill="auto" w:val="clear"/>
                </w:rPr>
                <w:t>.</w:t>
              </w:r>
            </w:hyperlink>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1"/>
              </w:numPr>
              <w:tabs>
                <w:tab w:val="clear" w:pos="708"/>
                <w:tab w:val="left" w:pos="0" w:leader="none"/>
              </w:tabs>
              <w:snapToGrid w:val="false"/>
              <w:spacing w:lineRule="auto" w:line="240" w:before="0" w:after="0"/>
              <w:ind w:hanging="357" w:left="470"/>
              <w:contextualSpacing/>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Форма и порядок подачи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b/>
                <w:sz w:val="22"/>
                <w:szCs w:val="22"/>
                <w:shd w:fill="auto" w:val="clear"/>
              </w:rPr>
              <w:t>Порядок подачи заявки:</w:t>
            </w:r>
          </w:p>
          <w:p>
            <w:pPr>
              <w:pStyle w:val="ListParagraph"/>
              <w:numPr>
                <w:ilvl w:val="0"/>
                <w:numId w:val="112"/>
              </w:numPr>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 xml:space="preserve">Заявка </w:t>
            </w:r>
            <w:r>
              <w:rPr>
                <w:rStyle w:val="wmi-callto"/>
                <w:rFonts w:cs="Times New Roman" w:ascii="Times New Roman" w:hAnsi="Times New Roman"/>
                <w:sz w:val="22"/>
                <w:szCs w:val="22"/>
                <w:shd w:fill="auto" w:val="clear"/>
                <w:lang w:val="ru-RU"/>
              </w:rPr>
              <w:t xml:space="preserve">Участника закупки </w:t>
            </w:r>
            <w:r>
              <w:rPr>
                <w:rStyle w:val="wmi-callto"/>
                <w:rFonts w:cs="Times New Roman" w:ascii="Times New Roman" w:hAnsi="Times New Roman"/>
                <w:sz w:val="22"/>
                <w:szCs w:val="22"/>
                <w:shd w:fill="auto" w:val="clear"/>
              </w:rPr>
              <w:t xml:space="preserve">на участие в запросе котировок </w:t>
            </w:r>
            <w:r>
              <w:rPr>
                <w:rStyle w:val="wmi-callto"/>
                <w:rFonts w:cs="Times New Roman" w:ascii="Times New Roman" w:hAnsi="Times New Roman"/>
                <w:sz w:val="22"/>
                <w:szCs w:val="22"/>
                <w:shd w:fill="auto" w:val="clear"/>
                <w:lang w:val="ru-RU"/>
              </w:rPr>
              <w:t>в электронной форме подаётся (направляется) оператору электронной площадки в форме электронных документов;</w:t>
            </w:r>
          </w:p>
          <w:p>
            <w:pPr>
              <w:pStyle w:val="ListParagraph"/>
              <w:numPr>
                <w:ilvl w:val="0"/>
                <w:numId w:val="113"/>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Участник закупки вправе подать только одну заявку (находящуюся в статусе не отозванной) на участие в отношении одного предмета закупки (одного лота). Участник имеет право подать заявку на участие в закупке в отношении как одного, так и нескольких или всех лотов запроса котировок (в случае выделения в закупке лотов)</w:t>
            </w:r>
            <w:r>
              <w:rPr>
                <w:rStyle w:val="wmi-callto"/>
                <w:rFonts w:cs="Times New Roman" w:ascii="Times New Roman" w:hAnsi="Times New Roman"/>
                <w:sz w:val="22"/>
                <w:szCs w:val="22"/>
                <w:shd w:fill="auto" w:val="clear"/>
                <w:lang w:val="ru-RU"/>
              </w:rPr>
              <w:t>;</w:t>
            </w:r>
          </w:p>
          <w:p>
            <w:pPr>
              <w:pStyle w:val="ListParagraph"/>
              <w:numPr>
                <w:ilvl w:val="0"/>
                <w:numId w:val="114"/>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Заявки на участие в закупке принимаются до окончания срока подачи заявок. При наступлении даты и времени окончания срока подачи заявок подача заявки становится невозможной</w:t>
            </w:r>
            <w:r>
              <w:rPr>
                <w:rStyle w:val="wmi-callto"/>
                <w:rFonts w:cs="Times New Roman" w:ascii="Times New Roman" w:hAnsi="Times New Roman"/>
                <w:sz w:val="22"/>
                <w:szCs w:val="22"/>
                <w:shd w:fill="auto" w:val="clear"/>
                <w:lang w:val="ru-RU"/>
              </w:rPr>
              <w:t>;</w:t>
            </w:r>
          </w:p>
          <w:p>
            <w:pPr>
              <w:pStyle w:val="ListParagraph"/>
              <w:numPr>
                <w:ilvl w:val="0"/>
                <w:numId w:val="115"/>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Участник закупки может изменить или отозвать свою заявку в любой момент до окончания срока подачи заявок. 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rPr>
                <w:rStyle w:val="wmi-callto"/>
                <w:rFonts w:cs="Times New Roman" w:ascii="Times New Roman" w:hAnsi="Times New Roman"/>
                <w:sz w:val="22"/>
                <w:szCs w:val="22"/>
                <w:shd w:fill="auto" w:val="clear"/>
                <w:lang w:val="ru-RU"/>
              </w:rPr>
              <w:t>;</w:t>
            </w:r>
          </w:p>
          <w:p>
            <w:pPr>
              <w:pStyle w:val="ListParagraph"/>
              <w:numPr>
                <w:ilvl w:val="0"/>
                <w:numId w:val="116"/>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Порядок отзыва и изменения заявки осуществляется посредством функционала ЭТП и в соответствии с регламентом ЭТП, на которой проводится закупка.</w:t>
            </w:r>
          </w:p>
          <w:p>
            <w:pPr>
              <w:pStyle w:val="ListParagraph"/>
              <w:numPr>
                <w:ilvl w:val="0"/>
                <w:numId w:val="117"/>
              </w:numPr>
              <w:tabs>
                <w:tab w:val="clear" w:pos="708"/>
                <w:tab w:val="left" w:pos="0" w:leader="none"/>
              </w:tabs>
              <w:spacing w:lineRule="auto" w:line="240" w:before="0" w:after="0"/>
              <w:ind w:hanging="36" w:left="36"/>
              <w:contextualSpacing/>
              <w:jc w:val="both"/>
              <w:rPr>
                <w:highlight w:val="none"/>
                <w:shd w:fill="auto" w:val="clear"/>
              </w:rPr>
            </w:pPr>
            <w:r>
              <w:rPr>
                <w:rFonts w:cs="Times New Roman" w:ascii="Times New Roman" w:hAnsi="Times New Roman"/>
                <w:sz w:val="22"/>
                <w:szCs w:val="22"/>
                <w:shd w:fill="auto" w:val="clear"/>
                <w:lang w:val="ru-RU"/>
              </w:rPr>
              <w:t xml:space="preserve">Подача заявки </w:t>
            </w:r>
            <w:r>
              <w:rPr>
                <w:rFonts w:cs="Times New Roman" w:ascii="Times New Roman" w:hAnsi="Times New Roman"/>
                <w:b/>
                <w:sz w:val="22"/>
                <w:szCs w:val="22"/>
                <w:shd w:fill="auto" w:val="clear"/>
                <w:lang w:val="ru-RU"/>
              </w:rPr>
              <w:t>является согласием</w:t>
            </w:r>
            <w:r>
              <w:rPr>
                <w:rFonts w:cs="Times New Roman" w:ascii="Times New Roman" w:hAnsi="Times New Roman"/>
                <w:sz w:val="22"/>
                <w:szCs w:val="22"/>
                <w:shd w:fill="auto" w:val="clear"/>
                <w:lang w:val="ru-RU"/>
              </w:rPr>
              <w:t xml:space="preserve"> заключить договор на условиях, предусмотренных настоящим извещением и проектом договора и осуществить поставку товаров (выполнение работ, оказание услуг) в соответствии с требованиями и условиями, перечисленными в них.</w:t>
            </w:r>
          </w:p>
          <w:p>
            <w:pPr>
              <w:pStyle w:val="Normal"/>
              <w:spacing w:lineRule="auto" w:line="240" w:before="0" w:after="0"/>
              <w:contextualSpacing/>
              <w:jc w:val="center"/>
              <w:rPr>
                <w:highlight w:val="none"/>
                <w:shd w:fill="auto" w:val="clear"/>
              </w:rPr>
            </w:pPr>
            <w:r>
              <w:rPr>
                <w:b/>
                <w:bCs/>
                <w:iCs/>
                <w:sz w:val="22"/>
                <w:szCs w:val="22"/>
                <w:shd w:fill="auto" w:val="clear"/>
              </w:rPr>
              <w:t>Инструкция по заполнению заявки</w:t>
            </w:r>
          </w:p>
          <w:p>
            <w:pPr>
              <w:pStyle w:val="Style181"/>
              <w:spacing w:lineRule="auto" w:line="240" w:before="0" w:after="0"/>
              <w:ind w:hanging="0" w:right="19"/>
              <w:contextualSpacing/>
              <w:rPr>
                <w:shd w:fill="E1DFDD" w:val="clear"/>
              </w:rPr>
            </w:pPr>
            <w:r>
              <w:rPr>
                <w:rStyle w:val="FontStyle24"/>
                <w:sz w:val="22"/>
                <w:szCs w:val="22"/>
                <w:shd w:fill="auto" w:val="clear"/>
              </w:rPr>
              <w:t>Заявка на участие в запросе котировок, подготовленная участником закупки, должна быть составлена на русском языке. 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pPr>
              <w:pStyle w:val="Style181"/>
              <w:spacing w:lineRule="auto" w:line="240" w:before="0" w:after="0"/>
              <w:ind w:hanging="0" w:right="24"/>
              <w:contextualSpacing/>
              <w:rPr>
                <w:shd w:fill="E1DFDD" w:val="clear"/>
              </w:rPr>
            </w:pPr>
            <w:r>
              <w:rPr>
                <w:rStyle w:val="FontStyle24"/>
                <w:sz w:val="22"/>
                <w:szCs w:val="22"/>
                <w:shd w:fill="auto" w:val="clear"/>
              </w:rPr>
              <w:t>Все документы, входящие в состав заявки на участие в запросе котировок, должны иметь чётко читаемый текст.</w:t>
            </w:r>
          </w:p>
          <w:p>
            <w:pPr>
              <w:pStyle w:val="Style181"/>
              <w:spacing w:lineRule="auto" w:line="240" w:before="0" w:after="0"/>
              <w:ind w:hanging="0" w:right="24"/>
              <w:contextualSpacing/>
              <w:rPr>
                <w:shd w:fill="E1DFDD" w:val="clear"/>
              </w:rPr>
            </w:pPr>
            <w:r>
              <w:rPr>
                <w:rStyle w:val="FontStyle24"/>
                <w:b/>
                <w:color w:val="FF0000"/>
                <w:sz w:val="22"/>
                <w:szCs w:val="22"/>
                <w:shd w:fill="auto" w:val="clear"/>
              </w:rPr>
              <w:t>Информация, содержащаяся в заявке на участие в запросе котировок в электронной форме, не должна допускать двусмысленных толкований (разночтений), должна трактоваться однозначно.</w:t>
            </w:r>
          </w:p>
          <w:p>
            <w:pPr>
              <w:pStyle w:val="Normal"/>
              <w:spacing w:lineRule="auto" w:line="240" w:before="0" w:after="0"/>
              <w:contextualSpacing/>
              <w:jc w:val="both"/>
              <w:rPr>
                <w:highlight w:val="none"/>
                <w:shd w:fill="auto" w:val="clear"/>
              </w:rPr>
            </w:pPr>
            <w:r>
              <w:rPr>
                <w:sz w:val="22"/>
                <w:szCs w:val="22"/>
                <w:shd w:fill="auto" w:val="clear"/>
              </w:rPr>
              <w:t>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w:t>
            </w:r>
          </w:p>
          <w:p>
            <w:pPr>
              <w:pStyle w:val="Normal"/>
              <w:spacing w:lineRule="auto" w:line="240" w:before="0" w:after="0"/>
              <w:contextualSpacing/>
              <w:jc w:val="both"/>
              <w:rPr>
                <w:highlight w:val="none"/>
                <w:shd w:fill="auto" w:val="clear"/>
              </w:rPr>
            </w:pPr>
            <w:r>
              <w:rPr>
                <w:sz w:val="22"/>
                <w:szCs w:val="22"/>
                <w:shd w:fill="auto" w:val="clear"/>
              </w:rPr>
              <w:t>Участники закупки, при предоставлении конкретных показателей используемого товара, соответствующих значениям, установленным извещением о запросе котировок в электронной форме, должны учитывать, что максимальные и (или) минимальные значения таких показателей, а также значения показателей, которые не могут изменяться установлены заказчиком следующим образом:</w:t>
            </w:r>
          </w:p>
          <w:p>
            <w:pPr>
              <w:pStyle w:val="Normal"/>
              <w:spacing w:lineRule="auto" w:line="240" w:before="0" w:after="0"/>
              <w:contextualSpacing/>
              <w:jc w:val="both"/>
              <w:rPr>
                <w:highlight w:val="none"/>
                <w:shd w:fill="auto" w:val="clear"/>
              </w:rPr>
            </w:pPr>
            <w:r>
              <w:rPr>
                <w:sz w:val="22"/>
                <w:szCs w:val="22"/>
                <w:shd w:fill="auto" w:val="clear"/>
              </w:rPr>
              <w:t>1. Значения показателей без сопровождения слов «не более», «не выше», «не менее», «не ниже», «более», «свыше», «менее», «выше», знаков «&gt;», «≥», «&lt;», «≤» и другими обозначениями по своему смыслу аналогичными указанным, являются неизменными и должны быть представлены в неизменном виде.</w:t>
            </w:r>
          </w:p>
          <w:p>
            <w:pPr>
              <w:pStyle w:val="Normal"/>
              <w:spacing w:lineRule="auto" w:line="240" w:before="0" w:after="0"/>
              <w:contextualSpacing/>
              <w:jc w:val="both"/>
              <w:rPr>
                <w:highlight w:val="none"/>
                <w:shd w:fill="auto" w:val="clear"/>
              </w:rPr>
            </w:pPr>
            <w:r>
              <w:rPr>
                <w:sz w:val="22"/>
                <w:szCs w:val="22"/>
                <w:shd w:fill="auto" w:val="clear"/>
              </w:rPr>
              <w:t>Диапазоны значений показателей, которые не могут изменяться (остаются неизменными) обозначаются следующими знаками «…» (многоточие), «-» (тире).</w:t>
            </w:r>
          </w:p>
          <w:p>
            <w:pPr>
              <w:pStyle w:val="Normal"/>
              <w:spacing w:lineRule="auto" w:line="240" w:before="0" w:after="0"/>
              <w:contextualSpacing/>
              <w:jc w:val="both"/>
              <w:rPr>
                <w:highlight w:val="none"/>
                <w:shd w:fill="auto" w:val="clear"/>
              </w:rPr>
            </w:pPr>
            <w:r>
              <w:rPr>
                <w:sz w:val="22"/>
                <w:szCs w:val="22"/>
                <w:shd w:fill="auto" w:val="clear"/>
              </w:rPr>
              <w:t>2. Значения показателей, которые должны быть представлены в виде одного конкретного значения, обозначены словами «не менее», «не более», «более», «свыше», «менее», «от», «до», «не выше», «не ниже», «не менее и не более», «более и не более», «не менее и менее», «от и до», знаков «&gt;», «≥», «&lt;», «≤»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При этом в случае указания показателей со словами, «не более», «не выше», «до», и другими обозначениями по своему смыслу аналогичными указанным, означает требование значения, не превышающего (не выше) или равному указанного, в случае указания показателей со словами «не менее», «не ниже», «от» и другими обозначениями по своему смыслу аналогичными указанным, означает требование значения, не понижающего (не ниже) или равному указанного, в случае указания показателей со словами «более», «свыше», «менее», «выше» и другими обозначениями по своему смыслу аналогичными указанным, участники закупки должны учитывать, что крайнее значение показателя не входит в допустимое.</w:t>
            </w:r>
          </w:p>
          <w:p>
            <w:pPr>
              <w:pStyle w:val="Normal"/>
              <w:spacing w:lineRule="auto" w:line="240" w:before="0" w:after="0"/>
              <w:contextualSpacing/>
              <w:jc w:val="both"/>
              <w:rPr>
                <w:highlight w:val="none"/>
                <w:shd w:fill="auto" w:val="clear"/>
              </w:rPr>
            </w:pPr>
            <w:r>
              <w:rPr>
                <w:sz w:val="22"/>
                <w:szCs w:val="22"/>
                <w:shd w:fill="auto" w:val="clear"/>
              </w:rPr>
              <w:t>Знак «&lt;» - означает что, участнику следует предоставить в заявке конкретный показатель, менее указанного значения. Знак «&gt;» - означает что, участнику следует предоставить в заявке конкретный показатель, более указанного значения. Знак «≥» - означает что, участнику следует предоставить в заявке конкретный показатель, более указанного значения или равный ему. Знак «≤» - означает что, участнику следует предоставить в заявке конкретный показатель, менее указанного значения или равный ему. При этом, знак «&lt;», «&gt;», «≥», «≤» устанавливаются в требуемом значении сведений о товарах слева от числового значения показателя</w:t>
            </w:r>
          </w:p>
          <w:p>
            <w:pPr>
              <w:pStyle w:val="Normal"/>
              <w:spacing w:lineRule="auto" w:line="240" w:before="0" w:after="0"/>
              <w:contextualSpacing/>
              <w:jc w:val="both"/>
              <w:rPr>
                <w:highlight w:val="none"/>
                <w:shd w:fill="auto" w:val="clear"/>
              </w:rPr>
            </w:pPr>
            <w:r>
              <w:rPr>
                <w:sz w:val="22"/>
                <w:szCs w:val="22"/>
                <w:shd w:fill="auto" w:val="clear"/>
              </w:rPr>
              <w:t>3. Значения показателей, которые должны быть представлены в виде конкретного диапазона, обозначаются следующим образом «… в диапазоне» со словами «не менее и не более», «не выше и не ниже», «свыше и не более», «более и не более», «не менее и менее», «от и до»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4. Значения показателей, должны быть представлены в виде одного конкретного значения, в случае если идет перечисление допустимых значений и обозначенных союзами «или», «либо», знаком «/»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В случае если идет перечисление допустимых значений и обозначенных союзами «и/или», участнику следует предоставить в заявке одно из указанных значений либо несколько с союзом «и».</w:t>
            </w:r>
          </w:p>
          <w:p>
            <w:pPr>
              <w:pStyle w:val="Normal"/>
              <w:spacing w:lineRule="auto" w:line="240" w:before="0" w:after="0"/>
              <w:contextualSpacing/>
              <w:jc w:val="both"/>
              <w:rPr>
                <w:highlight w:val="none"/>
                <w:shd w:fill="auto" w:val="clear"/>
              </w:rPr>
            </w:pPr>
            <w:r>
              <w:rPr>
                <w:sz w:val="22"/>
                <w:szCs w:val="22"/>
                <w:shd w:fill="auto" w:val="clear"/>
              </w:rPr>
              <w:t>5. Значения, обозначенные словами «должен быть», «может быть», «должен соответствовать», «соответствие» и другими обозначениями по своему смыслу аналогичными указанным, должны быть представлены конкретно не иметь двусмысленных трактовок и обозначать одно конкретное значение.</w:t>
            </w:r>
          </w:p>
          <w:p>
            <w:pPr>
              <w:pStyle w:val="Normal"/>
              <w:spacing w:lineRule="auto" w:line="240" w:before="0" w:after="0"/>
              <w:contextualSpacing/>
              <w:jc w:val="both"/>
              <w:rPr>
                <w:highlight w:val="none"/>
                <w:shd w:fill="auto" w:val="clear"/>
              </w:rPr>
            </w:pPr>
            <w:r>
              <w:rPr>
                <w:sz w:val="22"/>
                <w:szCs w:val="22"/>
                <w:shd w:fill="auto" w:val="clear"/>
              </w:rPr>
              <w:t>6. Заказчиком в извещении о запросе котировок в электронной форме используются показатели товаров (материалов) с одними физическими и химическими свойствами, но отличным по геометрическим параметрам (толщина, длина, диаметр, фракция, типоразмер, число жил и т. д), эти показатели в извещении о запросе котировок в электронной форме перечисляются в одной строке через знак «;». Участник в заявке на участие в запросе котировок в электронной форме указывает, весь набор конкретных показателей по данному товару (материалу) в соответствии с нормативными документами и извещением о запросе котировок в электронной форме, для каждого параметра.</w:t>
            </w:r>
          </w:p>
          <w:p>
            <w:pPr>
              <w:pStyle w:val="Normal"/>
              <w:spacing w:lineRule="auto" w:line="240" w:before="0" w:after="0"/>
              <w:contextualSpacing/>
              <w:jc w:val="both"/>
              <w:rPr>
                <w:highlight w:val="none"/>
                <w:shd w:fill="auto" w:val="clear"/>
              </w:rPr>
            </w:pPr>
            <w:r>
              <w:rPr>
                <w:sz w:val="22"/>
                <w:szCs w:val="22"/>
                <w:shd w:fill="auto" w:val="clear"/>
              </w:rPr>
              <w:t>7. Единицы измерения показателей и наименование показателей при заполнении заявки должны оставаться без изменений, т.е. не должны изменяться участником закупки.</w:t>
            </w:r>
          </w:p>
          <w:p>
            <w:pPr>
              <w:pStyle w:val="Normal"/>
              <w:spacing w:lineRule="auto" w:line="240" w:before="0" w:after="0"/>
              <w:contextualSpacing/>
              <w:jc w:val="both"/>
              <w:rPr>
                <w:highlight w:val="none"/>
                <w:shd w:fill="auto" w:val="clear"/>
              </w:rPr>
            </w:pPr>
            <w:r>
              <w:rPr>
                <w:sz w:val="22"/>
                <w:szCs w:val="22"/>
                <w:shd w:fill="auto" w:val="clear"/>
              </w:rPr>
              <w:t>8. Если предлагаемый товар в соответствии с ГОСТом, ТУ, сертификатом, паспортом, инструкцией по применению, информацией изготовителя и т.д. имеет неконкретные (в том числе диапазонные, многозначные, временные и т.п.) характеристики, в таком случае следует указать их в том же виде, в каком указано в соответствующем ГОСТе, ТУ, сертификате, паспорте, инструкции по применению, информации изготовителя и т.д. с пояснением, например, сопровождением словами «установлено производителем», «согласно ГОСТу» и т. п.). ССЫЛКИ на технические регламенты и государственные стандарты (ГОСТ, ОСТ и т.д.), технические условия и т.д. БЕЗ УКАЗАНИЯ конкретных показателей поставляемого товара НЕ ДОПУСКАЮТСЯ</w:t>
            </w:r>
          </w:p>
          <w:p>
            <w:pPr>
              <w:pStyle w:val="Normal"/>
              <w:spacing w:lineRule="auto" w:line="240" w:before="0" w:after="0"/>
              <w:contextualSpacing/>
              <w:jc w:val="both"/>
              <w:rPr>
                <w:highlight w:val="none"/>
                <w:shd w:fill="auto" w:val="clear"/>
              </w:rPr>
            </w:pPr>
            <w:r>
              <w:rPr>
                <w:sz w:val="22"/>
                <w:szCs w:val="22"/>
                <w:shd w:fill="auto" w:val="clear"/>
              </w:rPr>
              <w:t xml:space="preserve"> </w:t>
            </w:r>
            <w:r>
              <w:rPr>
                <w:sz w:val="22"/>
                <w:szCs w:val="22"/>
                <w:shd w:fill="auto" w:val="clear"/>
              </w:rPr>
              <w:t>Все характеристики объекта закупки, указанные в техническом задании извещении о запросе котировок в электронной форме, обязательны для предоставления в заявке на участие в запросе котировок в электронной форме в соответствии с вышеуказанными требованиями.</w:t>
            </w:r>
          </w:p>
        </w:tc>
      </w:tr>
      <w:tr>
        <w:trPr>
          <w:trHeight w:val="582"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Дата рассмотрения заявок и подведения итогов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z w:val="22"/>
                <w:szCs w:val="22"/>
              </w:rPr>
            </w:pPr>
            <w:r>
              <w:rPr>
                <w:sz w:val="22"/>
                <w:szCs w:val="22"/>
                <w:shd w:fill="auto" w:val="clear"/>
              </w:rPr>
              <w:t>Дата рассмотрения и подведения итогов закупки не позднее</w:t>
            </w:r>
          </w:p>
          <w:p>
            <w:pPr>
              <w:pStyle w:val="Normal"/>
              <w:spacing w:lineRule="auto" w:line="240" w:before="0" w:after="0"/>
              <w:contextualSpacing/>
              <w:jc w:val="both"/>
              <w:rPr>
                <w:highlight w:val="none"/>
                <w:shd w:fill="auto" w:val="clear"/>
              </w:rPr>
            </w:pPr>
            <w:r>
              <w:rPr>
                <w:b/>
                <w:bCs/>
                <w:sz w:val="22"/>
                <w:szCs w:val="22"/>
                <w:shd w:fill="auto" w:val="clear"/>
                <w:lang w:val="ru-RU"/>
              </w:rPr>
              <w:t xml:space="preserve">с </w:t>
            </w:r>
            <w:r>
              <w:rPr>
                <w:b/>
                <w:bCs/>
                <w:sz w:val="22"/>
                <w:szCs w:val="22"/>
                <w:shd w:fill="auto" w:val="clear"/>
                <w:lang w:val="ru-RU"/>
              </w:rPr>
              <w:t>20.10.</w:t>
            </w:r>
            <w:r>
              <w:rPr>
                <w:b/>
                <w:bCs/>
                <w:sz w:val="22"/>
                <w:szCs w:val="22"/>
                <w:u w:val="none"/>
                <w:shd w:fill="auto" w:val="clear"/>
                <w:lang w:val="ru-RU"/>
              </w:rPr>
              <w:t xml:space="preserve">2026 г. по </w:t>
            </w:r>
            <w:r>
              <w:rPr>
                <w:b/>
                <w:bCs/>
                <w:sz w:val="22"/>
                <w:szCs w:val="22"/>
                <w:u w:val="none"/>
                <w:shd w:fill="auto" w:val="clear"/>
                <w:lang w:val="ru-RU"/>
              </w:rPr>
              <w:t>22.10.</w:t>
            </w:r>
            <w:r>
              <w:rPr>
                <w:b/>
                <w:bCs/>
                <w:sz w:val="22"/>
                <w:szCs w:val="22"/>
                <w:u w:val="none"/>
                <w:shd w:fill="auto" w:val="clear"/>
                <w:lang w:val="ru-RU"/>
              </w:rPr>
              <w:t>2026 г.</w:t>
            </w:r>
          </w:p>
        </w:tc>
      </w:tr>
      <w:tr>
        <w:trPr>
          <w:trHeight w:val="403"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9"/>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highlight w:val="none"/>
                <w:shd w:fill="auto" w:val="clear"/>
              </w:rPr>
            </w:pPr>
            <w:r>
              <w:rPr>
                <w:rFonts w:cs="Times New Roman" w:ascii="Times New Roman" w:hAnsi="Times New Roman"/>
                <w:sz w:val="22"/>
                <w:szCs w:val="22"/>
                <w:shd w:fill="auto"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Допуск участников закупки (их представителей) на процедуру оценки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Не установлен.</w:t>
            </w:r>
          </w:p>
        </w:tc>
      </w:tr>
      <w:tr>
        <w:trPr>
          <w:trHeight w:val="558"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2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highlight w:val="none"/>
                <w:shd w:fill="auto" w:val="clear"/>
              </w:rPr>
            </w:pPr>
            <w:r>
              <w:rPr>
                <w:rFonts w:cs="Times New Roman" w:ascii="Times New Roman" w:hAnsi="Times New Roman"/>
                <w:sz w:val="22"/>
                <w:szCs w:val="22"/>
                <w:shd w:fill="auto"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Критерии и порядок оценки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134" w:leader="none"/>
              </w:tabs>
              <w:spacing w:lineRule="auto" w:line="240" w:before="0" w:after="0"/>
              <w:jc w:val="both"/>
              <w:rPr>
                <w:highlight w:val="none"/>
                <w:shd w:fill="auto" w:val="clear"/>
              </w:rPr>
            </w:pPr>
            <w:r>
              <w:rPr>
                <w:b/>
                <w:sz w:val="22"/>
                <w:szCs w:val="22"/>
                <w:shd w:fill="auto" w:val="clear"/>
              </w:rPr>
              <w:t>Порядок подведения итогов запроса котировок:</w:t>
            </w:r>
          </w:p>
          <w:p>
            <w:pPr>
              <w:pStyle w:val="ListParagraph"/>
              <w:numPr>
                <w:ilvl w:val="1"/>
                <w:numId w:val="121"/>
              </w:numPr>
              <w:tabs>
                <w:tab w:val="clear" w:pos="708"/>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Доступ к открытию поступивших заявок на участие в запросе котировок в электронной форме осуществляется в заранее назначенное время на электронной площадке согласно извещению о проведении запроса котировок в электронной форме в соответствии с регламентом электронной площадки</w:t>
            </w:r>
            <w:r>
              <w:rPr>
                <w:rFonts w:cs="Times New Roman" w:ascii="Times New Roman" w:hAnsi="Times New Roman"/>
                <w:sz w:val="22"/>
                <w:szCs w:val="22"/>
                <w:shd w:fill="auto" w:val="clear"/>
                <w:lang w:val="ru-RU"/>
              </w:rPr>
              <w:t>;</w:t>
            </w:r>
          </w:p>
          <w:p>
            <w:pPr>
              <w:pStyle w:val="ListParagraph"/>
              <w:numPr>
                <w:ilvl w:val="1"/>
                <w:numId w:val="122"/>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Рассмотрение заявок, поданных на участие в запросе котировок и подведение итогов осуществляется закупочной комиссией заказчика</w:t>
            </w:r>
            <w:r>
              <w:rPr>
                <w:rFonts w:cs="Times New Roman" w:ascii="Times New Roman" w:hAnsi="Times New Roman"/>
                <w:sz w:val="22"/>
                <w:szCs w:val="22"/>
                <w:shd w:fill="auto" w:val="clear"/>
                <w:lang w:val="ru-RU"/>
              </w:rPr>
              <w:t>;</w:t>
            </w:r>
          </w:p>
          <w:p>
            <w:pPr>
              <w:pStyle w:val="ListParagraph"/>
              <w:numPr>
                <w:ilvl w:val="1"/>
                <w:numId w:val="123"/>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Закупочная комиссия рассматривает заявки, проверяет участников на соблюдение и соответствие требований извещения и действующего законодательства</w:t>
            </w:r>
            <w:r>
              <w:rPr>
                <w:rFonts w:cs="Times New Roman" w:ascii="Times New Roman" w:hAnsi="Times New Roman"/>
                <w:sz w:val="22"/>
                <w:szCs w:val="22"/>
                <w:shd w:fill="auto" w:val="clear"/>
                <w:lang w:val="ru-RU"/>
              </w:rPr>
              <w:t xml:space="preserve"> и </w:t>
            </w:r>
            <w:r>
              <w:rPr>
                <w:rFonts w:cs="Times New Roman" w:ascii="Times New Roman" w:hAnsi="Times New Roman"/>
                <w:sz w:val="22"/>
                <w:szCs w:val="22"/>
                <w:shd w:fill="auto" w:val="clear"/>
              </w:rPr>
              <w:t>подводит итоги</w:t>
            </w:r>
            <w:r>
              <w:rPr>
                <w:rFonts w:cs="Times New Roman" w:ascii="Times New Roman" w:hAnsi="Times New Roman"/>
                <w:sz w:val="22"/>
                <w:szCs w:val="22"/>
                <w:shd w:fill="auto" w:val="clear"/>
                <w:lang w:val="ru-RU"/>
              </w:rPr>
              <w:t>;</w:t>
            </w:r>
          </w:p>
          <w:p>
            <w:pPr>
              <w:pStyle w:val="ListParagraph"/>
              <w:numPr>
                <w:ilvl w:val="1"/>
                <w:numId w:val="124"/>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Оценка заявок осуществляется </w:t>
            </w:r>
            <w:r>
              <w:rPr>
                <w:rFonts w:cs="Times New Roman" w:ascii="Times New Roman" w:hAnsi="Times New Roman"/>
                <w:sz w:val="22"/>
                <w:szCs w:val="22"/>
                <w:shd w:fill="auto" w:val="clear"/>
                <w:lang w:val="ru-RU"/>
              </w:rPr>
              <w:t>путём</w:t>
            </w:r>
            <w:r>
              <w:rPr>
                <w:rFonts w:cs="Times New Roman" w:ascii="Times New Roman" w:hAnsi="Times New Roman"/>
                <w:sz w:val="22"/>
                <w:szCs w:val="22"/>
                <w:shd w:fill="auto" w:val="clear"/>
              </w:rPr>
              <w:t xml:space="preserve"> сравнения </w:t>
            </w:r>
            <w:r>
              <w:rPr>
                <w:rFonts w:cs="Times New Roman" w:ascii="Times New Roman" w:hAnsi="Times New Roman"/>
                <w:sz w:val="22"/>
                <w:szCs w:val="22"/>
                <w:shd w:fill="auto" w:val="clear"/>
                <w:lang w:val="ru-RU"/>
              </w:rPr>
              <w:t xml:space="preserve">поданных </w:t>
            </w:r>
            <w:r>
              <w:rPr>
                <w:rFonts w:cs="Times New Roman" w:ascii="Times New Roman" w:hAnsi="Times New Roman"/>
                <w:sz w:val="22"/>
                <w:szCs w:val="22"/>
                <w:shd w:fill="auto" w:val="clear"/>
              </w:rPr>
              <w:t>предложений участников запроса котировок о цене договора и их ранжирования по степени предпочтительности в порядке возрастания</w:t>
            </w:r>
            <w:r>
              <w:rPr>
                <w:rFonts w:cs="Times New Roman" w:ascii="Times New Roman" w:hAnsi="Times New Roman"/>
                <w:sz w:val="22"/>
                <w:szCs w:val="22"/>
                <w:shd w:fill="auto" w:val="clear"/>
                <w:lang w:val="ru-RU"/>
              </w:rPr>
              <w:t>;</w:t>
            </w:r>
          </w:p>
          <w:p>
            <w:pPr>
              <w:pStyle w:val="ListParagraph"/>
              <w:numPr>
                <w:ilvl w:val="1"/>
                <w:numId w:val="125"/>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Заявке на участие в закупке</w:t>
            </w:r>
            <w:r>
              <w:rPr>
                <w:rFonts w:cs="Times New Roman" w:ascii="Times New Roman" w:hAnsi="Times New Roman"/>
                <w:sz w:val="22"/>
                <w:szCs w:val="22"/>
                <w:shd w:fill="auto" w:val="clear"/>
                <w:lang w:val="ru-RU"/>
              </w:rPr>
              <w:t xml:space="preserve">, </w:t>
            </w:r>
            <w:r>
              <w:rPr>
                <w:rFonts w:cs="Times New Roman" w:ascii="Times New Roman" w:hAnsi="Times New Roman"/>
                <w:sz w:val="22"/>
                <w:szCs w:val="22"/>
                <w:shd w:fill="auto" w:val="clear"/>
              </w:rPr>
              <w:t>в которой содержится предложение о наименьшей цене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котировок</w:t>
            </w:r>
            <w:r>
              <w:rPr>
                <w:rFonts w:cs="Times New Roman" w:ascii="Times New Roman" w:hAnsi="Times New Roman"/>
                <w:sz w:val="22"/>
                <w:szCs w:val="22"/>
                <w:shd w:fill="auto" w:val="clear"/>
                <w:lang w:val="ru-RU"/>
              </w:rPr>
              <w:t>;</w:t>
            </w:r>
          </w:p>
          <w:p>
            <w:pPr>
              <w:pStyle w:val="ListParagraph"/>
              <w:numPr>
                <w:ilvl w:val="1"/>
                <w:numId w:val="126"/>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В случае если в нескольких заявках содержатся одинаковые предложения о цене договора, меньший порядковый номер присваивается заявке, которая поступила ранее других, содержащих такие же предложения</w:t>
            </w:r>
            <w:r>
              <w:rPr>
                <w:rFonts w:cs="Times New Roman" w:ascii="Times New Roman" w:hAnsi="Times New Roman"/>
                <w:sz w:val="22"/>
                <w:szCs w:val="22"/>
                <w:shd w:fill="auto" w:val="clear"/>
                <w:lang w:val="ru-RU"/>
              </w:rPr>
              <w:t>;</w:t>
            </w:r>
          </w:p>
          <w:p>
            <w:pPr>
              <w:pStyle w:val="ListParagraph"/>
              <w:numPr>
                <w:ilvl w:val="1"/>
                <w:numId w:val="127"/>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Комиссия имеет право осуществлять любые иные действия, позволяющие объективно рассмотреть поданные заявки, при условии, что такие действия не нарушают норм действующего законодательства, а также законных прав и интересов участников закупки</w:t>
            </w:r>
            <w:r>
              <w:rPr>
                <w:rFonts w:cs="Times New Roman" w:ascii="Times New Roman" w:hAnsi="Times New Roman"/>
                <w:sz w:val="22"/>
                <w:szCs w:val="22"/>
                <w:shd w:fill="auto" w:val="clear"/>
                <w:lang w:val="ru-RU"/>
              </w:rPr>
              <w:t>;</w:t>
            </w:r>
          </w:p>
          <w:p>
            <w:pPr>
              <w:pStyle w:val="ListParagraph"/>
              <w:numPr>
                <w:ilvl w:val="1"/>
                <w:numId w:val="128"/>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Основаниями для отклонения заявки на участие в конкурентной закупке являются:</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1)</w:t>
              <w:tab/>
              <w:t>непредставление документов, установленных документацией о конкурентной закупке и (или) извещением об осуществлении конкурентной закупки, либо наличие в таких документах недостоверных сведений;</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2)</w:t>
              <w:tab/>
              <w:t>несоответствие участника закупки требованиям, установленным документацией о конкурентной закупке и (или) извещением об осуществлении конкурентной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3)</w:t>
              <w:tab/>
              <w:t>непредставление обеспечения заявки на участие в закупке, если требование обеспечения таких заявок установлено документацией о конкурентной закупке и (или) извещением об осуществлении конкурентной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4)</w:t>
              <w:tab/>
              <w:t>несоответствие заявки на участие в закупке требованиям документацией  о  конкурентной  закупке  и  (или)  извещением об осуществлении конкурентной закупки, в том числе наличие в таких заявках предложения о цене договора, превышающей установленную НМЦД, либо предложения о цене единицы (сумме цен единиц) товара, работы, услуги, превышающей установленную начальную (максимальную) цену единицы (сумму цен единиц) товара, работы, услуги, либо указание в первой части заявки на участие в конкурсе в электронной форме, аукционе в электронной форме, запросе предложение в электронной форме сведений об участнике закупки и (или) о ценовом предложении участника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5)</w:t>
              <w:tab/>
              <w:t>предоставление участником закупки в составе заявки недостоверной информации (при этом наличие противоречий относительно одних и тех же сведений, в т.ч. арифметических ошибок при указании предлагаемых цен, не позволяющих Заказчику сделать однозначный вывод о предлагаемой цене договора, приравнивается к наличию недостоверных сведений).</w:t>
            </w:r>
          </w:p>
          <w:p>
            <w:pPr>
              <w:pStyle w:val="ListParagraph"/>
              <w:numPr>
                <w:ilvl w:val="1"/>
                <w:numId w:val="129"/>
              </w:numPr>
              <w:tabs>
                <w:tab w:val="clear" w:pos="708"/>
                <w:tab w:val="left" w:pos="0" w:leader="none"/>
                <w:tab w:val="left" w:pos="414" w:leader="none"/>
                <w:tab w:val="left" w:pos="601" w:leader="none"/>
              </w:tabs>
              <w:spacing w:lineRule="auto" w:line="240" w:before="0" w:after="0"/>
              <w:ind w:hanging="11" w:left="0"/>
              <w:contextualSpacing/>
              <w:jc w:val="both"/>
              <w:rPr>
                <w:highlight w:val="none"/>
                <w:shd w:fill="auto" w:val="clear"/>
              </w:rPr>
            </w:pPr>
            <w:r>
              <w:rPr>
                <w:rFonts w:cs="Times New Roman" w:ascii="Times New Roman" w:hAnsi="Times New Roman"/>
                <w:sz w:val="22"/>
                <w:szCs w:val="22"/>
                <w:shd w:fill="auto" w:val="clear"/>
              </w:rPr>
              <w:t>Конкурентная закупка признается несостоявшейся, если: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окончании срока подачи заявок на участие в закупке не подано ни одной заявки;</w:t>
            </w:r>
          </w:p>
          <w:p>
            <w:pPr>
              <w:pStyle w:val="ListParagraph"/>
              <w:numPr>
                <w:ilvl w:val="0"/>
                <w:numId w:val="1"/>
              </w:numPr>
              <w:tabs>
                <w:tab w:val="clear" w:pos="708"/>
                <w:tab w:val="left" w:pos="414" w:leader="none"/>
                <w:tab w:val="left" w:pos="601" w:leader="none"/>
              </w:tabs>
              <w:spacing w:lineRule="auto" w:line="240"/>
              <w:ind w:firstLine="131" w:left="0"/>
              <w:rPr>
                <w:highlight w:val="none"/>
                <w:shd w:fill="auto" w:val="clear"/>
              </w:rPr>
            </w:pPr>
            <w:r>
              <w:rPr>
                <w:rFonts w:cs="Times New Roman" w:ascii="Times New Roman" w:hAnsi="Times New Roman"/>
                <w:sz w:val="22"/>
                <w:szCs w:val="22"/>
                <w:shd w:fill="auto" w:val="clear"/>
              </w:rPr>
              <w:t>по окончании срока подачи заявок подана только одна заявка;</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результатам рассмотрения заявок (частей заявок, заявок этапов) Комиссией принято решение о признании всех поданных заявок (частей заявок, заявок этапов) несоответствующими требованиям документации о конкурентной закупке и (или) извещения об осуществлении конкурентной закупки;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результатам рассмотрения заявок (частей заявок, заявок этапов) Комиссией принято решение о признании только одной заявки (части заявки,  заявки  этапа)  соответствующей  требованиям  документации о конкурентной закупке и (или) извещения об осуществлении конкурентной закупки;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в ходе проведения аукциона в электронной форме не было сделано ни одного ценового предложения;</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в ходе проведения аукциона в электронной форме было сделано только одно ценовое предложение.</w:t>
            </w:r>
          </w:p>
          <w:p>
            <w:pPr>
              <w:pStyle w:val="ListParagraph"/>
              <w:numPr>
                <w:ilvl w:val="1"/>
                <w:numId w:val="130"/>
              </w:numPr>
              <w:tabs>
                <w:tab w:val="clear" w:pos="708"/>
                <w:tab w:val="left" w:pos="0" w:leader="none"/>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С помощью функционала и регламента электронной площадки по результатам рассмотрения заявок и подведения итогов комиссией оформляется протокол рассмотрения заявок и подведения итогов;</w:t>
            </w:r>
          </w:p>
          <w:p>
            <w:pPr>
              <w:pStyle w:val="ListParagraph"/>
              <w:numPr>
                <w:ilvl w:val="1"/>
                <w:numId w:val="131"/>
              </w:numPr>
              <w:tabs>
                <w:tab w:val="clear" w:pos="708"/>
                <w:tab w:val="left" w:pos="0" w:leader="none"/>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Протокол рассмотрения заявок и подведения итогов подписывается присутствующими членами комиссии в день рассмотрения заявок и подведения итогов, размещается в ЕИС в течение 3 (трёх) дней со дня его подписания.</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32"/>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Заключение договора по итогам запроса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numPr>
                <w:ilvl w:val="0"/>
                <w:numId w:val="133"/>
              </w:numPr>
              <w:spacing w:lineRule="auto" w:line="240" w:before="0" w:after="0"/>
              <w:ind w:firstLine="355" w:left="5"/>
              <w:jc w:val="both"/>
              <w:rPr>
                <w:highlight w:val="none"/>
                <w:shd w:fill="auto" w:val="clear"/>
              </w:rPr>
            </w:pPr>
            <w:r>
              <w:rPr>
                <w:sz w:val="22"/>
                <w:szCs w:val="22"/>
                <w:shd w:fill="auto" w:val="clear"/>
              </w:rPr>
              <w:t>Договор по результатам запроса котировок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запроса котировок, оператора электронной площадки.</w:t>
            </w:r>
          </w:p>
          <w:p>
            <w:pPr>
              <w:pStyle w:val="Normal"/>
              <w:numPr>
                <w:ilvl w:val="0"/>
                <w:numId w:val="134"/>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Проект договора, заключаемого по результатам запроса котировок в электронной форме, направляется Заказчиком победителю или участнику, с которым заключается договор, в срок не позднее </w:t>
            </w:r>
            <w:r>
              <w:rPr>
                <w:b/>
                <w:sz w:val="22"/>
                <w:szCs w:val="22"/>
                <w:shd w:fill="auto" w:val="clear"/>
              </w:rPr>
              <w:t>3 (трёх) рабочих</w:t>
            </w:r>
            <w:r>
              <w:rPr>
                <w:sz w:val="22"/>
                <w:szCs w:val="22"/>
                <w:shd w:fill="auto" w:val="clear"/>
              </w:rPr>
              <w:t xml:space="preserve"> </w:t>
            </w:r>
            <w:r>
              <w:rPr>
                <w:b/>
                <w:sz w:val="22"/>
                <w:szCs w:val="22"/>
                <w:shd w:fill="auto" w:val="clear"/>
              </w:rPr>
              <w:t>дней</w:t>
            </w:r>
            <w:r>
              <w:rPr>
                <w:sz w:val="22"/>
                <w:szCs w:val="22"/>
                <w:shd w:fill="auto" w:val="clear"/>
              </w:rPr>
              <w:t xml:space="preserve"> со дня размещения в ЕИС итогового протокола закупки, либо в случае признания победителя или участника, с которым заключается договор, уклонившимся от заключения договора - не позднее 3 (трёх) рабочих дней с даты признания такого победителя или участника уклонившимся от заключения договора.</w:t>
            </w:r>
          </w:p>
          <w:p>
            <w:pPr>
              <w:pStyle w:val="Normal"/>
              <w:numPr>
                <w:ilvl w:val="0"/>
                <w:numId w:val="135"/>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Победитель запроса котировок в электронной форме или участник занявший второе место (в случае признания победителя запроса котировок уклонившимся) с использованием электронной цифровой подписи уполномоченного лица в срок не превышающий </w:t>
            </w:r>
            <w:r>
              <w:rPr>
                <w:b/>
                <w:sz w:val="22"/>
                <w:szCs w:val="22"/>
                <w:shd w:fill="auto" w:val="clear"/>
              </w:rPr>
              <w:t xml:space="preserve">5 (пяти) календарных дней, </w:t>
            </w:r>
            <w:r>
              <w:rPr>
                <w:bCs/>
                <w:sz w:val="22"/>
                <w:szCs w:val="22"/>
                <w:shd w:fill="auto" w:val="clear"/>
              </w:rPr>
              <w:t xml:space="preserve">с даты получения Договора, </w:t>
            </w:r>
            <w:r>
              <w:rPr>
                <w:sz w:val="22"/>
                <w:szCs w:val="22"/>
                <w:shd w:fill="auto" w:val="clear"/>
              </w:rPr>
              <w:t xml:space="preserve">подписывает договор или направляет протокол разногласий, </w:t>
            </w:r>
            <w:r>
              <w:rPr>
                <w:color w:val="000000"/>
                <w:sz w:val="22"/>
                <w:szCs w:val="22"/>
                <w:shd w:fill="auto" w:val="clear"/>
              </w:rPr>
              <w:t xml:space="preserve">с указанием замечаний к положениям проекта договора, </w:t>
            </w:r>
            <w:r>
              <w:rPr>
                <w:color w:val="000000"/>
                <w:sz w:val="22"/>
                <w:szCs w:val="22"/>
                <w:u w:val="single"/>
                <w:shd w:fill="auto" w:val="clear"/>
              </w:rPr>
              <w:t>не соответствующим извещению и своей заявке</w:t>
            </w:r>
            <w:r>
              <w:rPr>
                <w:color w:val="000000"/>
                <w:sz w:val="22"/>
                <w:szCs w:val="22"/>
                <w:shd w:fill="auto" w:val="clear"/>
              </w:rPr>
              <w:t xml:space="preserve">, с указанием соответствующих положений данных документов и направляет его заказчику в рамках того же срока. </w:t>
            </w:r>
            <w:r>
              <w:rPr>
                <w:sz w:val="22"/>
                <w:szCs w:val="22"/>
                <w:shd w:fill="auto" w:val="clear"/>
              </w:rPr>
              <w:t>Протокол разногласий составляется в письменной форме. Он должен содержать следующие сведения:</w:t>
            </w:r>
          </w:p>
          <w:p>
            <w:pPr>
              <w:pStyle w:val="Normal"/>
              <w:spacing w:before="0" w:after="0"/>
              <w:ind w:firstLine="355" w:left="5"/>
              <w:jc w:val="both"/>
              <w:rPr>
                <w:highlight w:val="none"/>
                <w:shd w:fill="auto" w:val="clear"/>
              </w:rPr>
            </w:pPr>
            <w:r>
              <w:rPr>
                <w:sz w:val="22"/>
                <w:szCs w:val="22"/>
                <w:shd w:fill="auto" w:val="clear"/>
              </w:rPr>
              <w:t>а) место, дату составления протокола;</w:t>
            </w:r>
          </w:p>
          <w:p>
            <w:pPr>
              <w:pStyle w:val="Normal"/>
              <w:spacing w:before="0" w:after="0"/>
              <w:ind w:firstLine="355" w:left="5"/>
              <w:jc w:val="both"/>
              <w:rPr>
                <w:highlight w:val="none"/>
                <w:shd w:fill="auto" w:val="clear"/>
              </w:rPr>
            </w:pPr>
            <w:r>
              <w:rPr>
                <w:sz w:val="22"/>
                <w:szCs w:val="22"/>
                <w:shd w:fill="auto" w:val="clear"/>
              </w:rPr>
              <w:t>б) наименование предмета закупки и номер закупки;</w:t>
            </w:r>
          </w:p>
          <w:p>
            <w:pPr>
              <w:pStyle w:val="Normal"/>
              <w:spacing w:lineRule="auto" w:line="240" w:before="0" w:after="0"/>
              <w:ind w:firstLine="355" w:left="5"/>
              <w:jc w:val="both"/>
              <w:rPr>
                <w:highlight w:val="none"/>
                <w:shd w:fill="auto" w:val="clear"/>
              </w:rPr>
            </w:pPr>
            <w:r>
              <w:rPr>
                <w:sz w:val="22"/>
                <w:szCs w:val="22"/>
                <w:shd w:fill="auto" w:val="clear"/>
              </w:rPr>
              <w:t>в) положения договора, которые, по мнению победителя запроса котировок (единственного участника), не соответствуют извещению, и заявке участника.</w:t>
            </w:r>
          </w:p>
          <w:p>
            <w:pPr>
              <w:pStyle w:val="Normal"/>
              <w:numPr>
                <w:ilvl w:val="0"/>
                <w:numId w:val="136"/>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Заказчик рассматривает протокол разногласий в </w:t>
            </w:r>
            <w:r>
              <w:rPr>
                <w:b/>
                <w:sz w:val="22"/>
                <w:szCs w:val="22"/>
                <w:shd w:fill="auto" w:val="clear"/>
              </w:rPr>
              <w:t>течение двух</w:t>
            </w:r>
            <w:r>
              <w:rPr>
                <w:sz w:val="22"/>
                <w:szCs w:val="22"/>
                <w:shd w:fill="auto" w:val="clear"/>
              </w:rPr>
              <w:t xml:space="preserve"> </w:t>
            </w:r>
            <w:r>
              <w:rPr>
                <w:b/>
                <w:sz w:val="22"/>
                <w:szCs w:val="22"/>
                <w:shd w:fill="auto" w:val="clear"/>
              </w:rPr>
              <w:t>рабочих</w:t>
            </w:r>
            <w:r>
              <w:rPr>
                <w:sz w:val="22"/>
                <w:szCs w:val="22"/>
                <w:shd w:fill="auto" w:val="clear"/>
              </w:rPr>
              <w:t xml:space="preserve"> дней со дня его получения от победителя запроса котировок в электронной форме (единственного участника) и вправе принять одно из следующих решений:</w:t>
            </w:r>
          </w:p>
          <w:p>
            <w:pPr>
              <w:pStyle w:val="Normal"/>
              <w:spacing w:before="0" w:after="0"/>
              <w:jc w:val="both"/>
              <w:rPr>
                <w:highlight w:val="none"/>
                <w:shd w:fill="auto" w:val="clear"/>
              </w:rPr>
            </w:pPr>
            <w:r>
              <w:rPr>
                <w:sz w:val="22"/>
                <w:szCs w:val="22"/>
                <w:shd w:fill="auto" w:val="clear"/>
              </w:rPr>
              <w:t>- учесть полностью или частично возражения победителя запроса котировок в электронной форме (единственного участника), с которым заключается договор, путем внесения изменений в проект договора и повторно направить его для подписания;</w:t>
            </w:r>
          </w:p>
          <w:p>
            <w:pPr>
              <w:pStyle w:val="Normal"/>
              <w:spacing w:lineRule="auto" w:line="240" w:before="0" w:after="0"/>
              <w:jc w:val="both"/>
              <w:rPr>
                <w:highlight w:val="none"/>
                <w:shd w:fill="auto" w:val="clear"/>
              </w:rPr>
            </w:pPr>
            <w:r>
              <w:rPr>
                <w:sz w:val="22"/>
                <w:szCs w:val="22"/>
                <w:shd w:fill="auto" w:val="clear"/>
              </w:rPr>
              <w:t>- направить договор в первоначальном варианте и отдельный документ с указанием причин, по которым в принятии замечаний, содержащихся в протоколе разногласий победителя запроса котировок в электронной форме (единственного участника), с которым заключается договор, отказано.</w:t>
            </w:r>
          </w:p>
          <w:p>
            <w:pPr>
              <w:pStyle w:val="Normal"/>
              <w:numPr>
                <w:ilvl w:val="0"/>
                <w:numId w:val="137"/>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Победитель запроса котировок (единственный участник)7708410783 или участник, занявший второе место (в случае признания победителя запроса котировок уклонившимся), с которым заключается договор, в течение 3 (трёх) рабочих дней со дня получения проекта договора после протокола разногласий, подписывает договор в окончательной редакции заказчика с использованием электронной цифровой подписи уполномоченного лица.</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3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left"/>
              <w:rPr>
                <w:highlight w:val="none"/>
                <w:shd w:fill="auto" w:val="clear"/>
              </w:rPr>
            </w:pPr>
            <w:r>
              <w:rPr>
                <w:sz w:val="22"/>
                <w:szCs w:val="22"/>
                <w:shd w:fill="auto" w:val="clear"/>
              </w:rPr>
              <w:t>Условия признания победителя конкурентной закупки или иного её участника уклонившимся от заключения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26"/>
              <w:spacing w:lineRule="auto" w:line="240" w:before="0" w:after="0"/>
              <w:contextualSpacing/>
              <w:jc w:val="both"/>
              <w:rPr>
                <w:highlight w:val="none"/>
                <w:shd w:fill="auto" w:val="clear"/>
              </w:rPr>
            </w:pPr>
            <w:r>
              <w:rPr>
                <w:rFonts w:cs="Times New Roman" w:ascii="Times New Roman" w:hAnsi="Times New Roman"/>
                <w:sz w:val="22"/>
                <w:szCs w:val="22"/>
                <w:shd w:fill="auto" w:val="clear"/>
              </w:rPr>
              <w:t>Победитель конкурентной закупки или иной её участник признаются уклонившимся от заключения договора в следующих случаях:</w:t>
            </w:r>
          </w:p>
          <w:p>
            <w:pPr>
              <w:pStyle w:val="ListParagraph"/>
              <w:numPr>
                <w:ilvl w:val="0"/>
                <w:numId w:val="139"/>
              </w:numPr>
              <w:tabs>
                <w:tab w:val="clear" w:pos="708"/>
                <w:tab w:val="left" w:pos="42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непредставления, подписанного им договора в предусмотренные документацией и (или) извещением о </w:t>
            </w:r>
            <w:r>
              <w:rPr>
                <w:rFonts w:cs="Times New Roman" w:ascii="Times New Roman" w:hAnsi="Times New Roman"/>
                <w:sz w:val="22"/>
                <w:szCs w:val="22"/>
                <w:shd w:fill="auto" w:val="clear"/>
                <w:lang w:val="ru-RU"/>
              </w:rPr>
              <w:t xml:space="preserve">конкурентной </w:t>
            </w:r>
            <w:r>
              <w:rPr>
                <w:rFonts w:cs="Times New Roman" w:ascii="Times New Roman" w:hAnsi="Times New Roman"/>
                <w:sz w:val="22"/>
                <w:szCs w:val="22"/>
                <w:shd w:fill="auto" w:val="clear"/>
              </w:rPr>
              <w:t>закупке сроки;</w:t>
            </w:r>
          </w:p>
          <w:p>
            <w:pPr>
              <w:pStyle w:val="ListParagraph"/>
              <w:numPr>
                <w:ilvl w:val="0"/>
                <w:numId w:val="140"/>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непредставления им обеспечения исполнения договора, в том числе предоставление обеспечения исполнения договора в меньшем размере, предоставление обеспечения исполнения договора с нарушением требований документации и (или) извещения о </w:t>
            </w:r>
            <w:r>
              <w:rPr>
                <w:rFonts w:cs="Times New Roman" w:ascii="Times New Roman" w:hAnsi="Times New Roman"/>
                <w:sz w:val="22"/>
                <w:szCs w:val="22"/>
                <w:shd w:fill="auto" w:val="clear"/>
                <w:lang w:val="ru-RU"/>
              </w:rPr>
              <w:t xml:space="preserve">конкурентной </w:t>
            </w:r>
            <w:r>
              <w:rPr>
                <w:rFonts w:cs="Times New Roman" w:ascii="Times New Roman" w:hAnsi="Times New Roman"/>
                <w:sz w:val="22"/>
                <w:szCs w:val="22"/>
                <w:shd w:fill="auto" w:val="clear"/>
              </w:rPr>
              <w:t>закупке или предоставление обеспечения исполнения договора в ненадлежащей форме;</w:t>
            </w:r>
          </w:p>
          <w:p>
            <w:pPr>
              <w:pStyle w:val="ListParagraph"/>
              <w:numPr>
                <w:ilvl w:val="0"/>
                <w:numId w:val="141"/>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непредставление обоснования предлагаемой цены договора в случае</w:t>
            </w:r>
            <w:r>
              <w:rPr>
                <w:rFonts w:cs="Times New Roman" w:ascii="Times New Roman" w:hAnsi="Times New Roman"/>
                <w:sz w:val="22"/>
                <w:szCs w:val="22"/>
                <w:shd w:fill="auto" w:val="clear"/>
                <w:lang w:val="ru-RU"/>
              </w:rPr>
              <w:t xml:space="preserve">, если таким </w:t>
            </w:r>
            <w:r>
              <w:rPr>
                <w:rFonts w:cs="Times New Roman" w:ascii="Times New Roman" w:hAnsi="Times New Roman"/>
                <w:sz w:val="22"/>
                <w:szCs w:val="22"/>
                <w:shd w:fill="auto" w:val="clear"/>
              </w:rPr>
              <w:t xml:space="preserve">участником </w:t>
            </w:r>
            <w:r>
              <w:rPr>
                <w:rFonts w:cs="Times New Roman" w:ascii="Times New Roman" w:hAnsi="Times New Roman"/>
                <w:sz w:val="22"/>
                <w:szCs w:val="22"/>
                <w:shd w:fill="auto" w:val="clear"/>
                <w:lang w:val="ru-RU"/>
              </w:rPr>
              <w:t xml:space="preserve">закупки, предложена </w:t>
            </w:r>
            <w:r>
              <w:rPr>
                <w:rFonts w:cs="Times New Roman" w:ascii="Times New Roman" w:hAnsi="Times New Roman"/>
                <w:sz w:val="22"/>
                <w:szCs w:val="22"/>
                <w:shd w:fill="auto" w:val="clear"/>
              </w:rPr>
              <w:t>цен</w:t>
            </w:r>
            <w:r>
              <w:rPr>
                <w:rFonts w:cs="Times New Roman" w:ascii="Times New Roman" w:hAnsi="Times New Roman"/>
                <w:sz w:val="22"/>
                <w:szCs w:val="22"/>
                <w:shd w:fill="auto" w:val="clear"/>
                <w:lang w:val="ru-RU"/>
              </w:rPr>
              <w:t>а</w:t>
            </w:r>
            <w:r>
              <w:rPr>
                <w:rFonts w:cs="Times New Roman" w:ascii="Times New Roman" w:hAnsi="Times New Roman"/>
                <w:sz w:val="22"/>
                <w:szCs w:val="22"/>
                <w:shd w:fill="auto" w:val="clear"/>
              </w:rPr>
              <w:t xml:space="preserve"> договора (цена единицы (сумма цен единиц) товара, работы, услуги), которая на 25 и более процентов ниже НМЦД</w:t>
            </w:r>
            <w:r>
              <w:rPr>
                <w:rFonts w:cs="Times New Roman" w:ascii="Times New Roman" w:hAnsi="Times New Roman"/>
                <w:sz w:val="22"/>
                <w:szCs w:val="22"/>
                <w:shd w:fill="auto" w:val="clear"/>
                <w:lang w:val="ru-RU"/>
              </w:rPr>
              <w:t>;</w:t>
            </w:r>
          </w:p>
          <w:p>
            <w:pPr>
              <w:pStyle w:val="ListParagraph"/>
              <w:numPr>
                <w:ilvl w:val="0"/>
                <w:numId w:val="142"/>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поступления Заказчику в письменной форме решения об отказе</w:t>
            </w:r>
            <w:r>
              <w:rPr>
                <w:rFonts w:cs="Times New Roman" w:ascii="Times New Roman" w:hAnsi="Times New Roman"/>
                <w:sz w:val="22"/>
                <w:szCs w:val="22"/>
                <w:shd w:fill="auto" w:val="clear"/>
                <w:lang w:val="ru-RU"/>
              </w:rPr>
              <w:t xml:space="preserve"> </w:t>
            </w:r>
            <w:r>
              <w:rPr>
                <w:rFonts w:cs="Times New Roman" w:ascii="Times New Roman" w:hAnsi="Times New Roman"/>
                <w:sz w:val="22"/>
                <w:szCs w:val="22"/>
                <w:shd w:fill="auto" w:val="clear"/>
              </w:rPr>
              <w:t>от подписания договора.</w:t>
            </w:r>
          </w:p>
          <w:p>
            <w:pPr>
              <w:pStyle w:val="26"/>
              <w:spacing w:lineRule="auto" w:line="240" w:before="0" w:after="0"/>
              <w:contextualSpacing/>
              <w:jc w:val="both"/>
              <w:rPr>
                <w:highlight w:val="none"/>
                <w:shd w:fill="auto" w:val="clear"/>
              </w:rPr>
            </w:pPr>
            <w:r>
              <w:rPr>
                <w:rFonts w:cs="Times New Roman" w:ascii="Times New Roman" w:hAnsi="Times New Roman"/>
                <w:sz w:val="22"/>
                <w:szCs w:val="22"/>
                <w:shd w:fill="auto" w:val="clear"/>
              </w:rPr>
              <w:t>В случае признания победителя запроса котировок уклонившимся от заключения договора заказчик вправе обратиться в суд с иском о возмещении убытков, причинённых уклонением от заключения договора, и заключить договор с участником запроса котировок, предложившим такую же цену договора, как и победитель конкурентной закупки, или при отсутствии этого участника с участником конкурентной закупки, предложение о цене договора которого содержит лучшее условие по цене договора, следующее после предложенного победителем условия, если цена договора не превышает начальную (максимальную) цену договора, указанную в извещении.</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3"/>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Изменение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sz w:val="22"/>
                <w:szCs w:val="22"/>
                <w:shd w:fill="auto" w:val="clear"/>
              </w:rPr>
              <w:t>Изменение существенных условий договора при его исполнении не допускается, за исключением их изменения по соглашению сторон в случаях, определённых в п. 11.3 Положения о закупке товаров, работ, услуг Заказчика и действующим законодательством.</w:t>
            </w:r>
          </w:p>
        </w:tc>
      </w:tr>
      <w:tr>
        <w:trPr>
          <w:trHeight w:val="147"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4"/>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Расторжение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В соответствии с условиями договора.</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5"/>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 xml:space="preserve">Форма, порядок, дата и время окончания срока предоставления участникам закупки разъяснений положений извещения </w:t>
            </w:r>
            <w:r>
              <w:rPr>
                <w:rFonts w:eastAsia="Calibri;Trebuchet MS"/>
                <w:bCs/>
                <w:sz w:val="22"/>
                <w:szCs w:val="22"/>
                <w:shd w:fill="auto" w:val="clear"/>
              </w:rPr>
              <w:t xml:space="preserve">и (или) документации </w:t>
            </w:r>
            <w:r>
              <w:rPr>
                <w:sz w:val="22"/>
                <w:szCs w:val="22"/>
                <w:shd w:fill="auto" w:val="clear"/>
              </w:rPr>
              <w:t>о закупке.</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rFonts w:eastAsia="Calibri;Trebuchet MS"/>
                <w:bCs/>
                <w:sz w:val="22"/>
                <w:szCs w:val="22"/>
                <w:shd w:fill="auto" w:val="clear"/>
              </w:rPr>
              <w:t xml:space="preserve">1. Любой </w:t>
            </w:r>
            <w:r>
              <w:rPr>
                <w:rFonts w:eastAsia="Calibri;Trebuchet MS"/>
                <w:bCs/>
                <w:color w:val="000000"/>
                <w:sz w:val="22"/>
                <w:szCs w:val="22"/>
                <w:shd w:fill="auto" w:val="clear"/>
              </w:rPr>
              <w:t xml:space="preserve">участник конкурентной закупки </w:t>
            </w:r>
            <w:r>
              <w:rPr>
                <w:rFonts w:eastAsia="Calibri;Trebuchet MS"/>
                <w:bCs/>
                <w:sz w:val="22"/>
                <w:szCs w:val="22"/>
                <w:shd w:fill="auto" w:val="clear"/>
              </w:rPr>
              <w:t xml:space="preserve">вправе направить Заказчику </w:t>
            </w:r>
            <w:r>
              <w:rPr>
                <w:sz w:val="22"/>
                <w:szCs w:val="22"/>
                <w:shd w:fill="auto" w:val="clear"/>
              </w:rPr>
              <w:t xml:space="preserve">в порядке, предусмотренном Федеральным законом от 18.07.2011 № 223-ФЗ и Положением о закупке Заказчика </w:t>
            </w:r>
            <w:r>
              <w:rPr>
                <w:rFonts w:eastAsia="Calibri;Trebuchet MS"/>
                <w:bCs/>
                <w:sz w:val="22"/>
                <w:szCs w:val="22"/>
                <w:shd w:fill="auto" w:val="clear"/>
              </w:rPr>
              <w:t>запрос на предоставление разъяснений положений извещения и (или) документации о проведении закупки, с учётом следующих требований:</w:t>
            </w:r>
            <w:r>
              <w:rPr>
                <w:rFonts w:eastAsia="Calibri;Trebuchet MS"/>
                <w:b/>
                <w:bCs/>
                <w:sz w:val="22"/>
                <w:szCs w:val="22"/>
                <w:shd w:fill="auto" w:val="clear"/>
              </w:rPr>
              <w:t xml:space="preserve"> </w:t>
            </w:r>
            <w:r>
              <w:rPr>
                <w:rFonts w:eastAsia="Calibri;Trebuchet MS"/>
                <w:bCs/>
                <w:sz w:val="22"/>
                <w:szCs w:val="22"/>
                <w:shd w:fill="auto" w:val="clear"/>
              </w:rPr>
              <w:t>электронная форма такого запроса подаётся участником закупки с использованием программно-аппаратных средств электронной площадки, на которой планируется проведение такой закупки. В запросе должны быть указаны номер извещения и наименование предмета закупки.</w:t>
            </w:r>
          </w:p>
          <w:p>
            <w:pPr>
              <w:pStyle w:val="Normal"/>
              <w:spacing w:lineRule="auto" w:line="240" w:before="0" w:after="0"/>
              <w:jc w:val="both"/>
              <w:rPr>
                <w:highlight w:val="none"/>
                <w:shd w:fill="auto" w:val="clear"/>
              </w:rPr>
            </w:pPr>
            <w:r>
              <w:rPr>
                <w:rFonts w:eastAsia="Calibri;Trebuchet MS"/>
                <w:bCs/>
                <w:sz w:val="22"/>
                <w:szCs w:val="22"/>
                <w:shd w:fill="auto" w:val="clear"/>
              </w:rPr>
              <w:t>2. Заказчик обязан предоставить разъяснение положений извещения и (или) документации о проведении закупки (далее – разъяснение), в соответствии с поданным запросом, путём его размещения в ЕИС через использование программно-аппаратных средств электронной площадки в течение 3 (трёх) рабочих дней с даты его получения при условии, что запрос на разъяснение поступил не позднее чем за 3 (три) рабочих дня до даты окончания срока подачи заявок на участие в такой закупке. Если запрос был направлен с нарушением данных сроков, заказчик имеет право не давать разъяснения по такому запросу.</w:t>
            </w:r>
          </w:p>
          <w:p>
            <w:pPr>
              <w:pStyle w:val="Normal"/>
              <w:spacing w:lineRule="auto" w:line="240" w:before="0" w:after="0"/>
              <w:jc w:val="both"/>
              <w:rPr>
                <w:highlight w:val="none"/>
                <w:shd w:fill="auto" w:val="clear"/>
              </w:rPr>
            </w:pPr>
            <w:r>
              <w:rPr>
                <w:rFonts w:eastAsia="Calibri;Trebuchet MS"/>
                <w:bCs/>
                <w:sz w:val="22"/>
                <w:szCs w:val="22"/>
                <w:shd w:fill="auto" w:val="clear"/>
              </w:rPr>
              <w:t>3. Разъяснения не должны изменять предмет закупки и существенные условия проекта договора.</w:t>
            </w:r>
          </w:p>
          <w:p>
            <w:pPr>
              <w:pStyle w:val="Normal"/>
              <w:spacing w:lineRule="auto" w:line="240" w:before="0" w:after="0"/>
              <w:contextualSpacing/>
              <w:jc w:val="both"/>
              <w:rPr>
                <w:highlight w:val="none"/>
                <w:shd w:fill="auto" w:val="clear"/>
              </w:rPr>
            </w:pPr>
            <w:r>
              <w:rPr>
                <w:rFonts w:eastAsia="Calibri;Trebuchet MS"/>
                <w:b/>
                <w:sz w:val="22"/>
                <w:szCs w:val="22"/>
                <w:shd w:fill="auto" w:val="clear"/>
                <w:lang w:eastAsia="ar-SA"/>
              </w:rPr>
              <w:t>Д</w:t>
            </w:r>
            <w:r>
              <w:rPr>
                <w:rFonts w:eastAsia="Calibri;Trebuchet MS"/>
                <w:b/>
                <w:sz w:val="22"/>
                <w:szCs w:val="22"/>
                <w:u w:val="none"/>
                <w:shd w:fill="auto" w:val="clear"/>
                <w:lang w:eastAsia="ar-SA"/>
              </w:rPr>
              <w:t xml:space="preserve">ата окончания срока предоставления участникам закупки разъяснений </w:t>
            </w:r>
            <w:r>
              <w:rPr>
                <w:rFonts w:eastAsia="Calibri;Trebuchet MS"/>
                <w:b/>
                <w:sz w:val="22"/>
                <w:szCs w:val="22"/>
                <w:shd w:fill="auto" w:val="clear"/>
                <w:lang w:eastAsia="ar-SA"/>
              </w:rPr>
              <w:t>извещения о закупке:</w:t>
            </w:r>
            <w:r>
              <w:rPr>
                <w:b/>
                <w:bCs/>
                <w:sz w:val="22"/>
                <w:szCs w:val="22"/>
                <w:u w:val="none"/>
                <w:shd w:fill="auto" w:val="clear"/>
                <w:lang w:eastAsia="ar-SA"/>
              </w:rPr>
              <w:t xml:space="preserve"> </w:t>
            </w:r>
            <w:r>
              <w:rPr>
                <w:b/>
                <w:bCs/>
                <w:sz w:val="22"/>
                <w:szCs w:val="22"/>
                <w:u w:val="none"/>
                <w:shd w:fill="auto" w:val="clear"/>
                <w:lang w:eastAsia="ar-SA"/>
              </w:rPr>
              <w:t>14.10.</w:t>
            </w:r>
            <w:r>
              <w:rPr>
                <w:rFonts w:eastAsia="Calibri;Trebuchet MS"/>
                <w:b/>
                <w:bCs/>
                <w:sz w:val="22"/>
                <w:szCs w:val="22"/>
                <w:u w:val="none"/>
                <w:shd w:fill="auto" w:val="clear"/>
                <w:lang w:eastAsia="ar-SA"/>
              </w:rPr>
              <w:t xml:space="preserve">2026 г. до 00:00 МСК </w:t>
            </w:r>
            <w:r>
              <w:rPr>
                <w:b/>
                <w:bCs/>
                <w:sz w:val="22"/>
                <w:szCs w:val="22"/>
                <w:u w:val="none"/>
                <w:shd w:fill="auto" w:val="clear"/>
                <w:lang w:eastAsia="ar-SA"/>
              </w:rPr>
              <w:t>п</w:t>
            </w:r>
            <w:r>
              <w:rPr>
                <w:rFonts w:eastAsia="Calibri;Trebuchet MS"/>
                <w:b/>
                <w:sz w:val="22"/>
                <w:szCs w:val="22"/>
                <w:shd w:fill="auto" w:val="clear"/>
                <w:lang w:eastAsia="ar-SA"/>
              </w:rPr>
              <w:t>ри условии, что запрос на разъяснение поступил не позднее чем за 3 (три) рабочих дня до даты окончания срока подачи заявок на участие в такой закупке.</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6"/>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160"/>
              <w:jc w:val="left"/>
              <w:rPr>
                <w:highlight w:val="none"/>
                <w:shd w:fill="auto" w:val="clear"/>
              </w:rPr>
            </w:pPr>
            <w:r>
              <w:rPr>
                <w:sz w:val="22"/>
                <w:szCs w:val="22"/>
                <w:shd w:fill="auto" w:val="clear"/>
              </w:rPr>
              <w:t>Размер обеспечения исполнения договора, срок и порядок его предоставления и возврата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Обеспечение исполнения договора не установлено.</w:t>
            </w:r>
          </w:p>
          <w:p>
            <w:pPr>
              <w:pStyle w:val="Normal"/>
              <w:spacing w:lineRule="auto" w:line="240" w:before="0" w:after="0"/>
              <w:contextualSpacing/>
              <w:jc w:val="both"/>
              <w:rPr>
                <w:sz w:val="22"/>
                <w:szCs w:val="22"/>
                <w:highlight w:val="none"/>
                <w:shd w:fill="auto" w:val="clear"/>
                <w:lang w:eastAsia="ar-SA"/>
              </w:rPr>
            </w:pPr>
            <w:r>
              <w:rPr>
                <w:sz w:val="22"/>
                <w:szCs w:val="22"/>
                <w:shd w:fill="auto" w:val="clear"/>
                <w:lang w:eastAsia="ar-SA"/>
              </w:rPr>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7"/>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lang w:eastAsia="ar-SA"/>
              </w:rPr>
            </w:pPr>
            <w:r>
              <w:rPr>
                <w:rFonts w:cs="Times New Roman" w:ascii="Times New Roman" w:hAnsi="Times New Roman"/>
                <w:sz w:val="22"/>
                <w:szCs w:val="22"/>
                <w:shd w:fill="E1DFDD" w:val="clear"/>
                <w:lang w:eastAsia="ar-SA"/>
              </w:rPr>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160"/>
              <w:jc w:val="left"/>
              <w:rPr>
                <w:highlight w:val="none"/>
                <w:shd w:fill="auto" w:val="clear"/>
              </w:rPr>
            </w:pPr>
            <w:r>
              <w:rPr>
                <w:sz w:val="22"/>
                <w:szCs w:val="22"/>
                <w:shd w:fill="auto" w:val="clear"/>
              </w:rPr>
              <w:t>Размер обеспечения заявки, срок и порядок его предоставления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Не установлено.</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Обеспечение исполнения гарантийных обязательств</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Не установлено.</w:t>
            </w:r>
          </w:p>
          <w:p>
            <w:pPr>
              <w:pStyle w:val="Normal"/>
              <w:spacing w:lineRule="auto" w:line="240" w:before="0" w:after="0"/>
              <w:contextualSpacing/>
              <w:jc w:val="both"/>
              <w:rPr>
                <w:rFonts w:eastAsia="Calibri;Trebuchet MS"/>
                <w:b/>
                <w:sz w:val="22"/>
                <w:szCs w:val="22"/>
                <w:highlight w:val="none"/>
                <w:shd w:fill="auto" w:val="clear"/>
                <w:lang w:eastAsia="ar-SA"/>
              </w:rPr>
            </w:pPr>
            <w:r>
              <w:rPr>
                <w:rFonts w:eastAsia="Calibri;Trebuchet MS"/>
                <w:b/>
                <w:sz w:val="22"/>
                <w:szCs w:val="22"/>
                <w:shd w:fill="auto" w:val="clear"/>
                <w:lang w:eastAsia="ar-SA"/>
              </w:rPr>
            </w:r>
          </w:p>
        </w:tc>
      </w:tr>
      <w:tr>
        <w:trPr>
          <w:trHeight w:val="236"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9"/>
              </w:numPr>
              <w:tabs>
                <w:tab w:val="clear" w:pos="708"/>
                <w:tab w:val="left" w:pos="0" w:leader="none"/>
              </w:tabs>
              <w:snapToGrid w:val="false"/>
              <w:spacing w:lineRule="auto" w:line="240" w:before="0" w:after="0"/>
              <w:ind w:hanging="357" w:left="470"/>
              <w:contextualSpacing/>
              <w:jc w:val="center"/>
              <w:rPr>
                <w:rFonts w:ascii="Times New Roman" w:hAnsi="Times New Roman" w:eastAsia="Calibri;Trebuchet MS" w:cs="Times New Roman"/>
                <w:b/>
                <w:sz w:val="22"/>
                <w:szCs w:val="22"/>
                <w:lang w:eastAsia="ar-SA"/>
              </w:rPr>
            </w:pPr>
            <w:r>
              <w:rPr>
                <w:rFonts w:eastAsia="Calibri;Trebuchet MS" w:cs="Times New Roman" w:ascii="Times New Roman" w:hAnsi="Times New Roman"/>
                <w:b/>
                <w:sz w:val="22"/>
                <w:szCs w:val="22"/>
                <w:shd w:fill="E1DFDD" w:val="clear"/>
                <w:lang w:eastAsia="ar-SA"/>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Валюта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Российский рубль.</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5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Приложения, являющиеся неотъемлемой частью данного извещения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contextualSpacing/>
              <w:jc w:val="both"/>
              <w:rPr>
                <w:highlight w:val="none"/>
                <w:shd w:fill="auto" w:val="clear"/>
              </w:rPr>
            </w:pPr>
            <w:r>
              <w:rPr>
                <w:sz w:val="22"/>
                <w:szCs w:val="22"/>
                <w:shd w:fill="auto" w:val="clear"/>
              </w:rPr>
              <w:t>Приложение №1 Техническое задание;</w:t>
            </w:r>
          </w:p>
          <w:p>
            <w:pPr>
              <w:pStyle w:val="Normal"/>
              <w:spacing w:lineRule="auto" w:line="240" w:before="0" w:after="160"/>
              <w:contextualSpacing/>
              <w:jc w:val="both"/>
              <w:rPr>
                <w:highlight w:val="none"/>
                <w:shd w:fill="auto" w:val="clear"/>
              </w:rPr>
            </w:pPr>
            <w:r>
              <w:rPr>
                <w:sz w:val="22"/>
                <w:szCs w:val="22"/>
                <w:shd w:fill="auto" w:val="clear"/>
              </w:rPr>
              <w:t>Приложение №2 Форма заявки на участие в запросе котировок;</w:t>
            </w:r>
          </w:p>
          <w:p>
            <w:pPr>
              <w:pStyle w:val="Normal"/>
              <w:spacing w:lineRule="auto" w:line="240" w:before="0" w:after="160"/>
              <w:contextualSpacing/>
              <w:jc w:val="both"/>
              <w:rPr>
                <w:highlight w:val="none"/>
                <w:shd w:fill="auto" w:val="clear"/>
              </w:rPr>
            </w:pPr>
            <w:r>
              <w:rPr>
                <w:sz w:val="22"/>
                <w:szCs w:val="22"/>
                <w:shd w:fill="auto" w:val="clear"/>
              </w:rPr>
              <w:t>Приложение №3 Форма анкеты участника;</w:t>
            </w:r>
          </w:p>
          <w:p>
            <w:pPr>
              <w:pStyle w:val="Normal"/>
              <w:spacing w:lineRule="auto" w:line="240" w:before="0" w:after="160"/>
              <w:contextualSpacing/>
              <w:jc w:val="both"/>
              <w:rPr>
                <w:highlight w:val="none"/>
                <w:shd w:fill="auto" w:val="clear"/>
              </w:rPr>
            </w:pPr>
            <w:r>
              <w:rPr>
                <w:sz w:val="22"/>
                <w:szCs w:val="22"/>
                <w:shd w:fill="auto" w:val="clear"/>
              </w:rPr>
              <w:t>Приложение №4 Форма согласия обработки персональных данных;</w:t>
            </w:r>
          </w:p>
          <w:p>
            <w:pPr>
              <w:pStyle w:val="Normal"/>
              <w:spacing w:lineRule="auto" w:line="240" w:before="0" w:after="160"/>
              <w:contextualSpacing/>
              <w:jc w:val="both"/>
              <w:rPr>
                <w:highlight w:val="none"/>
                <w:shd w:fill="auto" w:val="clear"/>
              </w:rPr>
            </w:pPr>
            <w:r>
              <w:rPr>
                <w:sz w:val="22"/>
                <w:szCs w:val="22"/>
                <w:shd w:fill="auto" w:val="clear"/>
              </w:rPr>
              <w:t>Приложение №5 Коммерческое предложение;</w:t>
            </w:r>
          </w:p>
          <w:p>
            <w:pPr>
              <w:pStyle w:val="Normal"/>
              <w:spacing w:lineRule="auto" w:line="240" w:before="0" w:after="160"/>
              <w:contextualSpacing/>
              <w:jc w:val="both"/>
              <w:rPr>
                <w:highlight w:val="none"/>
                <w:shd w:fill="auto" w:val="clear"/>
              </w:rPr>
            </w:pPr>
            <w:r>
              <w:rPr>
                <w:sz w:val="22"/>
                <w:szCs w:val="22"/>
                <w:shd w:fill="auto" w:val="clear"/>
              </w:rPr>
              <w:t>Приложение №6 Проект договора;</w:t>
            </w:r>
          </w:p>
          <w:p>
            <w:pPr>
              <w:pStyle w:val="Normal"/>
              <w:spacing w:lineRule="auto" w:line="240" w:before="0" w:after="0"/>
              <w:contextualSpacing/>
              <w:jc w:val="both"/>
              <w:rPr>
                <w:highlight w:val="none"/>
                <w:shd w:fill="auto" w:val="clear"/>
              </w:rPr>
            </w:pPr>
            <w:bookmarkStart w:id="0" w:name="_Hlk182486098"/>
            <w:r>
              <w:rPr>
                <w:sz w:val="22"/>
                <w:szCs w:val="22"/>
                <w:shd w:fill="auto" w:val="clear"/>
              </w:rPr>
              <w:t>Приложение №7 Обоснование начальной (максимальной) цены договора.</w:t>
            </w:r>
            <w:bookmarkEnd w:id="0"/>
          </w:p>
        </w:tc>
      </w:tr>
    </w:tbl>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t>Разработал Документацию — Извещение № 445-ЗК-223-26:</w:t>
      </w:r>
    </w:p>
    <w:p>
      <w:pPr>
        <w:pStyle w:val="Normal"/>
        <w:numPr>
          <w:ilvl w:val="0"/>
          <w:numId w:val="0"/>
        </w:numPr>
        <w:spacing w:lineRule="auto" w:line="240" w:before="0" w:after="0"/>
        <w:ind w:hanging="0" w:left="0"/>
        <w:jc w:val="left"/>
        <w:outlineLvl w:val="0"/>
        <w:rPr>
          <w:bCs/>
        </w:rPr>
      </w:pPr>
      <w:r>
        <w:rPr>
          <w:bCs/>
        </w:rPr>
        <w:t xml:space="preserve"> </w:t>
      </w:r>
      <w:r>
        <w:rPr>
          <w:bCs/>
        </w:rPr>
        <w:t>Ведущий специалист ОПЗП__________________________О.Е. Евдокимова</w:t>
      </w:r>
    </w:p>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t>Согласовано:</w:t>
      </w:r>
    </w:p>
    <w:p>
      <w:pPr>
        <w:pStyle w:val="Normal"/>
        <w:numPr>
          <w:ilvl w:val="0"/>
          <w:numId w:val="0"/>
        </w:numPr>
        <w:spacing w:lineRule="auto" w:line="240" w:before="0" w:after="0"/>
        <w:ind w:hanging="0" w:left="0"/>
        <w:jc w:val="left"/>
        <w:outlineLvl w:val="0"/>
        <w:rPr>
          <w:bCs/>
        </w:rPr>
      </w:pPr>
      <w:r>
        <w:rPr>
          <w:bCs/>
        </w:rPr>
        <w:t xml:space="preserve">                     </w:t>
      </w:r>
      <w:r>
        <w:rPr>
          <w:bCs/>
        </w:rPr>
        <w:t>Начальник ОПЗП___________________________________А.А.Попова</w:t>
      </w:r>
    </w:p>
    <w:p>
      <w:pPr>
        <w:pStyle w:val="Normal"/>
        <w:numPr>
          <w:ilvl w:val="0"/>
          <w:numId w:val="0"/>
        </w:numPr>
        <w:spacing w:lineRule="auto" w:line="240" w:before="0" w:after="0"/>
        <w:ind w:hanging="0" w:left="0"/>
        <w:jc w:val="left"/>
        <w:outlineLvl w:val="0"/>
        <w:rPr>
          <w:bCs/>
        </w:rPr>
      </w:pPr>
      <w:r>
        <w:rPr/>
        <w:t xml:space="preserve">                     </w:t>
      </w:r>
      <w:r>
        <w:rPr/>
        <w:t>Начальник СЗ_____________________________________Л.Н.Барсова</w:t>
      </w:r>
    </w:p>
    <w:sectPr>
      <w:headerReference w:type="even" r:id="rId7"/>
      <w:headerReference w:type="default" r:id="rId8"/>
      <w:headerReference w:type="first" r:id="rId9"/>
      <w:footerReference w:type="even" r:id="rId10"/>
      <w:footerReference w:type="default" r:id="rId11"/>
      <w:footerReference w:type="first" r:id="rId12"/>
      <w:type w:val="nextPage"/>
      <w:pgSz w:w="11906" w:h="16838"/>
      <w:pgMar w:left="1170" w:right="656" w:gutter="0" w:header="680" w:top="737" w:footer="624" w:bottom="765"/>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empora LGC Uni">
    <w:charset w:val="01"/>
    <w:family w:val="roman"/>
    <w:pitch w:val="variable"/>
  </w:font>
  <w:font w:name="Times New Roman">
    <w:charset w:val="01"/>
    <w:family w:val="roman"/>
    <w:pitch w:val="variable"/>
  </w:font>
  <w:font w:name="SimSun">
    <w:altName w:val="Times New Roman"/>
    <w:charset w:val="01"/>
    <w:family w:val="roman"/>
    <w:pitch w:val="variable"/>
  </w:font>
  <w:font w:name="Arial">
    <w:charset w:val="01"/>
    <w:family w:val="swiss"/>
    <w:pitch w:val="variable"/>
  </w:font>
  <w:font w:name="Symbol">
    <w:altName w:val="Andale Mono"/>
    <w:charset w:val="01"/>
    <w:family w:val="roman"/>
    <w:pitch w:val="variable"/>
  </w:font>
  <w:font w:name="Courier New">
    <w:charset w:val="01"/>
    <w:family w:val="roman"/>
    <w:pitch w:val="variable"/>
  </w:font>
  <w:font w:name="Wingdings">
    <w:altName w:val="Andale Mono"/>
    <w:charset w:val="01"/>
    <w:family w:val="roman"/>
    <w:pitch w:val="variable"/>
  </w:font>
  <w:font w:name="Arial Unicode MS">
    <w:altName w:val="Arial"/>
    <w:charset w:val="01"/>
    <w:family w:val="roman"/>
    <w:pitch w:val="variable"/>
  </w:font>
  <w:font w:name="Calibri">
    <w:altName w:val="Trebuchet MS"/>
    <w:charset w:val="01"/>
    <w:family w:val="roman"/>
    <w:pitch w:val="variable"/>
  </w:font>
  <w:font w:name="Tahoma">
    <w:charset w:val="01"/>
    <w:family w:val="roman"/>
    <w:pitch w:val="variable"/>
  </w:font>
  <w:font w:name="Open Sans">
    <w:charset w:val="01"/>
    <w:family w:val="roman"/>
    <w:pitch w:val="variable"/>
  </w:font>
  <w:font w:name="Liberation Sans">
    <w:altName w:val="Arial"/>
    <w:charset w:val="01"/>
    <w:family w:val="roman"/>
    <w:pitch w:val="variable"/>
  </w:font>
  <w:font w:name="Consolas">
    <w:altName w:val="Liberation Sans Narrow"/>
    <w:charset w:val="01"/>
    <w:family w:val="roman"/>
    <w:pitch w:val="variable"/>
  </w:font>
  <w:font w:name="Liberation Mono">
    <w:altName w:val="Courier New"/>
    <w:charset w:val="01"/>
    <w:family w:val="roman"/>
    <w:pitch w:val="variable"/>
  </w:font>
  <w:font w:name="Verdan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ind w:right="360"/>
      <w:jc w:val="right"/>
      <w:rPr>
        <w:rFonts w:cs="Courier New"/>
      </w:rPr>
    </w:pPr>
    <w:r>
      <w:rPr>
        <w:rFonts w:cs="Courier New"/>
      </w:rPr>
      <mc:AlternateContent>
        <mc:Choice Requires="wps">
          <w:drawing>
            <wp:anchor behindDoc="1" distT="0" distB="0" distL="0" distR="0" simplePos="0" locked="0" layoutInCell="0" allowOverlap="1" relativeHeight="30">
              <wp:simplePos x="0" y="0"/>
              <wp:positionH relativeFrom="rightMargin">
                <wp:posOffset>635</wp:posOffset>
              </wp:positionH>
              <wp:positionV relativeFrom="paragraph">
                <wp:posOffset>5080</wp:posOffset>
              </wp:positionV>
              <wp:extent cx="15875" cy="176530"/>
              <wp:effectExtent l="0" t="0" r="0" b="0"/>
              <wp:wrapNone/>
              <wp:docPr id="1" name="Врезка3"/>
              <a:graphic xmlns:a="http://schemas.openxmlformats.org/drawingml/2006/main">
                <a:graphicData uri="http://schemas.microsoft.com/office/word/2010/wordprocessingShape">
                  <wps:wsp>
                    <wps:cNvSpPr/>
                    <wps:spPr>
                      <a:xfrm>
                        <a:off x="0" y="0"/>
                        <a:ext cx="15840" cy="176400"/>
                      </a:xfrm>
                      <a:prstGeom prst="rect">
                        <a:avLst/>
                      </a:prstGeom>
                      <a:noFill/>
                      <a:ln w="0">
                        <a:noFill/>
                      </a:ln>
                    </wps:spPr>
                    <wps:style>
                      <a:lnRef idx="0"/>
                      <a:fillRef idx="0"/>
                      <a:effectRef idx="0"/>
                      <a:fontRef idx="minor"/>
                    </wps:style>
                    <wps:txbx>
                      <w:txbxContent>
                        <w:p>
                          <w:pPr>
                            <w:pStyle w:val="Style27"/>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wps:txbx>
                    <wps:bodyPr lIns="720" rIns="720" tIns="720" bIns="720" anchor="t">
                      <a:noAutofit/>
                    </wps:bodyPr>
                  </wps:wsp>
                </a:graphicData>
              </a:graphic>
            </wp:anchor>
          </w:drawing>
        </mc:Choice>
        <mc:Fallback>
          <w:pict>
            <v:rect id="shape_0" ID="Врезка3" path="m0,0l-2147483645,0l-2147483645,-2147483646l0,-2147483646xe" stroked="f" o:allowincell="f" style="position:absolute;margin-left:0.05pt;margin-top:0.4pt;width:1.2pt;height:13.85pt;mso-wrap-style:square;v-text-anchor:top;mso-position-horizontal-relative:page">
              <v:fill o:detectmouseclick="t" on="false"/>
              <v:stroke color="#3465a4" joinstyle="round" endcap="flat"/>
              <v:textbox>
                <w:txbxContent>
                  <w:p>
                    <w:pPr>
                      <w:pStyle w:val="Style27"/>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jc w:val="right"/>
      <w:rPr/>
    </w:pPr>
    <w:r>
      <w:rPr/>
      <w:fldChar w:fldCharType="begin"/>
    </w:r>
    <w:r>
      <w:rPr/>
      <w:instrText xml:space="preserve"> PAGE </w:instrText>
    </w:r>
    <w:r>
      <w:rPr/>
      <w:fldChar w:fldCharType="separate"/>
    </w:r>
    <w:r>
      <w:rPr/>
      <w:t>1</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center"/>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4">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1">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7">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8">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9">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0">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1">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2">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6">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7">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8">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9">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0">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1">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2">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3">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4">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5">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6">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8">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9">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0">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1">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2">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4">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5">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6">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7">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2"/>
    <w:lvlOverride w:ilvl="0">
      <w:startOverride w:val="1"/>
    </w:lvlOverride>
  </w:num>
  <w:num w:numId="78">
    <w:abstractNumId w:val="2"/>
  </w:num>
  <w:num w:numId="79">
    <w:abstractNumId w:val="2"/>
  </w:num>
  <w:num w:numId="80">
    <w:abstractNumId w:val="2"/>
  </w:num>
  <w:num w:numId="81">
    <w:abstractNumId w:val="2"/>
  </w:num>
  <w:num w:numId="82">
    <w:abstractNumId w:val="2"/>
  </w:num>
  <w:num w:numId="83">
    <w:abstractNumId w:val="2"/>
  </w:num>
  <w:num w:numId="84">
    <w:abstractNumId w:val="2"/>
  </w:num>
  <w:num w:numId="85">
    <w:abstractNumId w:val="2"/>
  </w:num>
  <w:num w:numId="86">
    <w:abstractNumId w:val="2"/>
  </w:num>
  <w:num w:numId="87">
    <w:abstractNumId w:val="12"/>
    <w:lvlOverride w:ilvl="0">
      <w:startOverride w:val="1"/>
    </w:lvlOverride>
  </w:num>
  <w:num w:numId="88">
    <w:abstractNumId w:val="12"/>
  </w:num>
  <w:num w:numId="89">
    <w:abstractNumId w:val="12"/>
  </w:num>
  <w:num w:numId="90">
    <w:abstractNumId w:val="12"/>
  </w:num>
  <w:num w:numId="91">
    <w:abstractNumId w:val="12"/>
  </w:num>
  <w:num w:numId="92">
    <w:abstractNumId w:val="12"/>
  </w:num>
  <w:num w:numId="93">
    <w:abstractNumId w:val="12"/>
  </w:num>
  <w:num w:numId="94">
    <w:abstractNumId w:val="12"/>
  </w:num>
  <w:num w:numId="95">
    <w:abstractNumId w:val="12"/>
  </w:num>
  <w:num w:numId="96">
    <w:abstractNumId w:val="12"/>
  </w:num>
  <w:num w:numId="97">
    <w:abstractNumId w:val="12"/>
  </w:num>
  <w:num w:numId="98">
    <w:abstractNumId w:val="12"/>
  </w:num>
  <w:num w:numId="99">
    <w:abstractNumId w:val="12"/>
  </w:num>
  <w:num w:numId="100">
    <w:abstractNumId w:val="2"/>
  </w:num>
  <w:num w:numId="101">
    <w:abstractNumId w:val="2"/>
  </w:num>
  <w:num w:numId="102">
    <w:abstractNumId w:val="27"/>
    <w:lvlOverride w:ilvl="0">
      <w:startOverride w:val="1"/>
    </w:lvlOverride>
  </w:num>
  <w:num w:numId="103">
    <w:abstractNumId w:val="27"/>
  </w:num>
  <w:num w:numId="104">
    <w:abstractNumId w:val="27"/>
  </w:num>
  <w:num w:numId="105">
    <w:abstractNumId w:val="27"/>
  </w:num>
  <w:num w:numId="106">
    <w:abstractNumId w:val="27"/>
  </w:num>
  <w:num w:numId="107">
    <w:abstractNumId w:val="27"/>
  </w:num>
  <w:num w:numId="108">
    <w:abstractNumId w:val="27"/>
  </w:num>
  <w:num w:numId="109">
    <w:abstractNumId w:val="2"/>
  </w:num>
  <w:num w:numId="110">
    <w:abstractNumId w:val="2"/>
  </w:num>
  <w:num w:numId="111">
    <w:abstractNumId w:val="2"/>
  </w:num>
  <w:num w:numId="112">
    <w:abstractNumId w:val="37"/>
    <w:lvlOverride w:ilvl="0">
      <w:startOverride w:val="1"/>
    </w:lvlOverride>
  </w:num>
  <w:num w:numId="113">
    <w:abstractNumId w:val="37"/>
  </w:num>
  <w:num w:numId="114">
    <w:abstractNumId w:val="37"/>
  </w:num>
  <w:num w:numId="115">
    <w:abstractNumId w:val="37"/>
  </w:num>
  <w:num w:numId="116">
    <w:abstractNumId w:val="37"/>
  </w:num>
  <w:num w:numId="117">
    <w:abstractNumId w:val="37"/>
  </w:num>
  <w:num w:numId="118">
    <w:abstractNumId w:val="2"/>
  </w:num>
  <w:num w:numId="119">
    <w:abstractNumId w:val="2"/>
  </w:num>
  <w:num w:numId="120">
    <w:abstractNumId w:val="2"/>
  </w:num>
  <w:num w:numId="121">
    <w:abstractNumId w:val="46"/>
    <w:lvlOverride w:ilvl="0">
      <w:startOverride w:val="1"/>
    </w:lvlOverride>
    <w:lvlOverride w:ilvl="1">
      <w:startOverride w:val="1"/>
    </w:lvlOverride>
  </w:num>
  <w:num w:numId="122">
    <w:abstractNumId w:val="46"/>
  </w:num>
  <w:num w:numId="123">
    <w:abstractNumId w:val="46"/>
  </w:num>
  <w:num w:numId="124">
    <w:abstractNumId w:val="46"/>
  </w:num>
  <w:num w:numId="125">
    <w:abstractNumId w:val="46"/>
  </w:num>
  <w:num w:numId="126">
    <w:abstractNumId w:val="46"/>
  </w:num>
  <w:num w:numId="127">
    <w:abstractNumId w:val="46"/>
  </w:num>
  <w:num w:numId="128">
    <w:abstractNumId w:val="46"/>
  </w:num>
  <w:num w:numId="129">
    <w:abstractNumId w:val="46"/>
  </w:num>
  <w:num w:numId="130">
    <w:abstractNumId w:val="46"/>
  </w:num>
  <w:num w:numId="131">
    <w:abstractNumId w:val="46"/>
  </w:num>
  <w:num w:numId="132">
    <w:abstractNumId w:val="2"/>
  </w:num>
  <w:num w:numId="133">
    <w:abstractNumId w:val="58"/>
    <w:lvlOverride w:ilvl="0">
      <w:startOverride w:val="1"/>
    </w:lvlOverride>
  </w:num>
  <w:num w:numId="134">
    <w:abstractNumId w:val="58"/>
  </w:num>
  <w:num w:numId="135">
    <w:abstractNumId w:val="58"/>
  </w:num>
  <w:num w:numId="136">
    <w:abstractNumId w:val="58"/>
  </w:num>
  <w:num w:numId="137">
    <w:abstractNumId w:val="58"/>
  </w:num>
  <w:num w:numId="138">
    <w:abstractNumId w:val="2"/>
  </w:num>
  <w:num w:numId="139">
    <w:abstractNumId w:val="64"/>
    <w:lvlOverride w:ilvl="0">
      <w:startOverride w:val="1"/>
    </w:lvlOverride>
  </w:num>
  <w:num w:numId="140">
    <w:abstractNumId w:val="64"/>
  </w:num>
  <w:num w:numId="141">
    <w:abstractNumId w:val="64"/>
  </w:num>
  <w:num w:numId="142">
    <w:abstractNumId w:val="64"/>
  </w:num>
  <w:num w:numId="143">
    <w:abstractNumId w:val="2"/>
  </w:num>
  <w:num w:numId="144">
    <w:abstractNumId w:val="2"/>
  </w:num>
  <w:num w:numId="145">
    <w:abstractNumId w:val="2"/>
  </w:num>
  <w:num w:numId="146">
    <w:abstractNumId w:val="2"/>
  </w:num>
  <w:num w:numId="147">
    <w:abstractNumId w:val="2"/>
  </w:num>
  <w:num w:numId="148">
    <w:abstractNumId w:val="2"/>
  </w:num>
  <w:num w:numId="149">
    <w:abstractNumId w:val="2"/>
  </w:num>
  <w:num w:numId="150">
    <w:abstractNumId w:val="2"/>
  </w:num>
</w:numbering>
</file>

<file path=word/settings.xml><?xml version="1.0" encoding="utf-8"?>
<w:settings xmlns:w="http://schemas.openxmlformats.org/wordprocessingml/2006/main">
  <w:zoom w:percent="100"/>
  <w:defaultTabStop w:val="708"/>
  <w:autoHyphenation w:val="true"/>
  <w:hyphenationZone w:val="360"/>
  <w:compat>
    <w:doNotExpandShiftReturn/>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empora LGC Uni" w:hAnsi="Tempora LGC Uni" w:eastAsia="SimSun" w:cs="Lohit Devanagari"/>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semiHidden="0" w:unhideWhenUsed="0" w:qFormat="1"/>
    <w:lsdException w:name="heading 8" w:uiPriority="0" w:semiHidden="0" w:unhideWhenUsed="0" w:qFormat="1"/>
    <w:lsdException w:name="heading 9" w:uiPriority="0"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0" w:semiHidden="0" w:unhideWhenUsed="0" w:qFormat="1"/>
    <w:lsdException w:name="annotation text" w:uiPriority="99"/>
    <w:lsdException w:name="header" w:uiPriority="0" w:semiHidden="0" w:unhideWhenUsed="0" w:qFormat="1"/>
    <w:lsdException w:name="footer" w:uiPriority="0" w:semiHidden="0" w:unhideWhenUsed="0" w:qFormat="1"/>
    <w:lsdException w:name="index heading" w:uiPriority="0" w:semiHidden="0" w:unhideWhenUsed="0" w:qFormat="1"/>
    <w:lsdException w:name="caption" w:uiPriority="0" w:semiHidden="0" w:unhideWhenUsed="0"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0" w:semiHidden="0" w:unhideWhenUsed="0" w:qFormat="1"/>
    <w:lsdException w:name="endnote reference" w:uiPriority="99"/>
    <w:lsdException w:name="endnote text" w:uiPriority="0" w:semiHidden="0" w:unhideWhenUsed="0" w:qFormat="1"/>
    <w:lsdException w:name="table of authorities" w:uiPriority="99"/>
    <w:lsdException w:name="macro" w:uiPriority="99"/>
    <w:lsdException w:name="toa heading" w:uiPriority="99"/>
    <w:lsdException w:name="List" w:uiPriority="0" w:semiHidden="0" w:unhideWhenUsed="0" w:qFormat="1"/>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semiHidden="0" w:qFormat="1"/>
    <w:lsdException w:name="Body Text" w:uiPriority="0" w:semiHidden="0" w:unhideWhenUsed="0" w:qFormat="1"/>
    <w:lsdException w:name="Body Text Indent" w:uiPriority="0"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0" w:semiHidden="0" w:unhideWhenUsed="0" w:qFormat="1"/>
    <w:lsdException w:name="Body Text Indent 2" w:uiPriority="0" w:semiHidden="0" w:unhideWhenUsed="0" w:qFormat="1"/>
    <w:lsdException w:name="Body Text Indent 3" w:uiPriority="0" w:semiHidden="0" w:unhideWhenUsed="0" w:qFormat="1"/>
    <w:lsdException w:name="Block Text" w:uiPriority="99"/>
    <w:lsdException w:name="Hyperlink" w:uiPriority="0" w:semiHidden="0" w:unhideWhenUsed="0" w:qFormat="1"/>
    <w:lsdException w:name="FollowedHyperlink" w:uiPriority="99"/>
    <w:lsdException w:name="Strong" w:uiPriority="0"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0" w:semiHidden="0" w:unhideWhenUsed="0"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0" w:semiHidden="0" w:unhideWhenUsed="0" w:qFormat="1"/>
    <w:lsdException w:name="Table Grid" w:uiPriority="39" w:semiHidden="0" w:unhideWhenUsed="0"/>
    <w:lsdException w:name="Table Theme" w:uiPriority="99"/>
    <w:lsdException w:name="No Spacing" w:uiPriority="0" w:semiHidden="0" w:unhideWhenUsed="0" w:qFormat="1"/>
    <w:lsdException w:name="List Paragraph" w:uiPriority="0" w:semiHidden="0" w:unhideWhenUsed="0" w:qFormat="1"/>
  </w:latentStyles>
  <w:style w:type="paragraph" w:styleId="Normal" w:default="1">
    <w:name w:val="Normal"/>
    <w:uiPriority w:val="0"/>
    <w:qFormat/>
    <w:pPr>
      <w:widowControl w:val="false"/>
      <w:suppressAutoHyphens w:val="true"/>
      <w:bidi w:val="0"/>
      <w:spacing w:lineRule="auto" w:line="252" w:before="0" w:after="16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uiPriority w:val="9"/>
    <w:qFormat/>
    <w:pPr>
      <w:spacing w:before="100" w:after="100"/>
      <w:outlineLvl w:val="0"/>
    </w:pPr>
    <w:rPr>
      <w:rFonts w:ascii="SimSun;Times New Roman" w:hAnsi="SimSun;Times New Roman" w:eastAsia="SimSun;Times New Roman"/>
      <w:b/>
      <w:bCs/>
      <w:kern w:val="2"/>
      <w:sz w:val="48"/>
      <w:szCs w:val="48"/>
      <w:lang w:val="en-US" w:eastAsia="zh-CN"/>
    </w:rPr>
  </w:style>
  <w:style w:type="paragraph" w:styleId="Heading2">
    <w:name w:val="heading 2"/>
    <w:basedOn w:val="Normal"/>
    <w:next w:val="Normal"/>
    <w:uiPriority w:val="9"/>
    <w:semiHidden/>
    <w:unhideWhenUsed/>
    <w:qFormat/>
    <w:pPr>
      <w:keepNext w:val="true"/>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val="true"/>
      <w:tabs>
        <w:tab w:val="clear" w:pos="708"/>
        <w:tab w:val="left" w:pos="720" w:leader="none"/>
      </w:tabs>
      <w:spacing w:before="240" w:after="60"/>
      <w:ind w:hanging="720" w:left="720"/>
      <w:jc w:val="both"/>
      <w:outlineLvl w:val="2"/>
    </w:pPr>
    <w:rPr>
      <w:rFonts w:ascii="Arial" w:hAnsi="Arial" w:cs="Arial"/>
      <w:b/>
      <w:szCs w:val="20"/>
      <w:lang w:val="zh-CN" w:eastAsia="zh-CN"/>
    </w:rPr>
  </w:style>
  <w:style w:type="paragraph" w:styleId="Heading4">
    <w:name w:val="heading 4"/>
    <w:basedOn w:val="Normal"/>
    <w:next w:val="Normal"/>
    <w:uiPriority w:val="9"/>
    <w:semiHidden/>
    <w:unhideWhenUsed/>
    <w:qFormat/>
    <w:pPr>
      <w:keepNext w:val="true"/>
      <w:spacing w:before="240" w:after="60"/>
      <w:outlineLvl w:val="3"/>
    </w:pPr>
    <w:rPr>
      <w:b/>
      <w:bCs/>
      <w:sz w:val="28"/>
      <w:szCs w:val="28"/>
    </w:rPr>
  </w:style>
  <w:style w:type="paragraph" w:styleId="Heading5">
    <w:name w:val="heading 5"/>
    <w:basedOn w:val="Normal"/>
    <w:next w:val="Normal"/>
    <w:uiPriority w:val="9"/>
    <w:semiHidden/>
    <w:unhideWhenUsed/>
    <w:qFormat/>
    <w:pPr>
      <w:tabs>
        <w:tab w:val="clear" w:pos="708"/>
        <w:tab w:val="left" w:pos="1008" w:leader="none"/>
      </w:tabs>
      <w:spacing w:before="240" w:after="60"/>
      <w:ind w:hanging="1008" w:left="1008"/>
      <w:jc w:val="both"/>
      <w:outlineLvl w:val="4"/>
    </w:pPr>
    <w:rPr>
      <w:sz w:val="22"/>
      <w:szCs w:val="20"/>
      <w:lang w:val="zh-CN" w:eastAsia="zh-CN"/>
    </w:rPr>
  </w:style>
  <w:style w:type="paragraph" w:styleId="Heading6">
    <w:name w:val="heading 6"/>
    <w:basedOn w:val="Normal"/>
    <w:next w:val="Normal"/>
    <w:uiPriority w:val="9"/>
    <w:semiHidden/>
    <w:unhideWhenUsed/>
    <w:qFormat/>
    <w:pPr>
      <w:tabs>
        <w:tab w:val="clear" w:pos="708"/>
        <w:tab w:val="left" w:pos="1152" w:leader="none"/>
      </w:tabs>
      <w:spacing w:before="240" w:after="60"/>
      <w:ind w:hanging="1152" w:left="1152"/>
      <w:jc w:val="both"/>
      <w:outlineLvl w:val="5"/>
    </w:pPr>
    <w:rPr>
      <w:i/>
      <w:sz w:val="22"/>
      <w:szCs w:val="20"/>
      <w:lang w:val="zh-CN" w:eastAsia="zh-CN"/>
    </w:rPr>
  </w:style>
  <w:style w:type="paragraph" w:styleId="Heading7">
    <w:name w:val="heading 7"/>
    <w:basedOn w:val="Normal"/>
    <w:next w:val="Normal"/>
    <w:uiPriority w:val="0"/>
    <w:qFormat/>
    <w:pPr>
      <w:tabs>
        <w:tab w:val="clear" w:pos="708"/>
        <w:tab w:val="left" w:pos="1296" w:leader="none"/>
      </w:tabs>
      <w:spacing w:before="240" w:after="60"/>
      <w:ind w:hanging="1296" w:left="1296"/>
      <w:jc w:val="both"/>
      <w:outlineLvl w:val="6"/>
    </w:pPr>
    <w:rPr>
      <w:rFonts w:ascii="Arial" w:hAnsi="Arial" w:cs="Arial"/>
      <w:sz w:val="20"/>
      <w:szCs w:val="20"/>
      <w:lang w:val="zh-CN" w:eastAsia="zh-CN"/>
    </w:rPr>
  </w:style>
  <w:style w:type="paragraph" w:styleId="Heading8">
    <w:name w:val="heading 8"/>
    <w:basedOn w:val="Normal"/>
    <w:next w:val="Normal"/>
    <w:uiPriority w:val="0"/>
    <w:qFormat/>
    <w:pPr>
      <w:tabs>
        <w:tab w:val="clear" w:pos="708"/>
        <w:tab w:val="left" w:pos="1440" w:leader="none"/>
      </w:tabs>
      <w:spacing w:before="240" w:after="60"/>
      <w:ind w:hanging="1440" w:left="1440"/>
      <w:jc w:val="both"/>
      <w:outlineLvl w:val="7"/>
    </w:pPr>
    <w:rPr>
      <w:rFonts w:ascii="Arial" w:hAnsi="Arial" w:cs="Arial"/>
      <w:i/>
      <w:sz w:val="20"/>
      <w:szCs w:val="20"/>
      <w:lang w:val="zh-CN" w:eastAsia="zh-CN"/>
    </w:rPr>
  </w:style>
  <w:style w:type="paragraph" w:styleId="Heading9">
    <w:name w:val="heading 9"/>
    <w:basedOn w:val="Normal"/>
    <w:next w:val="Normal"/>
    <w:uiPriority w:val="0"/>
    <w:qFormat/>
    <w:pPr>
      <w:tabs>
        <w:tab w:val="clear" w:pos="708"/>
        <w:tab w:val="left" w:pos="1584" w:leader="none"/>
      </w:tabs>
      <w:spacing w:before="240" w:after="60"/>
      <w:ind w:hanging="1584" w:left="1584"/>
      <w:jc w:val="both"/>
      <w:outlineLvl w:val="8"/>
    </w:pPr>
    <w:rPr>
      <w:rFonts w:ascii="Arial" w:hAnsi="Arial" w:cs="Arial"/>
      <w:b/>
      <w:i/>
      <w:sz w:val="18"/>
      <w:szCs w:val="20"/>
      <w:lang w:val="zh-CN" w:eastAsia="zh-CN"/>
    </w:rPr>
  </w:style>
  <w:style w:type="character" w:styleId="DefaultParagraphFont" w:default="1">
    <w:name w:val="Default Paragraph Font"/>
    <w:uiPriority w:val="1"/>
    <w:unhideWhenUsed/>
    <w:qFormat/>
    <w:rPr/>
  </w:style>
  <w:style w:type="character" w:styleId="Hyperlink">
    <w:name w:val="Hyperlink"/>
    <w:uiPriority w:val="0"/>
    <w:qFormat/>
    <w:rPr>
      <w:color w:val="0000FF"/>
      <w:u w:val="single"/>
    </w:rPr>
  </w:style>
  <w:style w:type="character" w:styleId="PageNumber">
    <w:name w:val="page number"/>
    <w:uiPriority w:val="0"/>
    <w:qFormat/>
    <w:rPr/>
  </w:style>
  <w:style w:type="character" w:styleId="Strong">
    <w:name w:val="Strong"/>
    <w:uiPriority w:val="0"/>
    <w:qFormat/>
    <w:rPr>
      <w:b/>
      <w:bCs/>
    </w:rPr>
  </w:style>
  <w:style w:type="character" w:styleId="WW8Num1z0" w:customStyle="1">
    <w:name w:val="WW8Num1z0"/>
    <w:uiPriority w:val="0"/>
    <w:qFormat/>
    <w:rPr>
      <w:rFonts w:ascii="Times New Roman" w:hAnsi="Times New Roman" w:cs="Times New Roman"/>
      <w:sz w:val="21"/>
      <w:szCs w:val="21"/>
    </w:rPr>
  </w:style>
  <w:style w:type="character" w:styleId="WW8Num2z0" w:customStyle="1">
    <w:name w:val="WW8Num2z0"/>
    <w:uiPriority w:val="0"/>
    <w:qFormat/>
    <w:rPr>
      <w:rFonts w:cs="Times New Roman"/>
      <w:b/>
    </w:rPr>
  </w:style>
  <w:style w:type="character" w:styleId="WW8Num2z1" w:customStyle="1">
    <w:name w:val="WW8Num2z1"/>
    <w:uiPriority w:val="0"/>
    <w:qFormat/>
    <w:rPr>
      <w:rFonts w:cs="Times New Roman"/>
      <w:color w:val="000000"/>
      <w:spacing w:val="0"/>
      <w:w w:val="100"/>
      <w:kern w:val="0"/>
      <w:position w:val="0"/>
      <w:sz w:val="24"/>
      <w:sz w:val="24"/>
      <w:szCs w:val="24"/>
      <w:u w:val="none"/>
      <w:vertAlign w:val="baseline"/>
    </w:rPr>
  </w:style>
  <w:style w:type="character" w:styleId="WW8Num2z2" w:customStyle="1">
    <w:name w:val="WW8Num2z2"/>
    <w:uiPriority w:val="0"/>
    <w:qFormat/>
    <w:rPr>
      <w:rFonts w:cs="Times New Roman"/>
    </w:rPr>
  </w:style>
  <w:style w:type="character" w:styleId="WW8Num2z3" w:customStyle="1">
    <w:name w:val="WW8Num2z3"/>
    <w:uiPriority w:val="0"/>
    <w:qFormat/>
    <w:rPr>
      <w:rFonts w:cs="Times New Roman"/>
      <w:color w:val="000000"/>
      <w:spacing w:val="0"/>
      <w:w w:val="100"/>
      <w:kern w:val="0"/>
      <w:position w:val="0"/>
      <w:sz w:val="20"/>
      <w:sz w:val="20"/>
      <w:u w:val="none"/>
      <w:vertAlign w:val="baseline"/>
    </w:rPr>
  </w:style>
  <w:style w:type="character" w:styleId="WW8Num2z4" w:customStyle="1">
    <w:name w:val="WW8Num2z4"/>
    <w:uiPriority w:val="0"/>
    <w:qFormat/>
    <w:rPr>
      <w:rFonts w:cs="Times New Roman"/>
    </w:rPr>
  </w:style>
  <w:style w:type="character" w:styleId="WW8Num2z5" w:customStyle="1">
    <w:name w:val="WW8Num2z5"/>
    <w:uiPriority w:val="0"/>
    <w:qFormat/>
    <w:rPr>
      <w:rFonts w:ascii="Symbol;Andale Mono" w:hAnsi="Symbol;Andale Mono" w:cs="Symbol;Andale Mono"/>
    </w:rPr>
  </w:style>
  <w:style w:type="character" w:styleId="WW8Num4z0" w:customStyle="1">
    <w:name w:val="WW8Num4z0"/>
    <w:uiPriority w:val="0"/>
    <w:qFormat/>
    <w:rPr>
      <w:rFonts w:ascii="Times New Roman" w:hAnsi="Times New Roman" w:cs="Times New Roman"/>
      <w:sz w:val="20"/>
      <w:szCs w:val="20"/>
    </w:rPr>
  </w:style>
  <w:style w:type="character" w:styleId="WW8Num5z1" w:customStyle="1">
    <w:name w:val="WW8Num5z1"/>
    <w:uiPriority w:val="0"/>
    <w:qFormat/>
    <w:rPr>
      <w:rFonts w:ascii="Times New Roman" w:hAnsi="Times New Roman" w:cs="Times New Roman"/>
      <w:sz w:val="22"/>
      <w:szCs w:val="22"/>
    </w:rPr>
  </w:style>
  <w:style w:type="character" w:styleId="WW8Num6z0" w:customStyle="1">
    <w:name w:val="WW8Num6z0"/>
    <w:uiPriority w:val="0"/>
    <w:qFormat/>
    <w:rPr>
      <w:rFonts w:ascii="Times New Roman" w:hAnsi="Times New Roman" w:cs="Times New Roman"/>
      <w:sz w:val="20"/>
      <w:szCs w:val="20"/>
    </w:rPr>
  </w:style>
  <w:style w:type="character" w:styleId="WW8Num7z0" w:customStyle="1">
    <w:name w:val="WW8Num7z0"/>
    <w:uiPriority w:val="0"/>
    <w:qFormat/>
    <w:rPr>
      <w:rFonts w:ascii="Times New Roman" w:hAnsi="Times New Roman" w:cs="Times New Roman"/>
    </w:rPr>
  </w:style>
  <w:style w:type="character" w:styleId="WW8Num7z1" w:customStyle="1">
    <w:name w:val="WW8Num7z1"/>
    <w:uiPriority w:val="0"/>
    <w:qFormat/>
    <w:rPr>
      <w:rFonts w:ascii="Courier New" w:hAnsi="Courier New" w:cs="Courier New"/>
    </w:rPr>
  </w:style>
  <w:style w:type="character" w:styleId="WW8Num7z2" w:customStyle="1">
    <w:name w:val="WW8Num7z2"/>
    <w:uiPriority w:val="0"/>
    <w:qFormat/>
    <w:rPr>
      <w:rFonts w:ascii="Wingdings;Andale Mono" w:hAnsi="Wingdings;Andale Mono" w:cs="Wingdings;Andale Mono"/>
    </w:rPr>
  </w:style>
  <w:style w:type="character" w:styleId="WW8Num7z3" w:customStyle="1">
    <w:name w:val="WW8Num7z3"/>
    <w:uiPriority w:val="0"/>
    <w:qFormat/>
    <w:rPr>
      <w:rFonts w:ascii="Symbol;Andale Mono" w:hAnsi="Symbol;Andale Mono" w:cs="Symbol;Andale Mono"/>
    </w:rPr>
  </w:style>
  <w:style w:type="character" w:styleId="WW8Num8z0" w:customStyle="1">
    <w:name w:val="WW8Num8z0"/>
    <w:uiPriority w:val="0"/>
    <w:qFormat/>
    <w:rPr>
      <w:sz w:val="22"/>
      <w:szCs w:val="22"/>
    </w:rPr>
  </w:style>
  <w:style w:type="character" w:styleId="WW8Num9z1" w:customStyle="1">
    <w:name w:val="WW8Num9z1"/>
    <w:uiPriority w:val="0"/>
    <w:qFormat/>
    <w:rPr>
      <w:rFonts w:ascii="Times New Roman" w:hAnsi="Times New Roman" w:eastAsia="Times New Roman" w:cs="Times New Roman"/>
    </w:rPr>
  </w:style>
  <w:style w:type="character" w:styleId="WW8Num9z2" w:customStyle="1">
    <w:name w:val="WW8Num9z2"/>
    <w:uiPriority w:val="0"/>
    <w:qFormat/>
    <w:rPr>
      <w:sz w:val="22"/>
      <w:szCs w:val="22"/>
    </w:rPr>
  </w:style>
  <w:style w:type="character" w:styleId="WW8Num10z0" w:customStyle="1">
    <w:name w:val="WW8Num10z0"/>
    <w:uiPriority w:val="0"/>
    <w:qFormat/>
    <w:rPr>
      <w:rFonts w:ascii="Times New Roman" w:hAnsi="Times New Roman" w:cs="Times New Roman"/>
      <w:sz w:val="21"/>
      <w:szCs w:val="21"/>
    </w:rPr>
  </w:style>
  <w:style w:type="character" w:styleId="11" w:customStyle="1">
    <w:name w:val="Основной шрифт абзаца11"/>
    <w:uiPriority w:val="0"/>
    <w:qFormat/>
    <w:rPr/>
  </w:style>
  <w:style w:type="character" w:styleId="Style5" w:customStyle="1">
    <w:name w:val="Символ сноски"/>
    <w:uiPriority w:val="0"/>
    <w:qFormat/>
    <w:rPr>
      <w:rFonts w:cs="Times New Roman"/>
      <w:vertAlign w:val="superscript"/>
    </w:rPr>
  </w:style>
  <w:style w:type="character" w:styleId="Style6" w:customStyle="1">
    <w:name w:val="Название Знак"/>
    <w:uiPriority w:val="0"/>
    <w:qFormat/>
    <w:rPr>
      <w:rFonts w:eastAsia="Times New Roman"/>
      <w:sz w:val="24"/>
    </w:rPr>
  </w:style>
  <w:style w:type="character" w:styleId="CharStyle6" w:customStyle="1">
    <w:name w:val="CharStyle6"/>
    <w:uiPriority w:val="0"/>
    <w:qFormat/>
    <w:rPr>
      <w:rFonts w:ascii="Times New Roman" w:hAnsi="Times New Roman" w:eastAsia="Times New Roman" w:cs="Times New Roman"/>
      <w:color w:val="000000"/>
      <w:spacing w:val="0"/>
      <w:w w:val="100"/>
      <w:position w:val="0"/>
      <w:sz w:val="26"/>
      <w:sz w:val="26"/>
      <w:szCs w:val="26"/>
      <w:u w:val="none"/>
      <w:vertAlign w:val="baseline"/>
    </w:rPr>
  </w:style>
  <w:style w:type="character" w:styleId="DefaultFontStyle" w:customStyle="1">
    <w:name w:val="DefaultFontStyle"/>
    <w:uiPriority w:val="0"/>
    <w:qFormat/>
    <w:rPr>
      <w:rFonts w:ascii="Arial Unicode MS;Arial" w:hAnsi="Arial Unicode MS;Arial" w:eastAsia="Arial Unicode MS;Arial" w:cs="Arial Unicode MS;Arial"/>
      <w:color w:val="000000"/>
      <w:spacing w:val="0"/>
      <w:w w:val="100"/>
      <w:position w:val="0"/>
      <w:sz w:val="24"/>
      <w:sz w:val="24"/>
      <w:szCs w:val="24"/>
      <w:vertAlign w:val="baseline"/>
    </w:rPr>
  </w:style>
  <w:style w:type="character" w:styleId="7" w:customStyle="1">
    <w:name w:val="Заголовок 7 Знак"/>
    <w:uiPriority w:val="0"/>
    <w:qFormat/>
    <w:rPr>
      <w:rFonts w:ascii="Arial" w:hAnsi="Arial" w:eastAsia="Times New Roman" w:cs="Arial"/>
      <w:lang w:val="zh-CN" w:eastAsia="zh-CN"/>
    </w:rPr>
  </w:style>
  <w:style w:type="character" w:styleId="5" w:customStyle="1">
    <w:name w:val="Заголовок 5 Знак"/>
    <w:uiPriority w:val="0"/>
    <w:qFormat/>
    <w:rPr>
      <w:rFonts w:eastAsia="Times New Roman"/>
      <w:sz w:val="22"/>
      <w:lang w:val="zh-CN" w:eastAsia="zh-CN"/>
    </w:rPr>
  </w:style>
  <w:style w:type="character" w:styleId="8" w:customStyle="1">
    <w:name w:val="Заголовок 8 Знак"/>
    <w:uiPriority w:val="0"/>
    <w:qFormat/>
    <w:rPr>
      <w:rFonts w:ascii="Arial" w:hAnsi="Arial" w:eastAsia="Times New Roman" w:cs="Arial"/>
      <w:i/>
      <w:lang w:val="zh-CN" w:eastAsia="zh-CN"/>
    </w:rPr>
  </w:style>
  <w:style w:type="character" w:styleId="2" w:customStyle="1">
    <w:name w:val="Заголовок 2 Знак"/>
    <w:uiPriority w:val="0"/>
    <w:qFormat/>
    <w:rPr>
      <w:rFonts w:ascii="Arial" w:hAnsi="Arial" w:eastAsia="Times New Roman" w:cs="Arial"/>
      <w:b/>
      <w:bCs/>
      <w:i/>
      <w:iCs/>
      <w:sz w:val="28"/>
      <w:szCs w:val="28"/>
      <w:lang w:eastAsia="ru-RU"/>
    </w:rPr>
  </w:style>
  <w:style w:type="character" w:styleId="pagenumber1" w:customStyle="1">
    <w:name w:val="page number1"/>
    <w:uiPriority w:val="0"/>
    <w:qFormat/>
    <w:rPr/>
  </w:style>
  <w:style w:type="character" w:styleId="hps" w:customStyle="1">
    <w:name w:val="hps"/>
    <w:uiPriority w:val="0"/>
    <w:qFormat/>
    <w:rPr/>
  </w:style>
  <w:style w:type="character" w:styleId="1" w:customStyle="1">
    <w:name w:val="Основной шрифт абзаца1"/>
    <w:uiPriority w:val="0"/>
    <w:qFormat/>
    <w:rPr/>
  </w:style>
  <w:style w:type="character" w:styleId="Style7" w:customStyle="1">
    <w:name w:val="Текст концевой сноски Знак"/>
    <w:uiPriority w:val="0"/>
    <w:qFormat/>
    <w:rPr>
      <w:rFonts w:eastAsia="Times New Roman"/>
    </w:rPr>
  </w:style>
  <w:style w:type="character" w:styleId="3" w:customStyle="1">
    <w:name w:val="Заголовок 3 Знак"/>
    <w:uiPriority w:val="0"/>
    <w:qFormat/>
    <w:rPr>
      <w:rFonts w:ascii="Arial" w:hAnsi="Arial" w:eastAsia="Times New Roman" w:cs="Arial"/>
      <w:b/>
      <w:sz w:val="24"/>
      <w:lang w:val="zh-CN" w:eastAsia="zh-CN"/>
    </w:rPr>
  </w:style>
  <w:style w:type="character" w:styleId="FootnoteCharacters" w:customStyle="1">
    <w:name w:val="Footnote Characters"/>
    <w:uiPriority w:val="0"/>
    <w:qFormat/>
    <w:rPr>
      <w:rFonts w:cs="Times New Roman"/>
      <w:vertAlign w:val="superscript"/>
    </w:rPr>
  </w:style>
  <w:style w:type="character" w:styleId="6" w:customStyle="1">
    <w:name w:val="Заголовок 6 Знак"/>
    <w:uiPriority w:val="0"/>
    <w:qFormat/>
    <w:rPr>
      <w:rFonts w:eastAsia="Times New Roman"/>
      <w:i/>
      <w:sz w:val="22"/>
      <w:lang w:val="zh-CN" w:eastAsia="zh-CN"/>
    </w:rPr>
  </w:style>
  <w:style w:type="character" w:styleId="font31" w:customStyle="1">
    <w:name w:val="font31"/>
    <w:uiPriority w:val="0"/>
    <w:qFormat/>
    <w:rPr>
      <w:rFonts w:ascii="Times New Roman" w:hAnsi="Times New Roman" w:cs="Times New Roman"/>
      <w:b/>
      <w:color w:val="000000"/>
      <w:sz w:val="20"/>
      <w:szCs w:val="20"/>
      <w:u w:val="none"/>
    </w:rPr>
  </w:style>
  <w:style w:type="character" w:styleId="apple-converted-space" w:customStyle="1">
    <w:name w:val="apple-converted-space"/>
    <w:uiPriority w:val="0"/>
    <w:qFormat/>
    <w:rPr/>
  </w:style>
  <w:style w:type="character" w:styleId="hpsatn" w:customStyle="1">
    <w:name w:val="hps atn"/>
    <w:uiPriority w:val="0"/>
    <w:qFormat/>
    <w:rPr/>
  </w:style>
  <w:style w:type="character" w:styleId="31" w:customStyle="1">
    <w:name w:val="Основной текст с отступом 3 Знак"/>
    <w:uiPriority w:val="0"/>
    <w:qFormat/>
    <w:rPr>
      <w:rFonts w:eastAsia="Times New Roman"/>
      <w:sz w:val="16"/>
      <w:szCs w:val="16"/>
    </w:rPr>
  </w:style>
  <w:style w:type="character" w:styleId="FontStyle41" w:customStyle="1">
    <w:name w:val="Font Style41"/>
    <w:uiPriority w:val="0"/>
    <w:qFormat/>
    <w:rPr>
      <w:rFonts w:ascii="Times New Roman" w:hAnsi="Times New Roman" w:cs="Times New Roman"/>
      <w:sz w:val="26"/>
    </w:rPr>
  </w:style>
  <w:style w:type="character" w:styleId="font91" w:customStyle="1">
    <w:name w:val="font91"/>
    <w:uiPriority w:val="0"/>
    <w:qFormat/>
    <w:rPr>
      <w:rFonts w:ascii="Times New Roman" w:hAnsi="Times New Roman" w:cs="Times New Roman"/>
      <w:b/>
      <w:color w:val="000000"/>
      <w:sz w:val="20"/>
      <w:szCs w:val="20"/>
      <w:u w:val="none"/>
    </w:rPr>
  </w:style>
  <w:style w:type="character" w:styleId="Style8" w:customStyle="1">
    <w:name w:val="Абзац списка Знак"/>
    <w:uiPriority w:val="0"/>
    <w:qFormat/>
    <w:rPr>
      <w:rFonts w:ascii="Calibri;Trebuchet MS" w:hAnsi="Calibri;Trebuchet MS" w:cs="Calibri;Trebuchet MS"/>
      <w:sz w:val="24"/>
      <w:szCs w:val="24"/>
      <w:lang w:val="zh-CN" w:eastAsia="zh-CN"/>
    </w:rPr>
  </w:style>
  <w:style w:type="character" w:styleId="Style9" w:customStyle="1">
    <w:name w:val="Текст сноски Знак"/>
    <w:uiPriority w:val="0"/>
    <w:qFormat/>
    <w:rPr>
      <w:rFonts w:ascii="Arial" w:hAnsi="Arial" w:cs="Arial"/>
      <w:sz w:val="22"/>
      <w:szCs w:val="22"/>
      <w:lang w:eastAsia="zh-CN"/>
    </w:rPr>
  </w:style>
  <w:style w:type="character" w:styleId="Strong1" w:customStyle="1">
    <w:name w:val="Strong1"/>
    <w:uiPriority w:val="0"/>
    <w:qFormat/>
    <w:rPr>
      <w:b/>
      <w:bCs/>
    </w:rPr>
  </w:style>
  <w:style w:type="character" w:styleId="font101" w:customStyle="1">
    <w:name w:val="font101"/>
    <w:uiPriority w:val="0"/>
    <w:qFormat/>
    <w:rPr>
      <w:rFonts w:ascii="Times New Roman" w:hAnsi="Times New Roman" w:cs="Times New Roman"/>
      <w:b/>
      <w:color w:val="000000"/>
      <w:sz w:val="20"/>
      <w:szCs w:val="20"/>
      <w:u w:val="none"/>
    </w:rPr>
  </w:style>
  <w:style w:type="character" w:styleId="ListParagraphChar1" w:customStyle="1">
    <w:name w:val="List Paragraph Char1"/>
    <w:uiPriority w:val="0"/>
    <w:qFormat/>
    <w:rPr>
      <w:sz w:val="24"/>
      <w:szCs w:val="24"/>
    </w:rPr>
  </w:style>
  <w:style w:type="character" w:styleId="iceouttxt51" w:customStyle="1">
    <w:name w:val="iceouttxt51"/>
    <w:uiPriority w:val="0"/>
    <w:qFormat/>
    <w:rPr>
      <w:rFonts w:ascii="Arial" w:hAnsi="Arial" w:cs="Arial"/>
      <w:color w:val="666666"/>
      <w:sz w:val="16"/>
      <w:szCs w:val="16"/>
    </w:rPr>
  </w:style>
  <w:style w:type="character" w:styleId="12" w:customStyle="1">
    <w:name w:val="Неразрешенное упоминание1"/>
    <w:uiPriority w:val="0"/>
    <w:qFormat/>
    <w:rPr>
      <w:color w:val="605E5C"/>
      <w:shd w:fill="E1DFDD" w:val="clear"/>
    </w:rPr>
  </w:style>
  <w:style w:type="character" w:styleId="font21" w:customStyle="1">
    <w:name w:val="font21"/>
    <w:uiPriority w:val="0"/>
    <w:qFormat/>
    <w:rPr>
      <w:rFonts w:ascii="Times New Roman" w:hAnsi="Times New Roman" w:cs="Times New Roman"/>
      <w:b/>
      <w:color w:val="000000"/>
      <w:sz w:val="20"/>
      <w:szCs w:val="20"/>
      <w:u w:val="none"/>
    </w:rPr>
  </w:style>
  <w:style w:type="character" w:styleId="Style10" w:customStyle="1">
    <w:name w:val="Нижний колонтитул Знак"/>
    <w:uiPriority w:val="0"/>
    <w:qFormat/>
    <w:rPr>
      <w:rFonts w:eastAsia="Times New Roman"/>
      <w:sz w:val="24"/>
      <w:szCs w:val="24"/>
    </w:rPr>
  </w:style>
  <w:style w:type="character" w:styleId="4" w:customStyle="1">
    <w:name w:val="Заголовок 4 Знак"/>
    <w:uiPriority w:val="0"/>
    <w:qFormat/>
    <w:rPr>
      <w:rFonts w:ascii="Times New Roman" w:hAnsi="Times New Roman" w:eastAsia="Times New Roman" w:cs="Times New Roman"/>
      <w:b/>
      <w:bCs/>
      <w:sz w:val="28"/>
      <w:szCs w:val="28"/>
      <w:lang w:eastAsia="ru-RU"/>
    </w:rPr>
  </w:style>
  <w:style w:type="character" w:styleId="font11" w:customStyle="1">
    <w:name w:val="font11"/>
    <w:uiPriority w:val="0"/>
    <w:qFormat/>
    <w:rPr>
      <w:rFonts w:ascii="Times New Roman" w:hAnsi="Times New Roman" w:cs="Times New Roman"/>
      <w:color w:val="000000"/>
      <w:sz w:val="20"/>
      <w:szCs w:val="20"/>
      <w:u w:val="none"/>
    </w:rPr>
  </w:style>
  <w:style w:type="character" w:styleId="font01" w:customStyle="1">
    <w:name w:val="font01"/>
    <w:uiPriority w:val="0"/>
    <w:qFormat/>
    <w:rPr>
      <w:rFonts w:ascii="Times New Roman" w:hAnsi="Times New Roman" w:cs="Times New Roman"/>
      <w:i/>
      <w:color w:val="000000"/>
      <w:sz w:val="20"/>
      <w:szCs w:val="20"/>
      <w:u w:val="none"/>
    </w:rPr>
  </w:style>
  <w:style w:type="character" w:styleId="9" w:customStyle="1">
    <w:name w:val="Заголовок 9 Знак"/>
    <w:uiPriority w:val="0"/>
    <w:qFormat/>
    <w:rPr>
      <w:rFonts w:ascii="Arial" w:hAnsi="Arial" w:eastAsia="Times New Roman" w:cs="Arial"/>
      <w:b/>
      <w:i/>
      <w:sz w:val="18"/>
      <w:lang w:val="zh-CN" w:eastAsia="zh-CN"/>
    </w:rPr>
  </w:style>
  <w:style w:type="character" w:styleId="site-pagename" w:customStyle="1">
    <w:name w:val="site-pagename"/>
    <w:uiPriority w:val="0"/>
    <w:qFormat/>
    <w:rPr/>
  </w:style>
  <w:style w:type="character" w:styleId="hpsalt-edited" w:customStyle="1">
    <w:name w:val="hps alt-edited"/>
    <w:uiPriority w:val="0"/>
    <w:qFormat/>
    <w:rPr/>
  </w:style>
  <w:style w:type="character" w:styleId="wmi-callto" w:customStyle="1">
    <w:name w:val="wmi-callto"/>
    <w:uiPriority w:val="0"/>
    <w:qFormat/>
    <w:rPr/>
  </w:style>
  <w:style w:type="character" w:styleId="Style11" w:customStyle="1">
    <w:name w:val="Основной текст Знак"/>
    <w:uiPriority w:val="0"/>
    <w:qFormat/>
    <w:rPr>
      <w:rFonts w:ascii="Times New Roman" w:hAnsi="Times New Roman" w:eastAsia="Times New Roman" w:cs="Times New Roman"/>
      <w:sz w:val="20"/>
      <w:szCs w:val="20"/>
      <w:lang w:eastAsia="ru-RU"/>
    </w:rPr>
  </w:style>
  <w:style w:type="character" w:styleId="Style12" w:customStyle="1">
    <w:name w:val="Верхний колонтитул Знак"/>
    <w:uiPriority w:val="0"/>
    <w:qFormat/>
    <w:rPr>
      <w:rFonts w:eastAsia="Times New Roman"/>
      <w:sz w:val="24"/>
      <w:szCs w:val="24"/>
    </w:rPr>
  </w:style>
  <w:style w:type="character" w:styleId="Style13" w:customStyle="1">
    <w:name w:val="Текст выноски Знак"/>
    <w:uiPriority w:val="0"/>
    <w:qFormat/>
    <w:rPr>
      <w:rFonts w:ascii="Tahoma" w:hAnsi="Tahoma" w:eastAsia="Times New Roman" w:cs="Tahoma"/>
      <w:sz w:val="16"/>
      <w:szCs w:val="16"/>
      <w:lang w:eastAsia="ru-RU"/>
    </w:rPr>
  </w:style>
  <w:style w:type="character" w:styleId="Style14" w:customStyle="1">
    <w:name w:val="Основной текст с отступом Знак"/>
    <w:uiPriority w:val="0"/>
    <w:qFormat/>
    <w:rPr>
      <w:rFonts w:ascii="Times New Roman" w:hAnsi="Times New Roman" w:eastAsia="Times New Roman" w:cs="Times New Roman"/>
      <w:sz w:val="20"/>
      <w:szCs w:val="20"/>
      <w:lang w:eastAsia="ru-RU"/>
    </w:rPr>
  </w:style>
  <w:style w:type="character" w:styleId="21" w:customStyle="1">
    <w:name w:val="Основной текст (2)_"/>
    <w:uiPriority w:val="0"/>
    <w:qFormat/>
    <w:rPr>
      <w:rFonts w:ascii="Times New Roman" w:hAnsi="Times New Roman" w:eastAsia="Times New Roman" w:cs="Times New Roman"/>
      <w:color w:val="000000"/>
      <w:kern w:val="2"/>
      <w:sz w:val="26"/>
      <w:szCs w:val="26"/>
      <w:lang w:val="ru-RU" w:eastAsia="ru-RU" w:bidi="ar-SA"/>
    </w:rPr>
  </w:style>
  <w:style w:type="character" w:styleId="22" w:customStyle="1">
    <w:name w:val="Основной текст (2) + Полужирный"/>
    <w:uiPriority w:val="0"/>
    <w:qFormat/>
    <w:rPr>
      <w:rFonts w:eastAsia="Times New Roman"/>
      <w:b/>
      <w:bCs/>
      <w:color w:val="000000"/>
      <w:spacing w:val="0"/>
      <w:w w:val="100"/>
      <w:position w:val="0"/>
      <w:sz w:val="24"/>
      <w:sz w:val="24"/>
      <w:shd w:fill="FFFFFF" w:val="clear"/>
      <w:vertAlign w:val="baseline"/>
      <w:lang w:val="ru-RU" w:eastAsia="ru-RU" w:bidi="ru-RU"/>
    </w:rPr>
  </w:style>
  <w:style w:type="character" w:styleId="cm-reload-540" w:customStyle="1">
    <w:name w:val="cm-reload-540"/>
    <w:uiPriority w:val="0"/>
    <w:qFormat/>
    <w:rPr/>
  </w:style>
  <w:style w:type="character" w:styleId="strong2" w:customStyle="1">
    <w:name w:val="strong2"/>
    <w:uiPriority w:val="0"/>
    <w:qFormat/>
    <w:rPr/>
  </w:style>
  <w:style w:type="character" w:styleId="FontStyle18" w:customStyle="1">
    <w:name w:val="Font Style18"/>
    <w:uiPriority w:val="0"/>
    <w:qFormat/>
    <w:rPr>
      <w:rFonts w:ascii="Times New Roman" w:hAnsi="Times New Roman" w:cs="Times New Roman"/>
      <w:spacing w:val="10"/>
      <w:sz w:val="20"/>
      <w:szCs w:val="20"/>
    </w:rPr>
  </w:style>
  <w:style w:type="character" w:styleId="FontStyle24" w:customStyle="1">
    <w:name w:val="Font Style24"/>
    <w:uiPriority w:val="0"/>
    <w:qFormat/>
    <w:rPr>
      <w:rFonts w:ascii="Times New Roman" w:hAnsi="Times New Roman" w:cs="Times New Roman"/>
      <w:sz w:val="22"/>
      <w:szCs w:val="22"/>
    </w:rPr>
  </w:style>
  <w:style w:type="character" w:styleId="Style15" w:customStyle="1">
    <w:name w:val="Символ нумерации"/>
    <w:uiPriority w:val="0"/>
    <w:qFormat/>
    <w:rPr/>
  </w:style>
  <w:style w:type="paragraph" w:styleId="Style16" w:customStyle="1">
    <w:name w:val="Заголовок"/>
    <w:basedOn w:val="Normal"/>
    <w:next w:val="BodyText"/>
    <w:uiPriority w:val="0"/>
    <w:qFormat/>
    <w:pPr>
      <w:keepNext w:val="true"/>
      <w:spacing w:before="240" w:after="120"/>
    </w:pPr>
    <w:rPr>
      <w:rFonts w:ascii="Open Sans" w:hAnsi="Open Sans" w:eastAsia="Tahoma" w:cs="Lohit Devanagari"/>
      <w:sz w:val="28"/>
      <w:szCs w:val="28"/>
    </w:rPr>
  </w:style>
  <w:style w:type="paragraph" w:styleId="BodyText">
    <w:name w:val="Body Text"/>
    <w:basedOn w:val="Normal"/>
    <w:uiPriority w:val="0"/>
    <w:qFormat/>
    <w:pPr>
      <w:spacing w:before="0" w:after="120"/>
    </w:pPr>
    <w:rPr>
      <w:sz w:val="20"/>
      <w:szCs w:val="20"/>
    </w:rPr>
  </w:style>
  <w:style w:type="paragraph" w:styleId="List">
    <w:name w:val="List"/>
    <w:basedOn w:val="BodyText"/>
    <w:uiPriority w:val="0"/>
    <w:qFormat/>
    <w:pPr/>
    <w:rPr>
      <w:rFonts w:cs="Noto Sans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7">
    <w:name w:val="Указатель"/>
    <w:basedOn w:val="Normal"/>
    <w:qFormat/>
    <w:pPr>
      <w:suppressLineNumbers/>
    </w:pPr>
    <w:rPr>
      <w:rFonts w:cs="Lohit Devanagari"/>
    </w:rPr>
  </w:style>
  <w:style w:type="paragraph" w:styleId="BalloonText">
    <w:name w:val="Balloon Text"/>
    <w:basedOn w:val="Normal"/>
    <w:uiPriority w:val="0"/>
    <w:qFormat/>
    <w:pPr/>
    <w:rPr>
      <w:rFonts w:ascii="Tahoma" w:hAnsi="Tahoma" w:cs="Tahoma"/>
      <w:sz w:val="16"/>
      <w:szCs w:val="16"/>
    </w:rPr>
  </w:style>
  <w:style w:type="paragraph" w:styleId="BodyTextIndent3">
    <w:name w:val="Body Text Indent 3"/>
    <w:basedOn w:val="Normal"/>
    <w:uiPriority w:val="0"/>
    <w:qFormat/>
    <w:pPr>
      <w:spacing w:before="0" w:after="120"/>
      <w:ind w:left="283"/>
    </w:pPr>
    <w:rPr>
      <w:sz w:val="16"/>
      <w:szCs w:val="16"/>
    </w:rPr>
  </w:style>
  <w:style w:type="paragraph" w:styleId="EndnoteText">
    <w:name w:val="endnote text"/>
    <w:basedOn w:val="Normal"/>
    <w:uiPriority w:val="0"/>
    <w:qFormat/>
    <w:pPr>
      <w:spacing w:lineRule="auto" w:line="276"/>
    </w:pPr>
    <w:rPr>
      <w:sz w:val="20"/>
      <w:szCs w:val="20"/>
    </w:rPr>
  </w:style>
  <w:style w:type="paragraph" w:styleId="caption1">
    <w:name w:val="caption1"/>
    <w:basedOn w:val="Normal"/>
    <w:next w:val="Normal"/>
    <w:uiPriority w:val="0"/>
    <w:qFormat/>
    <w:pPr>
      <w:suppressLineNumbers/>
      <w:spacing w:before="120" w:after="120"/>
    </w:pPr>
    <w:rPr>
      <w:rFonts w:cs="Lohit Devanagari"/>
      <w:i/>
      <w:iCs/>
      <w:sz w:val="24"/>
      <w:szCs w:val="24"/>
    </w:rPr>
  </w:style>
  <w:style w:type="paragraph" w:styleId="FootnoteText">
    <w:name w:val="footnote text"/>
    <w:basedOn w:val="Normal"/>
    <w:uiPriority w:val="0"/>
    <w:qFormat/>
    <w:pPr/>
    <w:rPr>
      <w:rFonts w:ascii="Arial" w:hAnsi="Arial" w:eastAsia="SimSun;Times New Roman" w:cs="Arial"/>
      <w:sz w:val="22"/>
      <w:szCs w:val="22"/>
      <w:lang w:eastAsia="zh-CN"/>
    </w:rPr>
  </w:style>
  <w:style w:type="paragraph" w:styleId="Style18" w:customStyle="1">
    <w:name w:val="Колонтитул"/>
    <w:basedOn w:val="Normal"/>
    <w:uiPriority w:val="0"/>
    <w:qFormat/>
    <w:pPr/>
    <w:rPr/>
  </w:style>
  <w:style w:type="paragraph" w:styleId="HeaderandFooter">
    <w:name w:val="Header and Footer"/>
    <w:basedOn w:val="Normal"/>
    <w:qFormat/>
    <w:pPr/>
    <w:rPr/>
  </w:style>
  <w:style w:type="paragraph" w:styleId="Header">
    <w:name w:val="header"/>
    <w:basedOn w:val="Normal"/>
    <w:uiPriority w:val="0"/>
    <w:qFormat/>
    <w:pPr>
      <w:tabs>
        <w:tab w:val="clear" w:pos="708"/>
        <w:tab w:val="center" w:pos="4677" w:leader="none"/>
        <w:tab w:val="right" w:pos="9355" w:leader="none"/>
      </w:tabs>
    </w:pPr>
    <w:rPr/>
  </w:style>
  <w:style w:type="paragraph" w:styleId="IndexHeading">
    <w:name w:val="index heading"/>
    <w:basedOn w:val="Normal"/>
    <w:next w:val="Index1"/>
    <w:uiPriority w:val="0"/>
    <w:qFormat/>
    <w:pPr>
      <w:suppressLineNumbers/>
    </w:pPr>
    <w:rPr>
      <w:rFonts w:cs="Lohit Devanagari"/>
    </w:rPr>
  </w:style>
  <w:style w:type="paragraph" w:styleId="Index1">
    <w:name w:val="index 1"/>
    <w:basedOn w:val="Normal"/>
    <w:next w:val="Normal"/>
    <w:uiPriority w:val="99"/>
    <w:semiHidden/>
    <w:unhideWhenUsed/>
    <w:qFormat/>
    <w:pPr/>
    <w:rPr/>
  </w:style>
  <w:style w:type="paragraph" w:styleId="BodyTextIndent">
    <w:name w:val="Body Text Indent"/>
    <w:basedOn w:val="Normal"/>
    <w:uiPriority w:val="0"/>
    <w:qFormat/>
    <w:pPr>
      <w:spacing w:before="0" w:after="120"/>
      <w:ind w:left="283"/>
    </w:pPr>
    <w:rPr>
      <w:sz w:val="20"/>
      <w:szCs w:val="20"/>
    </w:rPr>
  </w:style>
  <w:style w:type="paragraph" w:styleId="Title">
    <w:name w:val="Title"/>
    <w:basedOn w:val="Normal"/>
    <w:next w:val="BodyText"/>
    <w:uiPriority w:val="10"/>
    <w:qFormat/>
    <w:pPr>
      <w:keepNext w:val="true"/>
      <w:spacing w:before="240" w:after="120"/>
    </w:pPr>
    <w:rPr>
      <w:rFonts w:ascii="Open Sans" w:hAnsi="Open Sans" w:eastAsia="Droid Sans Fallback" w:cs="Lohit Devanagari"/>
      <w:sz w:val="28"/>
      <w:szCs w:val="28"/>
    </w:rPr>
  </w:style>
  <w:style w:type="paragraph" w:styleId="Footer">
    <w:name w:val="footer"/>
    <w:basedOn w:val="Normal"/>
    <w:uiPriority w:val="0"/>
    <w:qFormat/>
    <w:pPr>
      <w:tabs>
        <w:tab w:val="clear" w:pos="708"/>
        <w:tab w:val="center" w:pos="4677" w:leader="none"/>
        <w:tab w:val="right" w:pos="9355" w:leader="none"/>
      </w:tabs>
    </w:pPr>
    <w:rPr/>
  </w:style>
  <w:style w:type="paragraph" w:styleId="NormalWeb">
    <w:name w:val="Normal (Web)"/>
    <w:basedOn w:val="Normal"/>
    <w:uiPriority w:val="0"/>
    <w:qFormat/>
    <w:pPr>
      <w:spacing w:before="280" w:after="280"/>
    </w:pPr>
    <w:rPr/>
  </w:style>
  <w:style w:type="paragraph" w:styleId="BodyText3">
    <w:name w:val="Body Text 3"/>
    <w:basedOn w:val="Normal"/>
    <w:uiPriority w:val="0"/>
    <w:qFormat/>
    <w:pPr>
      <w:spacing w:before="0" w:after="120"/>
    </w:pPr>
    <w:rPr>
      <w:sz w:val="16"/>
      <w:szCs w:val="16"/>
    </w:rPr>
  </w:style>
  <w:style w:type="paragraph" w:styleId="BodyTextIndent2">
    <w:name w:val="Body Text Indent 2"/>
    <w:basedOn w:val="Normal"/>
    <w:uiPriority w:val="0"/>
    <w:qFormat/>
    <w:pPr>
      <w:spacing w:before="120" w:after="160"/>
      <w:ind w:left="360"/>
      <w:jc w:val="both"/>
    </w:pPr>
    <w:rPr>
      <w:rFonts w:ascii="Arial" w:hAnsi="Arial" w:cs="Arial"/>
    </w:rPr>
  </w:style>
  <w:style w:type="paragraph" w:styleId="13" w:customStyle="1">
    <w:name w:val="Указатель13"/>
    <w:basedOn w:val="Normal"/>
    <w:uiPriority w:val="0"/>
    <w:qFormat/>
    <w:pPr>
      <w:suppressLineNumbers/>
    </w:pPr>
    <w:rPr>
      <w:rFonts w:cs="Lohit Devanagari"/>
    </w:rPr>
  </w:style>
  <w:style w:type="paragraph" w:styleId="caption11" w:customStyle="1">
    <w:name w:val="caption11"/>
    <w:basedOn w:val="Normal"/>
    <w:uiPriority w:val="0"/>
    <w:qFormat/>
    <w:pPr>
      <w:suppressLineNumbers/>
      <w:spacing w:before="120" w:after="120"/>
    </w:pPr>
    <w:rPr>
      <w:rFonts w:cs="Lohit Devanagari"/>
      <w:i/>
      <w:iCs/>
    </w:rPr>
  </w:style>
  <w:style w:type="paragraph" w:styleId="caption111" w:customStyle="1">
    <w:name w:val="caption111"/>
    <w:basedOn w:val="Normal"/>
    <w:uiPriority w:val="0"/>
    <w:qFormat/>
    <w:pPr>
      <w:suppressLineNumbers/>
      <w:spacing w:before="120" w:after="120"/>
    </w:pPr>
    <w:rPr>
      <w:rFonts w:cs="Lohit Devanagari"/>
      <w:i/>
      <w:iCs/>
    </w:rPr>
  </w:style>
  <w:style w:type="paragraph" w:styleId="14" w:customStyle="1">
    <w:name w:val="Заголовок1"/>
    <w:basedOn w:val="Normal"/>
    <w:next w:val="BodyText"/>
    <w:uiPriority w:val="0"/>
    <w:qFormat/>
    <w:pPr>
      <w:keepNext w:val="true"/>
      <w:spacing w:before="240" w:after="120"/>
    </w:pPr>
    <w:rPr>
      <w:rFonts w:ascii="Liberation Sans" w:hAnsi="Liberation Sans" w:eastAsia="Noto Sans SC Regular;Times New" w:cs="Noto Sans Devanagari"/>
      <w:sz w:val="28"/>
      <w:szCs w:val="28"/>
    </w:rPr>
  </w:style>
  <w:style w:type="paragraph" w:styleId="121" w:customStyle="1">
    <w:name w:val="Указатель12"/>
    <w:basedOn w:val="Normal"/>
    <w:uiPriority w:val="0"/>
    <w:qFormat/>
    <w:pPr>
      <w:suppressLineNumbers/>
    </w:pPr>
    <w:rPr>
      <w:rFonts w:cs="Lohit Devanagari"/>
    </w:rPr>
  </w:style>
  <w:style w:type="paragraph" w:styleId="caption1111" w:customStyle="1">
    <w:name w:val="caption1111"/>
    <w:basedOn w:val="Normal"/>
    <w:uiPriority w:val="0"/>
    <w:qFormat/>
    <w:pPr>
      <w:suppressLineNumbers/>
      <w:spacing w:before="120" w:after="120"/>
    </w:pPr>
    <w:rPr>
      <w:rFonts w:cs="Lohit Devanagari"/>
      <w:i/>
      <w:iCs/>
    </w:rPr>
  </w:style>
  <w:style w:type="paragraph" w:styleId="111" w:customStyle="1">
    <w:name w:val="Указатель11"/>
    <w:basedOn w:val="Normal"/>
    <w:uiPriority w:val="0"/>
    <w:qFormat/>
    <w:pPr>
      <w:suppressLineNumbers/>
    </w:pPr>
    <w:rPr>
      <w:rFonts w:cs="Lohit Devanagari"/>
    </w:rPr>
  </w:style>
  <w:style w:type="paragraph" w:styleId="caption11111" w:customStyle="1">
    <w:name w:val="caption11111"/>
    <w:basedOn w:val="Normal"/>
    <w:uiPriority w:val="0"/>
    <w:qFormat/>
    <w:pPr>
      <w:suppressLineNumbers/>
      <w:spacing w:before="120" w:after="120"/>
    </w:pPr>
    <w:rPr>
      <w:rFonts w:cs="Lohit Devanagari"/>
      <w:i/>
      <w:iCs/>
    </w:rPr>
  </w:style>
  <w:style w:type="paragraph" w:styleId="15" w:customStyle="1">
    <w:name w:val="Указатель1"/>
    <w:basedOn w:val="Normal"/>
    <w:uiPriority w:val="0"/>
    <w:qFormat/>
    <w:pPr>
      <w:suppressLineNumbers/>
    </w:pPr>
    <w:rPr>
      <w:rFonts w:cs="Noto Sans Devanagari"/>
      <w:lang w:val="zh-CN" w:eastAsia="zh-CN" w:bidi="zh-CN"/>
    </w:rPr>
  </w:style>
  <w:style w:type="paragraph" w:styleId="16" w:customStyle="1">
    <w:name w:val="Название объекта1"/>
    <w:basedOn w:val="Normal"/>
    <w:uiPriority w:val="0"/>
    <w:qFormat/>
    <w:pPr>
      <w:suppressLineNumbers/>
      <w:spacing w:before="120" w:after="120"/>
    </w:pPr>
    <w:rPr>
      <w:rFonts w:cs="Noto Sans Devanagari"/>
      <w:i/>
      <w:iCs/>
    </w:rPr>
  </w:style>
  <w:style w:type="paragraph" w:styleId="1CStyle9" w:customStyle="1">
    <w:name w:val="1CStyle9"/>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1CStyle7" w:customStyle="1">
    <w:name w:val="1CStyle7"/>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17" w:customStyle="1">
    <w:name w:val="Текст1"/>
    <w:basedOn w:val="Normal"/>
    <w:uiPriority w:val="0"/>
    <w:qFormat/>
    <w:pPr/>
    <w:rPr>
      <w:rFonts w:ascii="Consolas;Liberation Sans Narrow" w:hAnsi="Consolas;Liberation Sans Narrow" w:eastAsia="Calibri;Trebuchet MS" w:cs="Consolas;Liberation Sans Narrow"/>
      <w:color w:val="00000A"/>
      <w:sz w:val="21"/>
      <w:szCs w:val="21"/>
      <w:lang w:eastAsia="zh-CN"/>
    </w:rPr>
  </w:style>
  <w:style w:type="paragraph" w:styleId="western" w:customStyle="1">
    <w:name w:val="western"/>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en-US" w:eastAsia="zh-CN" w:bidi="ar-SA"/>
    </w:rPr>
  </w:style>
  <w:style w:type="paragraph" w:styleId="311" w:customStyle="1">
    <w:name w:val="Без интервала31"/>
    <w:uiPriority w:val="0"/>
    <w:qFormat/>
    <w:pPr>
      <w:widowControl w:val="false"/>
      <w:suppressAutoHyphens w:val="true"/>
      <w:bidi w:val="0"/>
      <w:spacing w:lineRule="auto" w:line="252" w:before="0" w:after="160"/>
      <w:jc w:val="left"/>
    </w:pPr>
    <w:rPr>
      <w:rFonts w:ascii="Calibri;Trebuchet MS" w:hAnsi="Calibri;Trebuchet MS" w:eastAsia="Times New Roman" w:cs="Calibri;Trebuchet MS"/>
      <w:color w:val="auto"/>
      <w:kern w:val="0"/>
      <w:sz w:val="22"/>
      <w:szCs w:val="22"/>
      <w:lang w:val="ru-RU" w:eastAsia="en-US" w:bidi="ar-SA"/>
    </w:rPr>
  </w:style>
  <w:style w:type="paragraph" w:styleId="1CStyle2" w:customStyle="1">
    <w:name w:val="1CStyle2"/>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1CStyle0" w:customStyle="1">
    <w:name w:val="1CStyle0"/>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23" w:customStyle="1">
    <w:name w:val="Абзац списка2"/>
    <w:basedOn w:val="Normal"/>
    <w:uiPriority w:val="0"/>
    <w:qFormat/>
    <w:pPr>
      <w:spacing w:before="0" w:after="160"/>
      <w:ind w:left="720"/>
      <w:contextualSpacing/>
    </w:pPr>
    <w:rPr/>
  </w:style>
  <w:style w:type="paragraph" w:styleId="Style21" w:customStyle="1">
    <w:name w:val="_Style 2"/>
    <w:basedOn w:val="Normal"/>
    <w:uiPriority w:val="0"/>
    <w:qFormat/>
    <w:pPr>
      <w:spacing w:before="0" w:after="160"/>
      <w:ind w:left="720"/>
      <w:contextualSpacing/>
    </w:pPr>
    <w:rPr/>
  </w:style>
  <w:style w:type="paragraph" w:styleId="1CStyle10" w:customStyle="1">
    <w:name w:val="1CStyle10"/>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24" w:customStyle="1">
    <w:name w:val="Обычный2"/>
    <w:uiPriority w:val="0"/>
    <w:qFormat/>
    <w:pPr>
      <w:widowControl w:val="false"/>
      <w:suppressAutoHyphens w:val="true"/>
      <w:bidi w:val="0"/>
      <w:spacing w:lineRule="auto" w:line="252" w:before="0" w:after="160"/>
      <w:jc w:val="both"/>
    </w:pPr>
    <w:rPr>
      <w:rFonts w:ascii="Times New Roman" w:hAnsi="Times New Roman" w:eastAsia="SimSun;Times New Roman" w:cs="Times New Roman"/>
      <w:color w:val="auto"/>
      <w:kern w:val="0"/>
      <w:sz w:val="24"/>
      <w:szCs w:val="24"/>
      <w:lang w:val="ru-RU" w:eastAsia="ru-RU" w:bidi="ar-SA"/>
    </w:rPr>
  </w:style>
  <w:style w:type="paragraph" w:styleId="-" w:customStyle="1">
    <w:name w:val="Контракт-раздел"/>
    <w:basedOn w:val="Normal"/>
    <w:next w:val="-1"/>
    <w:uiPriority w:val="0"/>
    <w:qFormat/>
    <w:pPr>
      <w:keepNext w:val="true"/>
      <w:tabs>
        <w:tab w:val="clear" w:pos="708"/>
        <w:tab w:val="left" w:pos="540" w:leader="none"/>
      </w:tabs>
      <w:spacing w:before="360" w:after="120"/>
      <w:jc w:val="center"/>
      <w:outlineLvl w:val="3"/>
    </w:pPr>
    <w:rPr>
      <w:b/>
      <w:bCs/>
      <w:smallCaps/>
    </w:rPr>
  </w:style>
  <w:style w:type="paragraph" w:styleId="-1" w:customStyle="1">
    <w:name w:val="Контракт-пункт"/>
    <w:basedOn w:val="Normal"/>
    <w:uiPriority w:val="0"/>
    <w:qFormat/>
    <w:pPr>
      <w:jc w:val="both"/>
    </w:pPr>
    <w:rPr/>
  </w:style>
  <w:style w:type="paragraph" w:styleId="18" w:customStyle="1">
    <w:name w:val="Обычный1"/>
    <w:uiPriority w:val="0"/>
    <w:qFormat/>
    <w:pPr>
      <w:widowControl w:val="false"/>
      <w:suppressAutoHyphens w:val="true"/>
      <w:bidi w:val="0"/>
      <w:spacing w:lineRule="auto" w:line="252" w:before="0" w:after="160"/>
      <w:jc w:val="both"/>
    </w:pPr>
    <w:rPr>
      <w:rFonts w:ascii="Times New Roman" w:hAnsi="Times New Roman" w:eastAsia="SimSun;Times New Roman" w:cs="Times New Roman"/>
      <w:color w:val="auto"/>
      <w:kern w:val="0"/>
      <w:sz w:val="24"/>
      <w:szCs w:val="24"/>
      <w:lang w:val="ru-RU" w:eastAsia="ru-RU" w:bidi="ar-SA"/>
    </w:rPr>
  </w:style>
  <w:style w:type="paragraph" w:styleId="-2" w:customStyle="1">
    <w:name w:val="Контракт-подподпункт"/>
    <w:basedOn w:val="Normal"/>
    <w:uiPriority w:val="0"/>
    <w:qFormat/>
    <w:pPr>
      <w:tabs>
        <w:tab w:val="clear" w:pos="708"/>
        <w:tab w:val="left" w:pos="0" w:leader="none"/>
      </w:tabs>
      <w:jc w:val="both"/>
    </w:pPr>
    <w:rPr/>
  </w:style>
  <w:style w:type="paragraph" w:styleId="Iauiue" w:customStyle="1">
    <w:name w:val="Iau?iue"/>
    <w:uiPriority w:val="0"/>
    <w:qFormat/>
    <w:pPr>
      <w:widowControl w:val="false"/>
      <w:suppressAutoHyphens w:val="true"/>
      <w:bidi w:val="0"/>
      <w:spacing w:lineRule="auto" w:line="252" w:before="0" w:after="160"/>
      <w:jc w:val="left"/>
    </w:pPr>
    <w:rPr>
      <w:rFonts w:ascii="Times New Roman" w:hAnsi="Times New Roman" w:eastAsia="Times New Roman" w:cs="Times New Roman"/>
      <w:color w:val="auto"/>
      <w:kern w:val="0"/>
      <w:sz w:val="20"/>
      <w:szCs w:val="20"/>
      <w:lang w:val="en-US" w:eastAsia="ru-RU" w:bidi="ar-SA"/>
    </w:rPr>
  </w:style>
  <w:style w:type="paragraph" w:styleId="Style19" w:customStyle="1">
    <w:name w:val="Содержимое таблицы"/>
    <w:basedOn w:val="Normal"/>
    <w:uiPriority w:val="0"/>
    <w:qFormat/>
    <w:pPr>
      <w:suppressLineNumbers/>
    </w:pPr>
    <w:rPr/>
  </w:style>
  <w:style w:type="paragraph" w:styleId="3111" w:customStyle="1">
    <w:name w:val="Основной текст 311"/>
    <w:basedOn w:val="Normal"/>
    <w:uiPriority w:val="0"/>
    <w:qFormat/>
    <w:pPr>
      <w:spacing w:before="0" w:after="120"/>
    </w:pPr>
    <w:rPr>
      <w:sz w:val="16"/>
      <w:szCs w:val="16"/>
    </w:rPr>
  </w:style>
  <w:style w:type="paragraph" w:styleId="1CStyle1" w:customStyle="1">
    <w:name w:val="1CStyle1"/>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211" w:customStyle="1">
    <w:name w:val="Основной текст с отступом 211"/>
    <w:basedOn w:val="Normal"/>
    <w:uiPriority w:val="0"/>
    <w:qFormat/>
    <w:pPr>
      <w:spacing w:before="120" w:after="200"/>
      <w:ind w:left="360"/>
      <w:jc w:val="both"/>
    </w:pPr>
    <w:rPr>
      <w:rFonts w:ascii="Arial" w:hAnsi="Arial" w:cs="Arial"/>
    </w:rPr>
  </w:style>
  <w:style w:type="paragraph" w:styleId="212" w:customStyle="1">
    <w:name w:val="Основной текст 21"/>
    <w:basedOn w:val="Normal"/>
    <w:uiPriority w:val="0"/>
    <w:qFormat/>
    <w:pPr>
      <w:ind w:firstLine="851"/>
      <w:jc w:val="both"/>
    </w:pPr>
    <w:rPr>
      <w:szCs w:val="20"/>
      <w:lang w:val="en-US"/>
    </w:rPr>
  </w:style>
  <w:style w:type="paragraph" w:styleId="25" w:customStyle="1">
    <w:name w:val="Основной текст (2)"/>
    <w:uiPriority w:val="0"/>
    <w:qFormat/>
    <w:pPr>
      <w:widowControl w:val="false"/>
      <w:shd w:val="clear" w:color="auto" w:fill="FFFFFF"/>
      <w:suppressAutoHyphens w:val="true"/>
      <w:bidi w:val="0"/>
      <w:spacing w:lineRule="exact" w:line="307" w:before="0" w:after="160"/>
      <w:jc w:val="both"/>
      <w:textAlignment w:val="baseline"/>
    </w:pPr>
    <w:rPr>
      <w:rFonts w:ascii="Times New Roman" w:hAnsi="Times New Roman" w:eastAsia="Times New Roman" w:cs="Times New Roman"/>
      <w:color w:val="000000"/>
      <w:kern w:val="2"/>
      <w:sz w:val="26"/>
      <w:szCs w:val="26"/>
      <w:lang w:val="ru-RU" w:eastAsia="ru-RU" w:bidi="ar-SA"/>
    </w:rPr>
  </w:style>
  <w:style w:type="paragraph" w:styleId="s1" w:customStyle="1">
    <w:name w:val="s_1"/>
    <w:basedOn w:val="Normal"/>
    <w:uiPriority w:val="0"/>
    <w:qFormat/>
    <w:pPr>
      <w:spacing w:before="280" w:after="280"/>
    </w:pPr>
    <w:rPr/>
  </w:style>
  <w:style w:type="paragraph" w:styleId="Style91" w:customStyle="1">
    <w:name w:val="Style9"/>
    <w:basedOn w:val="Normal"/>
    <w:uiPriority w:val="0"/>
    <w:qFormat/>
    <w:pPr>
      <w:spacing w:lineRule="exact" w:line="326"/>
      <w:ind w:firstLine="701"/>
      <w:jc w:val="both"/>
    </w:pPr>
    <w:rPr>
      <w:rFonts w:ascii="Tahoma" w:hAnsi="Tahoma" w:cs="Tahoma"/>
    </w:rPr>
  </w:style>
  <w:style w:type="paragraph" w:styleId="ConsPlusNormal" w:customStyle="1">
    <w:name w:val="ConsPlusNormal"/>
    <w:uiPriority w:val="0"/>
    <w:qFormat/>
    <w:pPr>
      <w:widowControl w:val="false"/>
      <w:suppressAutoHyphens w:val="true"/>
      <w:bidi w:val="0"/>
      <w:spacing w:lineRule="auto" w:line="252" w:before="0" w:after="160"/>
      <w:ind w:firstLine="720"/>
      <w:jc w:val="left"/>
    </w:pPr>
    <w:rPr>
      <w:rFonts w:ascii="Arial" w:hAnsi="Arial" w:eastAsia="SimSun;Times New Roman" w:cs="Arial"/>
      <w:color w:val="auto"/>
      <w:kern w:val="0"/>
      <w:sz w:val="20"/>
      <w:szCs w:val="20"/>
      <w:lang w:val="ru-RU" w:eastAsia="ru-RU" w:bidi="ar-SA"/>
    </w:rPr>
  </w:style>
  <w:style w:type="paragraph" w:styleId="ConsNormal" w:customStyle="1">
    <w:name w:val="ConsNormal"/>
    <w:uiPriority w:val="0"/>
    <w:qFormat/>
    <w:pPr>
      <w:widowControl w:val="false"/>
      <w:suppressAutoHyphens w:val="true"/>
      <w:bidi w:val="0"/>
      <w:spacing w:lineRule="auto" w:line="252" w:before="0" w:after="160"/>
      <w:ind w:firstLine="720" w:right="19772"/>
      <w:jc w:val="left"/>
    </w:pPr>
    <w:rPr>
      <w:rFonts w:ascii="Arial" w:hAnsi="Arial" w:eastAsia="Times New Roman" w:cs="Arial"/>
      <w:color w:val="auto"/>
      <w:kern w:val="0"/>
      <w:sz w:val="20"/>
      <w:szCs w:val="20"/>
      <w:lang w:val="ru-RU" w:eastAsia="ru-RU" w:bidi="ar-SA"/>
    </w:rPr>
  </w:style>
  <w:style w:type="paragraph" w:styleId="26" w:customStyle="1">
    <w:name w:val="Без интервала2"/>
    <w:uiPriority w:val="0"/>
    <w:qFormat/>
    <w:pPr>
      <w:widowControl w:val="false"/>
      <w:suppressAutoHyphens w:val="true"/>
      <w:bidi w:val="0"/>
      <w:spacing w:lineRule="auto" w:line="252" w:before="0" w:after="160"/>
      <w:jc w:val="left"/>
    </w:pPr>
    <w:rPr>
      <w:rFonts w:ascii="Calibri;Trebuchet MS" w:hAnsi="Calibri;Trebuchet MS" w:eastAsia="Times New Roman" w:cs="Calibri;Trebuchet MS"/>
      <w:color w:val="auto"/>
      <w:kern w:val="0"/>
      <w:sz w:val="22"/>
      <w:szCs w:val="22"/>
      <w:lang w:val="ru-RU" w:eastAsia="en-US" w:bidi="ar-SA"/>
    </w:rPr>
  </w:style>
  <w:style w:type="paragraph" w:styleId="1CStyle8" w:customStyle="1">
    <w:name w:val="1CStyle8"/>
    <w:uiPriority w:val="0"/>
    <w:qFormat/>
    <w:pPr>
      <w:widowControl w:val="false"/>
      <w:suppressAutoHyphens w:val="true"/>
      <w:bidi w:val="0"/>
      <w:spacing w:lineRule="auto" w:line="276" w:before="0" w:after="200"/>
      <w:jc w:val="right"/>
    </w:pPr>
    <w:rPr>
      <w:rFonts w:ascii="Calibri;Trebuchet MS" w:hAnsi="Calibri;Trebuchet MS" w:eastAsia="SimSun;Times New Roman" w:cs="Calibri;Trebuchet MS"/>
      <w:color w:val="auto"/>
      <w:kern w:val="0"/>
      <w:sz w:val="22"/>
      <w:szCs w:val="22"/>
      <w:lang w:val="ru-RU" w:eastAsia="ru-RU" w:bidi="ar-SA"/>
    </w:rPr>
  </w:style>
  <w:style w:type="paragraph" w:styleId="1CStyle-1" w:customStyle="1">
    <w:name w:val="1CStyle-1"/>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Style20" w:customStyle="1">
    <w:name w:val="áû÷íûé"/>
    <w:uiPriority w:val="0"/>
    <w:qFormat/>
    <w:pPr>
      <w:widowControl w:val="false"/>
      <w:suppressAutoHyphens w:val="true"/>
      <w:bidi w:val="0"/>
      <w:spacing w:lineRule="auto" w:line="252" w:before="0" w:after="160"/>
      <w:jc w:val="left"/>
      <w:textAlignment w:val="baseline"/>
    </w:pPr>
    <w:rPr>
      <w:rFonts w:ascii="Times New Roman" w:hAnsi="Times New Roman" w:eastAsia="SimSun;Times New Roman" w:cs="Times New Roman"/>
      <w:color w:val="auto"/>
      <w:kern w:val="0"/>
      <w:sz w:val="21"/>
      <w:szCs w:val="22"/>
      <w:lang w:val="ru-RU" w:eastAsia="ru-RU" w:bidi="ar-SA"/>
    </w:rPr>
  </w:style>
  <w:style w:type="paragraph" w:styleId="1CStyle5" w:customStyle="1">
    <w:name w:val="1CStyle5"/>
    <w:uiPriority w:val="0"/>
    <w:qFormat/>
    <w:pPr>
      <w:widowControl w:val="false"/>
      <w:suppressAutoHyphens w:val="true"/>
      <w:bidi w:val="0"/>
      <w:spacing w:lineRule="auto" w:line="276" w:before="0" w:after="200"/>
      <w:jc w:val="right"/>
    </w:pPr>
    <w:rPr>
      <w:rFonts w:ascii="Calibri;Trebuchet MS" w:hAnsi="Calibri;Trebuchet MS" w:eastAsia="SimSun;Times New Roman" w:cs="Calibri;Trebuchet MS"/>
      <w:color w:val="auto"/>
      <w:kern w:val="0"/>
      <w:sz w:val="22"/>
      <w:szCs w:val="22"/>
      <w:lang w:val="ru-RU" w:eastAsia="ru-RU" w:bidi="ar-SA"/>
    </w:rPr>
  </w:style>
  <w:style w:type="paragraph" w:styleId="FrameContents" w:customStyle="1">
    <w:name w:val="Frame Contents"/>
    <w:basedOn w:val="Normal"/>
    <w:uiPriority w:val="0"/>
    <w:qFormat/>
    <w:pPr/>
    <w:rPr/>
  </w:style>
  <w:style w:type="paragraph" w:styleId="NoSpacing">
    <w:name w:val="No Spacing"/>
    <w:uiPriority w:val="0"/>
    <w:qFormat/>
    <w:pPr>
      <w:widowControl w:val="false"/>
      <w:suppressAutoHyphens w:val="true"/>
      <w:bidi w:val="0"/>
      <w:spacing w:lineRule="auto" w:line="252" w:before="0" w:after="160"/>
      <w:jc w:val="left"/>
    </w:pPr>
    <w:rPr>
      <w:rFonts w:ascii="Times New Roman" w:hAnsi="Times New Roman" w:eastAsia="SimSun;Times New Roman" w:cs="Times New Roman"/>
      <w:color w:val="auto"/>
      <w:kern w:val="0"/>
      <w:sz w:val="22"/>
      <w:szCs w:val="22"/>
      <w:lang w:val="ru-RU" w:eastAsia="zh-CN" w:bidi="ar-SA"/>
    </w:rPr>
  </w:style>
  <w:style w:type="paragraph" w:styleId="221" w:customStyle="1">
    <w:name w:val="Основной текст 22"/>
    <w:basedOn w:val="Normal"/>
    <w:uiPriority w:val="0"/>
    <w:qFormat/>
    <w:pPr>
      <w:ind w:firstLine="851"/>
      <w:jc w:val="both"/>
    </w:pPr>
    <w:rPr>
      <w:szCs w:val="20"/>
    </w:rPr>
  </w:style>
  <w:style w:type="paragraph" w:styleId="1CStyle6" w:customStyle="1">
    <w:name w:val="1CStyle6"/>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ConsPlusCell" w:customStyle="1">
    <w:name w:val="ConsPlusCell"/>
    <w:uiPriority w:val="0"/>
    <w:qFormat/>
    <w:pPr>
      <w:widowControl w:val="false"/>
      <w:suppressAutoHyphens w:val="true"/>
      <w:bidi w:val="0"/>
      <w:spacing w:lineRule="auto" w:line="252" w:before="0" w:after="160"/>
      <w:jc w:val="left"/>
    </w:pPr>
    <w:rPr>
      <w:rFonts w:ascii="Arial" w:hAnsi="Arial" w:eastAsia="Times New Roman" w:cs="Arial"/>
      <w:color w:val="auto"/>
      <w:kern w:val="0"/>
      <w:sz w:val="20"/>
      <w:szCs w:val="20"/>
      <w:lang w:val="ru-RU" w:eastAsia="ru-RU" w:bidi="ar-SA"/>
    </w:rPr>
  </w:style>
  <w:style w:type="paragraph" w:styleId="32" w:customStyle="1">
    <w:name w:val="Без интервала3"/>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ru-RU" w:eastAsia="en-US" w:bidi="ar-SA"/>
    </w:rPr>
  </w:style>
  <w:style w:type="paragraph" w:styleId="27" w:customStyle="1">
    <w:name w:val="Текст2"/>
    <w:basedOn w:val="Style20"/>
    <w:uiPriority w:val="0"/>
    <w:qFormat/>
    <w:pPr>
      <w:spacing w:before="0" w:after="240"/>
      <w:ind w:firstLine="1440"/>
    </w:pPr>
    <w:rPr>
      <w:sz w:val="24"/>
      <w:lang w:val="en-GB"/>
    </w:rPr>
  </w:style>
  <w:style w:type="paragraph" w:styleId="19" w:customStyle="1">
    <w:name w:val="Абзац списка1"/>
    <w:basedOn w:val="Normal"/>
    <w:uiPriority w:val="0"/>
    <w:qFormat/>
    <w:pPr>
      <w:ind w:left="720"/>
    </w:pPr>
    <w:rPr/>
  </w:style>
  <w:style w:type="paragraph" w:styleId="Style43" w:customStyle="1">
    <w:name w:val="Style43"/>
    <w:basedOn w:val="Normal"/>
    <w:uiPriority w:val="0"/>
    <w:qFormat/>
    <w:pPr>
      <w:spacing w:lineRule="exact" w:line="334"/>
      <w:jc w:val="both"/>
    </w:pPr>
    <w:rPr>
      <w:color w:val="00000A"/>
    </w:rPr>
  </w:style>
  <w:style w:type="paragraph" w:styleId="-3" w:customStyle="1">
    <w:name w:val="Контракт-подпункт Знак"/>
    <w:basedOn w:val="Normal"/>
    <w:uiPriority w:val="0"/>
    <w:qFormat/>
    <w:pPr>
      <w:tabs>
        <w:tab w:val="clear" w:pos="708"/>
        <w:tab w:val="left" w:pos="0" w:leader="none"/>
      </w:tabs>
      <w:jc w:val="both"/>
    </w:pPr>
    <w:rPr/>
  </w:style>
  <w:style w:type="paragraph" w:styleId="110" w:customStyle="1">
    <w:name w:val="Без интервала1"/>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en-US" w:eastAsia="en-US" w:bidi="ar-SA"/>
    </w:rPr>
  </w:style>
  <w:style w:type="paragraph" w:styleId="ListParagraph">
    <w:name w:val="List Paragraph"/>
    <w:basedOn w:val="Normal"/>
    <w:uiPriority w:val="0"/>
    <w:qFormat/>
    <w:pPr>
      <w:spacing w:before="0" w:after="160"/>
      <w:ind w:left="720"/>
      <w:contextualSpacing/>
    </w:pPr>
    <w:rPr>
      <w:rFonts w:ascii="Calibri;Trebuchet MS" w:hAnsi="Calibri;Trebuchet MS" w:cs="Calibri;Trebuchet MS"/>
      <w:lang w:val="zh-CN" w:eastAsia="zh-CN"/>
    </w:rPr>
  </w:style>
  <w:style w:type="paragraph" w:styleId="Style22" w:customStyle="1">
    <w:name w:val="Текст в заданном формате"/>
    <w:basedOn w:val="Normal"/>
    <w:uiPriority w:val="0"/>
    <w:qFormat/>
    <w:pPr>
      <w:spacing w:before="0" w:after="60"/>
      <w:jc w:val="both"/>
    </w:pPr>
    <w:rPr>
      <w:rFonts w:ascii="Liberation Mono" w:hAnsi="Liberation Mono" w:eastAsia="Courier New" w:cs="Liberation Mono"/>
      <w:color w:val="00000A"/>
      <w:sz w:val="20"/>
      <w:szCs w:val="20"/>
      <w:lang w:eastAsia="zh-CN" w:bidi="hi-IN"/>
    </w:rPr>
  </w:style>
  <w:style w:type="paragraph" w:styleId="41" w:customStyle="1">
    <w:name w:val="Абзац списка4"/>
    <w:basedOn w:val="Normal"/>
    <w:uiPriority w:val="0"/>
    <w:qFormat/>
    <w:pPr>
      <w:ind w:left="720"/>
    </w:pPr>
    <w:rPr>
      <w:rFonts w:eastAsia="Calibri;Trebuchet MS"/>
    </w:rPr>
  </w:style>
  <w:style w:type="paragraph" w:styleId="1CStyle4" w:customStyle="1">
    <w:name w:val="1CStyle4"/>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Style23" w:customStyle="1">
    <w:name w:val="Таблица шапка"/>
    <w:basedOn w:val="Normal"/>
    <w:uiPriority w:val="0"/>
    <w:qFormat/>
    <w:pPr>
      <w:keepNext w:val="true"/>
      <w:spacing w:before="40" w:after="40"/>
      <w:ind w:left="57" w:right="57"/>
    </w:pPr>
    <w:rPr>
      <w:kern w:val="2"/>
      <w:szCs w:val="20"/>
      <w:lang w:eastAsia="ar-SA"/>
    </w:rPr>
  </w:style>
  <w:style w:type="paragraph" w:styleId="Style24" w:customStyle="1">
    <w:name w:val="Таблица текст"/>
    <w:basedOn w:val="Normal"/>
    <w:uiPriority w:val="0"/>
    <w:qFormat/>
    <w:pPr>
      <w:spacing w:before="40" w:after="40"/>
      <w:ind w:left="57" w:right="57"/>
    </w:pPr>
    <w:rPr>
      <w:kern w:val="2"/>
      <w:szCs w:val="20"/>
      <w:lang w:eastAsia="ar-SA"/>
    </w:rPr>
  </w:style>
  <w:style w:type="paragraph" w:styleId="Style51" w:customStyle="1">
    <w:name w:val="_Style 5"/>
    <w:basedOn w:val="Normal"/>
    <w:uiPriority w:val="0"/>
    <w:qFormat/>
    <w:pPr/>
    <w:rPr>
      <w:rFonts w:ascii="Verdana" w:hAnsi="Verdana" w:cs="Verdana"/>
      <w:sz w:val="20"/>
      <w:szCs w:val="20"/>
      <w:lang w:val="en-US"/>
    </w:rPr>
  </w:style>
  <w:style w:type="paragraph" w:styleId="33" w:customStyle="1">
    <w:name w:val="Абзац списка3"/>
    <w:basedOn w:val="Normal"/>
    <w:uiPriority w:val="0"/>
    <w:qFormat/>
    <w:pPr>
      <w:spacing w:before="0" w:after="200"/>
      <w:ind w:left="720"/>
      <w:contextualSpacing/>
    </w:pPr>
    <w:rPr>
      <w:rFonts w:ascii="Calibri;Trebuchet MS" w:hAnsi="Calibri;Trebuchet MS" w:eastAsia="Calibri;Trebuchet MS"/>
    </w:rPr>
  </w:style>
  <w:style w:type="paragraph" w:styleId="222" w:customStyle="1">
    <w:name w:val="Основной текст с отступом 22"/>
    <w:basedOn w:val="Normal"/>
    <w:uiPriority w:val="0"/>
    <w:qFormat/>
    <w:pPr>
      <w:spacing w:before="120" w:after="200"/>
      <w:ind w:left="360"/>
      <w:jc w:val="both"/>
    </w:pPr>
    <w:rPr>
      <w:rFonts w:ascii="Arial" w:hAnsi="Arial" w:cs="Arial"/>
    </w:rPr>
  </w:style>
  <w:style w:type="paragraph" w:styleId="Standard" w:customStyle="1">
    <w:name w:val="Standard"/>
    <w:uiPriority w:val="0"/>
    <w:qFormat/>
    <w:pPr>
      <w:widowControl/>
      <w:suppressAutoHyphens w:val="true"/>
      <w:bidi w:val="0"/>
      <w:spacing w:lineRule="auto" w:line="276" w:before="0" w:after="200"/>
      <w:jc w:val="left"/>
      <w:textAlignment w:val="baseline"/>
    </w:pPr>
    <w:rPr>
      <w:rFonts w:ascii="Calibri;Trebuchet MS" w:hAnsi="Calibri;Trebuchet MS" w:eastAsia="SimSun;Times New Roman" w:cs="Calibri;Trebuchet MS"/>
      <w:color w:val="auto"/>
      <w:kern w:val="2"/>
      <w:sz w:val="22"/>
      <w:szCs w:val="22"/>
      <w:lang w:val="ru-RU" w:eastAsia="zh-CN" w:bidi="ar-SA"/>
    </w:rPr>
  </w:style>
  <w:style w:type="paragraph" w:styleId="xmsonormal" w:customStyle="1">
    <w:name w:val="x_msonormal"/>
    <w:basedOn w:val="Normal"/>
    <w:uiPriority w:val="0"/>
    <w:qFormat/>
    <w:pPr>
      <w:spacing w:lineRule="auto" w:line="240" w:before="100" w:after="100"/>
    </w:pPr>
    <w:rPr/>
  </w:style>
  <w:style w:type="paragraph" w:styleId="321" w:customStyle="1">
    <w:name w:val="Основной текст 32"/>
    <w:basedOn w:val="Normal"/>
    <w:uiPriority w:val="0"/>
    <w:qFormat/>
    <w:pPr>
      <w:spacing w:before="0" w:after="120"/>
    </w:pPr>
    <w:rPr>
      <w:sz w:val="16"/>
      <w:szCs w:val="16"/>
    </w:rPr>
  </w:style>
  <w:style w:type="paragraph" w:styleId="1111" w:customStyle="1">
    <w:name w:val="Стиль Заголовок 1 + 11 пт"/>
    <w:basedOn w:val="Heading1"/>
    <w:uiPriority w:val="0"/>
    <w:qFormat/>
    <w:pPr>
      <w:tabs>
        <w:tab w:val="clear" w:pos="708"/>
        <w:tab w:val="left" w:pos="3780" w:leader="none"/>
      </w:tabs>
      <w:spacing w:before="360" w:after="120"/>
      <w:jc w:val="center"/>
      <w:outlineLvl w:val="9"/>
    </w:pPr>
    <w:rPr>
      <w:rFonts w:ascii="Times New Roman" w:hAnsi="Times New Roman" w:eastAsia="Times New Roman"/>
      <w:color w:val="000000"/>
      <w:sz w:val="22"/>
      <w:szCs w:val="20"/>
    </w:rPr>
  </w:style>
  <w:style w:type="paragraph" w:styleId="Style25" w:customStyle="1">
    <w:name w:val="статьи договора"/>
    <w:basedOn w:val="1111"/>
    <w:uiPriority w:val="0"/>
    <w:qFormat/>
    <w:pPr>
      <w:tabs>
        <w:tab w:val="left" w:pos="1392" w:leader="none"/>
        <w:tab w:val="left" w:pos="3780" w:leader="none"/>
      </w:tabs>
      <w:spacing w:before="0" w:after="60"/>
      <w:ind w:left="1392"/>
      <w:jc w:val="both"/>
      <w:outlineLvl w:val="1"/>
    </w:pPr>
    <w:rPr>
      <w:rFonts w:ascii="Calibri;Trebuchet MS" w:hAnsi="Calibri;Trebuchet MS" w:eastAsia="Calibri;Trebuchet MS"/>
      <w:b w:val="false"/>
      <w:bCs w:val="false"/>
      <w:szCs w:val="22"/>
      <w:lang w:eastAsia="en-US"/>
    </w:rPr>
  </w:style>
  <w:style w:type="paragraph" w:styleId="Style181" w:customStyle="1">
    <w:name w:val="Style18"/>
    <w:basedOn w:val="Normal"/>
    <w:uiPriority w:val="0"/>
    <w:qFormat/>
    <w:pPr>
      <w:suppressAutoHyphens w:val="false"/>
      <w:spacing w:lineRule="exact" w:line="276" w:before="0" w:after="0"/>
      <w:ind w:firstLine="451"/>
      <w:jc w:val="both"/>
    </w:pPr>
    <w:rPr/>
  </w:style>
  <w:style w:type="paragraph" w:styleId="112" w:customStyle="1">
    <w:name w:val="Основной текст1"/>
    <w:basedOn w:val="Normal"/>
    <w:uiPriority w:val="0"/>
    <w:qFormat/>
    <w:pPr>
      <w:ind w:firstLine="300"/>
    </w:pPr>
    <w:rPr>
      <w:sz w:val="26"/>
      <w:szCs w:val="26"/>
    </w:rPr>
  </w:style>
  <w:style w:type="paragraph" w:styleId="51" w:customStyle="1">
    <w:name w:val="Основной текст (5)"/>
    <w:basedOn w:val="Normal"/>
    <w:uiPriority w:val="0"/>
    <w:qFormat/>
    <w:pPr>
      <w:shd w:val="clear" w:color="auto" w:fill="FFFFFF"/>
      <w:suppressAutoHyphens w:val="false"/>
      <w:spacing w:lineRule="exact" w:line="317"/>
      <w:jc w:val="both"/>
    </w:pPr>
    <w:rPr>
      <w:sz w:val="26"/>
      <w:szCs w:val="26"/>
    </w:rPr>
  </w:style>
  <w:style w:type="paragraph" w:styleId="Style26" w:customStyle="1">
    <w:name w:val="Заголовок таблицы"/>
    <w:basedOn w:val="Style19"/>
    <w:uiPriority w:val="0"/>
    <w:qFormat/>
    <w:pPr>
      <w:jc w:val="center"/>
    </w:pPr>
    <w:rPr>
      <w:b/>
      <w:bCs/>
    </w:rPr>
  </w:style>
  <w:style w:type="paragraph" w:styleId="Style27" w:customStyle="1">
    <w:name w:val="Содержимое врезки"/>
    <w:basedOn w:val="Normal"/>
    <w:uiPriority w:val="0"/>
    <w:qFormat/>
    <w:pPr/>
    <w:rPr/>
  </w:style>
  <w:style w:type="paragraph" w:styleId="Style28">
    <w:name w:val="Style2"/>
    <w:basedOn w:val="Normal"/>
    <w:qFormat/>
    <w:pPr>
      <w:spacing w:lineRule="exact" w:line="185" w:before="0" w:after="0"/>
      <w:jc w:val="both"/>
    </w:pPr>
    <w:rPr>
      <w:kern w:val="2"/>
      <w:lang w:val="en-US" w:eastAsia="zh-CN"/>
    </w:rPr>
  </w:style>
  <w:style w:type="table" w:default="1" w:styleId="12">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zakupki.gov.ru/" TargetMode="External"/><Relationship Id="rId3" Type="http://schemas.openxmlformats.org/officeDocument/2006/relationships/hyperlink" Target="mailto:rhs@seat92.ru" TargetMode="External"/><Relationship Id="rId4" Type="http://schemas.openxmlformats.org/officeDocument/2006/relationships/hyperlink" Target="http://www.zakupki.gov.ru/" TargetMode="External"/><Relationship Id="rId5" Type="http://schemas.openxmlformats.org/officeDocument/2006/relationships/hyperlink" Target="http://www.zakupki.gov.ru/" TargetMode="External"/><Relationship Id="rId6" Type="http://schemas.openxmlformats.org/officeDocument/2006/relationships/hyperlink" Target="https://www.rts-tender.ru/"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Application>LibreOffice/24.8.4.1$Linux_X86_64 LibreOffice_project/480$Build-1</Application>
  <AppVersion>15.0000</AppVersion>
  <Pages>16</Pages>
  <Words>5957</Words>
  <Characters>41204</Characters>
  <CharactersWithSpaces>46841</CharactersWithSpaces>
  <Paragraphs>256</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2025-06-17T08:44:26Z</dcterms:created>
  <dc:creator>ssspec3@sevtr.local</dc:creator>
  <dc:description/>
  <dc:language>ru-RU</dc:language>
  <cp:lastModifiedBy/>
  <dcterms:modified xsi:type="dcterms:W3CDTF">2026-10-09T08:24:18Z</dcterms:modified>
  <cp:revision>108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A3F83125CF924CE78443CB1A28D87B65_13</vt:lpwstr>
  </property>
  <property fmtid="{D5CDD505-2E9C-101B-9397-08002B2CF9AE}" pid="3" name="KSOProductBuildVer">
    <vt:lpwstr>1049-11.1.0.11664</vt:lpwstr>
  </property>
</Properties>
</file>