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firstLine="638"/>
        <w:jc w:val="right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cs="Times New Roman"/>
          <w:color w:val="000000"/>
          <w:sz w:val="20"/>
          <w:szCs w:val="20"/>
          <w:lang w:val="ru-RU"/>
        </w:rPr>
        <w:t>Приложение № 1 к извещению</w:t>
      </w:r>
    </w:p>
    <w:p>
      <w:pPr>
        <w:pStyle w:val="Normal"/>
        <w:spacing w:lineRule="auto" w:line="240"/>
        <w:ind w:firstLine="638"/>
        <w:jc w:val="right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>
        <w:rPr>
          <w:rFonts w:cs="Times New Roman"/>
          <w:color w:val="000000"/>
          <w:sz w:val="20"/>
          <w:szCs w:val="20"/>
          <w:lang w:val="ru-RU"/>
        </w:rPr>
        <w:t>о проведении запроса котировок</w:t>
      </w:r>
    </w:p>
    <w:p>
      <w:pPr>
        <w:pStyle w:val="Normal"/>
        <w:spacing w:before="0" w:after="0"/>
        <w:ind w:firstLine="480"/>
        <w:jc w:val="center"/>
        <w:rPr>
          <w:sz w:val="24"/>
          <w:szCs w:val="24"/>
        </w:rPr>
      </w:pPr>
      <w:r>
        <w:rPr/>
      </w:r>
    </w:p>
    <w:p>
      <w:pPr>
        <w:pStyle w:val="Normal"/>
        <w:spacing w:before="0" w:after="0"/>
        <w:ind w:firstLine="480"/>
        <w:jc w:val="center"/>
        <w:rPr>
          <w:sz w:val="24"/>
          <w:szCs w:val="24"/>
        </w:rPr>
      </w:pPr>
      <w:r>
        <w:rPr/>
      </w:r>
    </w:p>
    <w:p>
      <w:pPr>
        <w:pStyle w:val="Normal"/>
        <w:spacing w:before="0" w:after="0"/>
        <w:ind w:firstLine="480"/>
        <w:jc w:val="center"/>
        <w:rPr>
          <w:sz w:val="24"/>
          <w:szCs w:val="24"/>
        </w:rPr>
      </w:pPr>
      <w:r>
        <w:rPr>
          <w:sz w:val="24"/>
          <w:szCs w:val="24"/>
        </w:rPr>
        <w:t>ТЕХНИЧЕСКОЕ ЗАДАНИЕ</w:t>
      </w:r>
    </w:p>
    <w:p>
      <w:pPr>
        <w:pStyle w:val="Normal"/>
        <w:spacing w:before="0" w:after="0"/>
        <w:ind w:firstLine="480"/>
        <w:jc w:val="center"/>
        <w:rPr>
          <w:sz w:val="24"/>
          <w:szCs w:val="24"/>
        </w:rPr>
      </w:pPr>
      <w:r>
        <w:rPr>
          <w:rFonts w:eastAsia="sans-serif"/>
          <w:b/>
          <w:bCs/>
          <w:color w:val="000000"/>
          <w:sz w:val="24"/>
          <w:szCs w:val="24"/>
          <w:shd w:fill="FFFFFF" w:val="clear"/>
        </w:rPr>
        <w:t xml:space="preserve">на поставку </w:t>
      </w:r>
      <w:r>
        <w:rPr>
          <w:rFonts w:eastAsia="sans-serif"/>
          <w:b/>
          <w:bCs/>
          <w:color w:val="000000"/>
          <w:sz w:val="24"/>
          <w:szCs w:val="24"/>
          <w:shd w:fill="FFFFFF" w:val="clear"/>
          <w:lang w:val="ru-RU" w:eastAsia="zh-CN"/>
        </w:rPr>
        <w:t>Монолитного поликарбоната</w:t>
      </w:r>
    </w:p>
    <w:p>
      <w:pPr>
        <w:pStyle w:val="Normal"/>
        <w:spacing w:before="0" w:after="0"/>
        <w:ind w:firstLine="480"/>
        <w:jc w:val="center"/>
        <w:rPr>
          <w:rFonts w:ascii="Times New Roman" w:hAnsi="Times New Roman" w:eastAsia="sans-serif"/>
          <w:b/>
          <w:bCs/>
          <w:color w:val="000000"/>
          <w:sz w:val="24"/>
          <w:szCs w:val="24"/>
          <w:shd w:fill="FFFFFF" w:val="clear"/>
        </w:rPr>
      </w:pPr>
      <w:r>
        <w:rPr>
          <w:rFonts w:eastAsia="sans-serif"/>
          <w:b/>
          <w:bCs/>
          <w:color w:val="000000"/>
          <w:sz w:val="24"/>
          <w:szCs w:val="24"/>
          <w:shd w:fill="FFFFFF" w:val="clear"/>
        </w:rPr>
      </w:r>
    </w:p>
    <w:p>
      <w:pPr>
        <w:pStyle w:val="Normal"/>
        <w:spacing w:before="0" w:after="0"/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eastAsia="sans-serif"/>
          <w:color w:val="000000"/>
          <w:sz w:val="24"/>
          <w:szCs w:val="24"/>
          <w:shd w:fill="FFFFFF" w:val="clear"/>
        </w:rPr>
        <w:t xml:space="preserve">Заказчик: </w:t>
      </w:r>
      <w:r>
        <w:rPr>
          <w:sz w:val="24"/>
          <w:szCs w:val="24"/>
        </w:rPr>
        <w:t>ГУП "Севэлектроавтотранс им.А.С. Круподёрова"</w:t>
      </w:r>
    </w:p>
    <w:p>
      <w:pPr>
        <w:pStyle w:val="Normal"/>
        <w:spacing w:before="0" w:after="0"/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Адрес: 299003, г. Севастополь, ул. Льва Толстого, д.51.</w:t>
      </w:r>
    </w:p>
    <w:p>
      <w:pPr>
        <w:pStyle w:val="Normal"/>
        <w:numPr>
          <w:ilvl w:val="0"/>
          <w:numId w:val="2"/>
        </w:numPr>
        <w:spacing w:before="0" w:after="0"/>
        <w:ind w:firstLine="480"/>
        <w:rPr>
          <w:rFonts w:ascii="Times New Roman" w:hAnsi="Times New Roman"/>
          <w:sz w:val="24"/>
          <w:szCs w:val="24"/>
        </w:rPr>
      </w:pPr>
      <w:r>
        <w:rPr>
          <w:rFonts w:eastAsia="LiberationSerif"/>
          <w:color w:val="000000"/>
          <w:sz w:val="24"/>
          <w:szCs w:val="24"/>
          <w:lang w:val="ru-RU" w:eastAsia="zh-CN"/>
        </w:rPr>
        <w:t>Перечень:</w:t>
      </w:r>
    </w:p>
    <w:tbl>
      <w:tblPr>
        <w:tblStyle w:val="18"/>
        <w:tblW w:w="9273" w:type="dxa"/>
        <w:jc w:val="left"/>
        <w:tblInd w:w="372" w:type="dxa"/>
        <w:tblLayout w:type="fixed"/>
        <w:tblCellMar>
          <w:top w:w="0" w:type="dxa"/>
          <w:left w:w="88" w:type="dxa"/>
          <w:bottom w:w="0" w:type="dxa"/>
          <w:right w:w="5" w:type="dxa"/>
        </w:tblCellMar>
      </w:tblPr>
      <w:tblGrid>
        <w:gridCol w:w="514"/>
        <w:gridCol w:w="4285"/>
        <w:gridCol w:w="1242"/>
        <w:gridCol w:w="1364"/>
        <w:gridCol w:w="1868"/>
      </w:tblGrid>
      <w:tr>
        <w:trPr>
          <w:trHeight w:val="637" w:hRule="atLeast"/>
        </w:trPr>
        <w:tc>
          <w:tcPr>
            <w:tcW w:w="5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№</w:t>
            </w:r>
          </w:p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п/п</w:t>
            </w:r>
          </w:p>
        </w:tc>
        <w:tc>
          <w:tcPr>
            <w:tcW w:w="428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Наименование</w:t>
            </w:r>
          </w:p>
        </w:tc>
        <w:tc>
          <w:tcPr>
            <w:tcW w:w="124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</w:rPr>
              <w:t>Ед. изм.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AutoHyphens w:val="true"/>
              <w:overflowPunct w:val="false"/>
              <w:bidi w:val="0"/>
              <w:snapToGrid w:val="true"/>
              <w:spacing w:lineRule="auto" w:line="259" w:before="0" w:after="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i w:val="false"/>
                <w:iCs w:val="false"/>
                <w:kern w:val="0"/>
                <w:sz w:val="24"/>
                <w:szCs w:val="24"/>
                <w:u w:val="none"/>
                <w:shd w:fill="auto" w:val="clear"/>
                <w:lang w:eastAsia="ru-RU"/>
              </w:rPr>
              <w:t>количество</w:t>
            </w:r>
          </w:p>
        </w:tc>
        <w:tc>
          <w:tcPr>
            <w:tcW w:w="1868" w:type="dxa"/>
            <w:tcBorders/>
            <w:shd w:color="auto" w:fill="auto" w:val="clear"/>
            <w:vAlign w:val="center"/>
          </w:tcPr>
          <w:p>
            <w:pPr>
              <w:pStyle w:val="Normal"/>
              <w:keepNext w:val="false"/>
              <w:keepLines w:val="false"/>
              <w:widowControl/>
              <w:suppressAutoHyphens w:val="true"/>
              <w:overflowPunct w:val="false"/>
              <w:bidi w:val="0"/>
              <w:snapToGrid w:val="true"/>
              <w:spacing w:lineRule="auto" w:line="259" w:before="0" w:after="0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u w:val="none"/>
                <w:shd w:fill="auto" w:val="clear"/>
                <w:lang w:eastAsia="ru-RU"/>
              </w:rPr>
              <w:t>ОКПД 2</w:t>
            </w:r>
          </w:p>
        </w:tc>
      </w:tr>
      <w:tr>
        <w:trPr/>
        <w:tc>
          <w:tcPr>
            <w:tcW w:w="5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lineRule="auto" w:line="240" w:before="0" w:after="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8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zh-CN"/>
              </w:rPr>
              <w:t>Монолитный поликарбонат</w:t>
            </w:r>
            <w:r>
              <w:rPr>
                <w:kern w:val="0"/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 w:eastAsia="zh-CN"/>
              </w:rPr>
              <w:t>(МПК)</w:t>
            </w:r>
            <w:r>
              <w:rPr>
                <w:kern w:val="0"/>
                <w:sz w:val="24"/>
                <w:szCs w:val="24"/>
                <w:lang w:val="ru-RU" w:eastAsia="zh-CN"/>
              </w:rPr>
              <w:t xml:space="preserve"> ,толщина 6 мм, размер 2,05 * 3,05, бронзовый, пропускная способность 40%.</w:t>
            </w:r>
          </w:p>
        </w:tc>
        <w:tc>
          <w:tcPr>
            <w:tcW w:w="124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лист</w:t>
            </w:r>
          </w:p>
        </w:tc>
        <w:tc>
          <w:tcPr>
            <w:tcW w:w="1364" w:type="dxa"/>
            <w:tcBorders/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1868" w:type="dxa"/>
            <w:tcBorders/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/>
              </w:rPr>
              <w:t>20.16.40.140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ind w:firstLine="240" w:left="4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shd w:fill="FFFFFF" w:val="clear"/>
        </w:rPr>
        <w:t>2. Поставляемы</w:t>
      </w:r>
      <w:r>
        <w:rPr>
          <w:sz w:val="24"/>
          <w:szCs w:val="24"/>
          <w:shd w:fill="FFFFFF" w:val="clear"/>
          <w:lang w:val="ru-RU"/>
        </w:rPr>
        <w:t>й</w:t>
      </w:r>
      <w:r>
        <w:rPr>
          <w:sz w:val="24"/>
          <w:szCs w:val="24"/>
          <w:shd w:fill="FFFFFF" w:val="clear"/>
        </w:rPr>
        <w:t xml:space="preserve"> товар должен быть новым, не бывшим в использовании, </w:t>
      </w:r>
      <w:r>
        <w:rPr>
          <w:sz w:val="24"/>
          <w:szCs w:val="24"/>
        </w:rPr>
        <w:t>изготовлен не ранее 202</w:t>
      </w:r>
      <w:r>
        <w:rPr>
          <w:sz w:val="24"/>
          <w:szCs w:val="24"/>
          <w:lang w:val="ru-RU"/>
        </w:rPr>
        <w:t xml:space="preserve">5 </w:t>
      </w:r>
      <w:r>
        <w:rPr>
          <w:sz w:val="24"/>
          <w:szCs w:val="24"/>
        </w:rPr>
        <w:t xml:space="preserve">года. </w:t>
      </w:r>
      <w:r>
        <w:rPr>
          <w:sz w:val="24"/>
          <w:szCs w:val="24"/>
          <w:shd w:fill="FFFFFF" w:val="clear"/>
        </w:rPr>
        <w:t xml:space="preserve">Товары, подлежащие обязательной сертификации, должны поставляться со сертификатами соответствия, а также паспортом на товар и инструкцией по эксплуатации при наличии.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120" w:left="4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shd w:fill="FFFFFF" w:val="clear"/>
        </w:rPr>
        <w:t xml:space="preserve">3. </w:t>
      </w:r>
      <w:r>
        <w:rPr>
          <w:rFonts w:eastAsia="LiberationSerif"/>
          <w:color w:val="000000"/>
          <w:sz w:val="24"/>
          <w:szCs w:val="24"/>
          <w:lang w:eastAsia="zh-CN"/>
        </w:rPr>
        <w:t>В цену товаров должны быть включены транспортные и иные расходы, связанные с поставкой, доставкой, разгрузкой товаров, расходы на страхование, уплату налогов, сборов и других обязательных платежей, подлежащие оплате Поставщиком. Цена единицы поставляемого товара не должна увеличиваться в зависимости от объёма заявок.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120" w:left="4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shd w:fill="FFFFFF" w:val="clear"/>
          <w:lang w:val="ru-RU"/>
        </w:rPr>
        <w:t>4.</w:t>
      </w:r>
      <w:r>
        <w:rPr>
          <w:sz w:val="24"/>
          <w:szCs w:val="24"/>
          <w:shd w:fill="FFFFFF" w:val="clear"/>
        </w:rPr>
        <w:t xml:space="preserve"> Поставка осуществляется по письменным заявкам согласно условиям Договора.    Сроки поставки товара не должны превышать 14 календарных дней с даты подачи заявки поставщику. Заказчик вправе не приобретать весь перечень товаров и объем согласно перечня технического задания до окончания срока действия договора.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120" w:left="480"/>
        <w:jc w:val="both"/>
        <w:rPr>
          <w:rFonts w:ascii="Times New Roman" w:hAnsi="Times New Roman"/>
          <w:sz w:val="24"/>
          <w:szCs w:val="24"/>
        </w:rPr>
      </w:pPr>
      <w:r>
        <w:rPr>
          <w:color w:themeColor="text1" w:val="000000"/>
          <w:sz w:val="24"/>
          <w:szCs w:val="24"/>
          <w:shd w:fill="FFFFFF" w:val="clear"/>
          <w:lang w:val="ru-RU"/>
          <w14:textFill>
            <w14:solidFill>
              <w14:schemeClr w14:val="tx1"/>
            </w14:solidFill>
          </w14:textFill>
        </w:rPr>
        <w:t xml:space="preserve">5. </w:t>
      </w:r>
      <w:r>
        <w:rPr>
          <w:color w:themeColor="text1" w:val="000000"/>
          <w:sz w:val="24"/>
          <w:szCs w:val="24"/>
          <w:shd w:fill="FFFFFF" w:val="clear"/>
          <w14:textFill>
            <w14:solidFill>
              <w14:schemeClr w14:val="tx1"/>
            </w14:solidFill>
          </w14:textFill>
        </w:rPr>
        <w:t xml:space="preserve">Поставка товара должна осуществляться в </w:t>
      </w:r>
      <w:r>
        <w:rPr>
          <w:color w:themeColor="text1" w:val="000000"/>
          <w:sz w:val="24"/>
          <w:szCs w:val="24"/>
          <w:shd w:fill="FFFFFF" w:val="clear"/>
          <w:lang w:val="ru-RU"/>
          <w14:textFill>
            <w14:solidFill>
              <w14:schemeClr w14:val="tx1"/>
            </w14:solidFill>
          </w14:textFill>
        </w:rPr>
        <w:t xml:space="preserve">рабочие </w:t>
      </w:r>
      <w:r>
        <w:rPr>
          <w:color w:themeColor="text1" w:val="000000"/>
          <w:sz w:val="24"/>
          <w:szCs w:val="24"/>
          <w:shd w:fill="FFFFFF" w:val="clear"/>
          <w14:textFill>
            <w14:solidFill>
              <w14:schemeClr w14:val="tx1"/>
            </w14:solidFill>
          </w14:textFill>
        </w:rPr>
        <w:t xml:space="preserve"> дни</w:t>
      </w:r>
      <w:r>
        <w:rPr>
          <w:color w:themeColor="text1" w:val="000000"/>
          <w:sz w:val="24"/>
          <w:szCs w:val="24"/>
          <w:shd w:fill="FFFFFF" w:val="clear"/>
          <w:lang w:val="ru-RU"/>
          <w14:textFill>
            <w14:solidFill>
              <w14:schemeClr w14:val="tx1"/>
            </w14:solidFill>
          </w14:textFill>
        </w:rPr>
        <w:t xml:space="preserve"> с понедельника по четверг с 8:00 до 15:30 в пятницу с 8:00 до 15:00 с перерывом с 12:00 до 12:45 по местному времени,</w:t>
      </w:r>
      <w:r>
        <w:rPr>
          <w:color w:themeColor="text1" w:val="000000"/>
          <w:sz w:val="24"/>
          <w:szCs w:val="24"/>
          <w:shd w:fill="FFFFFF" w:val="clear"/>
          <w14:textFill>
            <w14:solidFill>
              <w14:schemeClr w14:val="tx1"/>
            </w14:solidFill>
          </w14:textFill>
        </w:rPr>
        <w:t xml:space="preserve"> по адресу г. Севастополь ул. Льва Толстого 51, (центральный склад предприятия)</w:t>
      </w:r>
      <w:r>
        <w:rPr>
          <w:sz w:val="24"/>
          <w:szCs w:val="24"/>
          <w:shd w:fill="FFFFFF" w:val="clear"/>
        </w:rPr>
        <w:t>, а также исключать праздничные и выходные дни.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240" w:left="480"/>
        <w:jc w:val="both"/>
        <w:rPr>
          <w:rFonts w:ascii="Times New Roman" w:hAnsi="Times New Roman"/>
          <w:sz w:val="24"/>
          <w:szCs w:val="24"/>
        </w:rPr>
      </w:pPr>
      <w:r>
        <w:rPr>
          <w:color w:themeColor="text1" w:val="000000"/>
          <w:sz w:val="24"/>
          <w:szCs w:val="24"/>
          <w:shd w:fill="FFFFFF" w:val="clear"/>
          <w:lang w:val="ru-RU"/>
          <w14:textFill>
            <w14:solidFill>
              <w14:schemeClr w14:val="tx1"/>
            </w14:solidFill>
          </w14:textFill>
        </w:rPr>
        <w:t xml:space="preserve">6. </w:t>
      </w:r>
      <w:r>
        <w:rPr>
          <w:color w:themeColor="text1" w:val="000000"/>
          <w:sz w:val="24"/>
          <w:szCs w:val="24"/>
          <w:shd w:fill="FFFFFF" w:val="clear"/>
          <w14:textFill>
            <w14:solidFill>
              <w14:schemeClr w14:val="tx1"/>
            </w14:solidFill>
          </w14:textFill>
        </w:rPr>
        <w:t>Поставщик должен обеспечить упаковку товаров, способную предотвратить их          повреждение во время перевозки к конечному пункту назначения – Заказчику.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120" w:left="480"/>
        <w:jc w:val="both"/>
        <w:rPr>
          <w:rFonts w:ascii="Times New Roman" w:hAnsi="Times New Roman"/>
          <w:sz w:val="24"/>
          <w:szCs w:val="24"/>
        </w:rPr>
      </w:pPr>
      <w:r>
        <w:rPr>
          <w:color w:themeColor="text1" w:val="000000"/>
          <w:sz w:val="24"/>
          <w:szCs w:val="24"/>
          <w:shd w:fill="FFFFFF" w:val="clear"/>
          <w:lang w:val="ru-RU"/>
          <w14:textFill>
            <w14:solidFill>
              <w14:schemeClr w14:val="tx1"/>
            </w14:solidFill>
          </w14:textFill>
        </w:rPr>
        <w:t xml:space="preserve">7. </w:t>
      </w:r>
      <w:r>
        <w:rPr>
          <w:color w:themeColor="text1" w:val="000000"/>
          <w:sz w:val="24"/>
          <w:szCs w:val="24"/>
          <w:shd w:fill="FFFFFF" w:val="clear"/>
          <w14:textFill>
            <w14:solidFill>
              <w14:schemeClr w14:val="tx1"/>
            </w14:solidFill>
          </w14:textFill>
        </w:rPr>
        <w:t>Приёмка товара осуществляется на территории Заказчика, при наличии сопроводительной документации. Приёмка</w:t>
      </w:r>
      <w:r>
        <w:rPr>
          <w:rFonts w:eastAsia="LiberationSerif"/>
          <w:color w:val="000000"/>
          <w:sz w:val="24"/>
          <w:szCs w:val="24"/>
          <w:lang w:eastAsia="zh-CN"/>
        </w:rPr>
        <w:t xml:space="preserve"> Товара Заказчиком по количеству, качеству осуществляется в течение 6 (шести) рабочих дней с момента отгрузки Товара на склад       Заказчика, о чем подписывается Товарная накладная.</w:t>
      </w:r>
      <w:r>
        <w:rPr>
          <w:rFonts w:eastAsia="LiberationSerif" w:cs="LiberationSerif"/>
          <w:color w:val="000000"/>
          <w:sz w:val="24"/>
          <w:szCs w:val="24"/>
          <w:lang w:eastAsia="zh-CN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firstLine="120" w:left="480"/>
        <w:jc w:val="both"/>
        <w:rPr>
          <w:rFonts w:ascii="Times New Roman" w:hAnsi="Times New Roman"/>
          <w:sz w:val="24"/>
          <w:szCs w:val="24"/>
        </w:rPr>
      </w:pPr>
      <w:r>
        <w:rPr>
          <w:b w:val="false"/>
          <w:color w:themeColor="text1" w:val="000000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8. </w:t>
      </w:r>
      <w:r>
        <w:rPr>
          <w:color w:themeColor="text1" w:val="000000"/>
          <w:sz w:val="24"/>
          <w:szCs w:val="24"/>
          <w14:textFill>
            <w14:solidFill>
              <w14:schemeClr w14:val="tx1"/>
            </w14:solidFill>
          </w14:textFill>
        </w:rPr>
        <w:t>С</w:t>
      </w:r>
      <w:r>
        <w:rPr>
          <w:color w:val="000000"/>
          <w:sz w:val="24"/>
          <w:szCs w:val="24"/>
        </w:rPr>
        <w:t xml:space="preserve">рок действия договора с </w:t>
      </w:r>
      <w:r>
        <w:rPr>
          <w:color w:val="000000"/>
          <w:sz w:val="24"/>
          <w:szCs w:val="24"/>
          <w:lang w:val="ru-RU"/>
        </w:rPr>
        <w:t>момента заключения и д</w:t>
      </w:r>
      <w:r>
        <w:rPr>
          <w:color w:val="000000"/>
          <w:sz w:val="24"/>
          <w:szCs w:val="24"/>
        </w:rPr>
        <w:t>о 31.12.2026г.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hanging="0" w:left="4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61" w:right="851" w:gutter="0" w:header="0" w:top="1134" w:footer="0" w:bottom="62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imSun">
    <w:charset w:val="01"/>
    <w:family w:val="auto"/>
    <w:pitch w:val="variable"/>
  </w:font>
  <w:font w:name="Arial">
    <w:charset w:val="01"/>
    <w:family w:val="swiss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  <w:font w:name="Calibri">
    <w:charset w:val="01"/>
    <w:family w:val="swiss"/>
    <w:pitch w:val="variable"/>
  </w:font>
  <w:font w:name="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locked="1" w:uiPriority="9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9" w:semiHidden="0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locked="1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locked="1" w:uiPriority="0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99" w:semiHidden="0" w:unhideWhenUsed="0" w:qFormat="1"/>
    <w:lsdException w:name="Emphasis" w:locked="1" w:uiPriority="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0" w:semiHidden="0" w:unhideWhenUsed="0" w:qFormat="1"/>
    <w:lsdException w:name="Table Theme" w:uiPriority="99"/>
    <w:lsdException w:name="No Spacing" w:uiPriority="1" w:semiHidden="0" w:unhideWhenUsed="0" w:qFormat="1"/>
    <w:lsdException w:name="List Paragraph" w:uiPriority="99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locked/>
    <w:pPr>
      <w:spacing w:lineRule="auto" w:line="240"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Heading2">
    <w:name w:val="heading 2"/>
    <w:next w:val="Normal"/>
    <w:uiPriority w:val="0"/>
    <w:semiHidden/>
    <w:unhideWhenUsed/>
    <w:qFormat/>
    <w:locked/>
    <w:pPr>
      <w:widowControl/>
      <w:suppressAutoHyphens w:val="true"/>
      <w:bidi w:val="0"/>
      <w:spacing w:beforeAutospacing="1" w:afterAutospacing="1"/>
      <w:jc w:val="left"/>
      <w:outlineLvl w:val="1"/>
    </w:pPr>
    <w:rPr>
      <w:rFonts w:ascii="SimSun" w:hAnsi="SimSun" w:eastAsia="SimSun" w:cs="Times New Roman"/>
      <w:b/>
      <w:bCs/>
      <w:i/>
      <w:iCs/>
      <w:color w:val="auto"/>
      <w:kern w:val="0"/>
      <w:sz w:val="36"/>
      <w:szCs w:val="36"/>
      <w:lang w:val="en-US" w:eastAsia="zh-CN" w:bidi="ar-SA"/>
    </w:rPr>
  </w:style>
  <w:style w:type="paragraph" w:styleId="Heading3">
    <w:name w:val="heading 3"/>
    <w:next w:val="Normal"/>
    <w:uiPriority w:val="0"/>
    <w:semiHidden/>
    <w:unhideWhenUsed/>
    <w:qFormat/>
    <w:locked/>
    <w:pPr>
      <w:widowControl/>
      <w:suppressAutoHyphens w:val="true"/>
      <w:bidi w:val="0"/>
      <w:spacing w:beforeAutospacing="1" w:afterAutospacing="1"/>
      <w:jc w:val="left"/>
      <w:outlineLvl w:val="2"/>
    </w:pPr>
    <w:rPr>
      <w:rFonts w:ascii="SimSun" w:hAnsi="SimSun" w:eastAsia="SimSun" w:cs="Times New Roman"/>
      <w:b/>
      <w:bCs/>
      <w:color w:val="auto"/>
      <w:kern w:val="0"/>
      <w:sz w:val="26"/>
      <w:szCs w:val="26"/>
      <w:lang w:val="en-US" w:eastAsia="zh-CN" w:bidi="ar-SA"/>
    </w:rPr>
  </w:style>
  <w:style w:type="paragraph" w:styleId="Heading9">
    <w:name w:val="heading 9"/>
    <w:basedOn w:val="Normal"/>
    <w:next w:val="Normal"/>
    <w:uiPriority w:val="9"/>
    <w:unhideWhenUsed/>
    <w:qFormat/>
    <w:locked/>
    <w:pPr>
      <w:keepNext w:val="true"/>
      <w:keepLines/>
      <w:suppressAutoHyphens w:val="false"/>
      <w:spacing w:lineRule="auto" w:line="240" w:before="320" w:after="200"/>
      <w:outlineLvl w:val="8"/>
    </w:pPr>
    <w:rPr>
      <w:rFonts w:ascii="Arial" w:hAnsi="Arial" w:eastAsia="Arial" w:cs="Arial"/>
      <w:i/>
      <w:iCs/>
      <w:sz w:val="21"/>
      <w:szCs w:val="21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0"/>
    <w:qFormat/>
    <w:locked/>
    <w:rPr>
      <w:i/>
      <w:iCs/>
    </w:rPr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Strong">
    <w:name w:val="Strong"/>
    <w:uiPriority w:val="99"/>
    <w:qFormat/>
    <w:rPr>
      <w:rFonts w:cs="Times New Roman"/>
      <w:b/>
    </w:rPr>
  </w:style>
  <w:style w:type="character" w:styleId="InternetLink" w:customStyle="1">
    <w:name w:val="Internet Link"/>
    <w:basedOn w:val="DefaultParagraphFont"/>
    <w:uiPriority w:val="99"/>
    <w:semiHidden/>
    <w:unhideWhenUsed/>
    <w:qFormat/>
    <w:rPr>
      <w:color w:val="0000FF"/>
      <w:u w:val="single"/>
    </w:rPr>
  </w:style>
  <w:style w:type="character" w:styleId="decode" w:customStyle="1">
    <w:name w:val="decode"/>
    <w:uiPriority w:val="99"/>
    <w:qFormat/>
    <w:rPr>
      <w:rFonts w:cs="Times New Roman"/>
    </w:rPr>
  </w:style>
  <w:style w:type="character" w:styleId="item-decode" w:customStyle="1">
    <w:name w:val="item-decode"/>
    <w:uiPriority w:val="99"/>
    <w:qFormat/>
    <w:rPr>
      <w:rFonts w:cs="Times New Roman"/>
    </w:rPr>
  </w:style>
  <w:style w:type="character" w:styleId="Style10" w:customStyle="1">
    <w:name w:val="Основной текст Знак"/>
    <w:uiPriority w:val="0"/>
    <w:qFormat/>
    <w:rPr>
      <w:rFonts w:eastAsia="Times New Roman"/>
      <w:b/>
      <w:bCs/>
      <w:sz w:val="28"/>
      <w:szCs w:val="24"/>
      <w:lang w:val="uk-UA" w:eastAsia="en-US" w:bidi="en-US"/>
    </w:rPr>
  </w:style>
  <w:style w:type="character" w:styleId="hps" w:customStyle="1">
    <w:name w:val="hps"/>
    <w:basedOn w:val="DefaultParagraphFont"/>
    <w:uiPriority w:val="0"/>
    <w:qFormat/>
    <w:rPr/>
  </w:style>
  <w:style w:type="character" w:styleId="1" w:customStyle="1">
    <w:name w:val="Заголовок 1 Знак"/>
    <w:uiPriority w:val="9"/>
    <w:qFormat/>
    <w:rPr>
      <w:rFonts w:ascii="Times New Roman" w:hAnsi="Times New Roman" w:eastAsia="Times New Roman"/>
      <w:b/>
      <w:bCs/>
      <w:kern w:val="2"/>
      <w:sz w:val="48"/>
      <w:szCs w:val="48"/>
    </w:rPr>
  </w:style>
  <w:style w:type="character" w:styleId="Style11" w:customStyle="1">
    <w:name w:val="Текст выноски Знак"/>
    <w:link w:val="BalloonText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character" w:styleId="t3" w:customStyle="1">
    <w:name w:val="t3"/>
    <w:basedOn w:val="DefaultParagraphFont"/>
    <w:uiPriority w:val="0"/>
    <w:qFormat/>
    <w:rPr/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  <w:lang w:eastAsia="ar-SA"/>
    </w:rPr>
  </w:style>
  <w:style w:type="character" w:styleId="Style12" w:customStyle="1">
    <w:name w:val="Верхний колонтитул Знак"/>
    <w:basedOn w:val="DefaultParagraphFont"/>
    <w:uiPriority w:val="99"/>
    <w:qFormat/>
    <w:rPr>
      <w:rFonts w:eastAsia="Times New Roman"/>
      <w:sz w:val="24"/>
      <w:szCs w:val="24"/>
    </w:rPr>
  </w:style>
  <w:style w:type="character" w:styleId="Style13" w:customStyle="1">
    <w:name w:val="Нижний колонтитул Знак"/>
    <w:basedOn w:val="DefaultParagraphFont"/>
    <w:uiPriority w:val="99"/>
    <w:qFormat/>
    <w:rPr>
      <w:rFonts w:eastAsia="Times New Roman"/>
      <w:sz w:val="24"/>
      <w:szCs w:val="24"/>
    </w:rPr>
  </w:style>
  <w:style w:type="paragraph" w:styleId="Style14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0"/>
    <w:uiPriority w:val="0"/>
    <w:qFormat/>
    <w:pPr>
      <w:jc w:val="center"/>
    </w:pPr>
    <w:rPr>
      <w:rFonts w:ascii="Calibri" w:hAnsi="Calibri"/>
      <w:b/>
      <w:bCs/>
      <w:sz w:val="28"/>
      <w:lang w:val="uk-UA" w:eastAsia="en-US" w:bidi="en-US"/>
    </w:rPr>
  </w:style>
  <w:style w:type="paragraph" w:styleId="List">
    <w:name w:val="List"/>
    <w:basedOn w:val="BodyText"/>
    <w:uiPriority w:val="0"/>
    <w:qFormat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uiPriority w:val="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3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uiPriority w:val="99"/>
    <w:semiHidden/>
    <w:unhideWhenUsed/>
    <w:qFormat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112" w:customStyle="1">
    <w:name w:val="Указатель112"/>
    <w:basedOn w:val="Normal"/>
    <w:uiPriority w:val="0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next w:val="Normal"/>
    <w:uiPriority w:val="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16" w:customStyle="1">
    <w:name w:val="Колонтитул"/>
    <w:basedOn w:val="Normal"/>
    <w:uiPriority w:val="0"/>
    <w:qFormat/>
    <w:pPr/>
    <w:rPr/>
  </w:style>
  <w:style w:type="paragraph" w:styleId="111" w:customStyle="1">
    <w:name w:val="Указатель111"/>
    <w:basedOn w:val="Normal"/>
    <w:uiPriority w:val="0"/>
    <w:qFormat/>
    <w:pPr>
      <w:suppressLineNumbers/>
    </w:pPr>
    <w:rPr>
      <w:rFonts w:cs="Droid Sans"/>
    </w:rPr>
  </w:style>
  <w:style w:type="paragraph" w:styleId="11" w:customStyle="1">
    <w:name w:val="Указатель1"/>
    <w:basedOn w:val="Normal"/>
    <w:uiPriority w:val="0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99"/>
    <w:qFormat/>
    <w:pPr>
      <w:spacing w:before="0" w:after="160"/>
      <w:ind w:left="720"/>
      <w:contextualSpacing/>
    </w:pPr>
    <w:rPr/>
  </w:style>
  <w:style w:type="paragraph" w:styleId="4" w:customStyle="1">
    <w:name w:val="Пункт_4"/>
    <w:basedOn w:val="Normal"/>
    <w:uiPriority w:val="99"/>
    <w:qFormat/>
    <w:pPr>
      <w:spacing w:lineRule="auto" w:line="240" w:before="0" w:after="0"/>
      <w:ind w:hanging="360" w:left="720"/>
      <w:jc w:val="both"/>
    </w:pPr>
    <w:rPr>
      <w:sz w:val="28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7" w:customStyle="1">
    <w:name w:val="Содержимое врезки"/>
    <w:basedOn w:val="Normal"/>
    <w:uiPriority w:val="0"/>
    <w:qFormat/>
    <w:pPr/>
    <w:rPr/>
  </w:style>
  <w:style w:type="paragraph" w:styleId="TableParagraph" w:customStyle="1">
    <w:name w:val="Table Paragraph"/>
    <w:basedOn w:val="Normal"/>
    <w:uiPriority w:val="0"/>
    <w:qFormat/>
    <w:pPr/>
    <w:rPr/>
  </w:style>
  <w:style w:type="paragraph" w:styleId="western" w:customStyle="1">
    <w:name w:val="western"/>
    <w:uiPriority w:val="0"/>
    <w:qFormat/>
    <w:pPr>
      <w:widowControl/>
      <w:suppressAutoHyphens w:val="true"/>
      <w:bidi w:val="0"/>
      <w:spacing w:before="0" w:after="0"/>
      <w:jc w:val="left"/>
    </w:pPr>
    <w:rPr>
      <w:rFonts w:ascii="serif" w:hAnsi="serif" w:eastAsia="SimSun" w:cs="Times New Roman"/>
      <w:color w:val="auto"/>
      <w:kern w:val="0"/>
      <w:sz w:val="20"/>
      <w:szCs w:val="20"/>
      <w:lang w:val="en-US" w:eastAsia="zh-CN" w:bidi="ar-SA"/>
    </w:rPr>
  </w:style>
  <w:style w:type="paragraph" w:styleId="2" w:customStyle="1">
    <w:name w:val="Основной текст2"/>
    <w:basedOn w:val="Normal"/>
    <w:uiPriority w:val="0"/>
    <w:qFormat/>
    <w:pPr>
      <w:widowControl w:val="false"/>
      <w:shd w:val="clear" w:color="auto" w:fill="FFFFFF"/>
      <w:spacing w:lineRule="exact" w:line="278" w:before="0" w:after="200"/>
    </w:pPr>
    <w:rPr>
      <w:rFonts w:ascii="Calibri" w:hAnsi="Calibri" w:eastAsia="Calibri"/>
      <w:color w:val="00000A"/>
      <w:spacing w:val="5"/>
      <w:sz w:val="21"/>
      <w:szCs w:val="21"/>
      <w:lang w:eastAsia="en-US"/>
    </w:rPr>
  </w:style>
  <w:style w:type="paragraph" w:styleId="Style18" w:customStyle="1">
    <w:name w:val="Содержимое таблицы"/>
    <w:basedOn w:val="Normal"/>
    <w:uiPriority w:val="0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uiPriority w:val="0"/>
    <w:qFormat/>
    <w:pPr>
      <w:suppressLineNumbers/>
      <w:jc w:val="center"/>
    </w:pPr>
    <w:rPr>
      <w:b/>
      <w:bCs/>
    </w:rPr>
  </w:style>
  <w:style w:type="paragraph" w:styleId="caption11" w:customStyle="1">
    <w:name w:val="caption11"/>
    <w:basedOn w:val="Normal"/>
    <w:next w:val="Normal"/>
    <w:uiPriority w:val="0"/>
    <w:qFormat/>
    <w:pPr>
      <w:widowControl/>
      <w:suppressAutoHyphens w:val="true"/>
      <w:bidi w:val="0"/>
      <w:spacing w:lineRule="auto" w:line="252" w:before="120" w:after="120"/>
      <w:jc w:val="left"/>
    </w:pPr>
    <w:rPr>
      <w:rFonts w:ascii="PT Astra Serif" w:hAnsi="PT Astra Serif" w:cs="Noto Sans Devanagari"/>
      <w:i/>
      <w:iCs/>
      <w:color w:val="auto"/>
      <w:kern w:val="0"/>
      <w:lang w:val="ru-RU" w:eastAsia="ru-RU" w:bidi="ar-SA"/>
    </w:rPr>
  </w:style>
  <w:style w:type="paragraph" w:styleId="113" w:customStyle="1">
    <w:name w:val="Указатель11"/>
    <w:basedOn w:val="Normal"/>
    <w:uiPriority w:val="0"/>
    <w:qFormat/>
    <w:pPr>
      <w:widowControl/>
      <w:suppressAutoHyphens w:val="true"/>
      <w:bidi w:val="0"/>
      <w:spacing w:lineRule="auto" w:line="252" w:before="0" w:after="160"/>
      <w:jc w:val="left"/>
    </w:pPr>
    <w:rPr>
      <w:rFonts w:cs="Lohit Devanagari"/>
      <w:color w:val="auto"/>
      <w:kern w:val="0"/>
      <w:lang w:val="ru-RU" w:eastAsia="ru-RU" w:bidi="ar-SA"/>
    </w:rPr>
  </w:style>
  <w:style w:type="table" w:default="1" w:styleId="7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Grid"/>
    <w:basedOn w:val="7"/>
    <w:uiPriority w:val="0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LibreOffice/24.8.4.1$Linux_X86_64 LibreOffice_project/480$Build-1</Application>
  <AppVersion>15.0000</AppVersion>
  <Pages>1</Pages>
  <Words>287</Words>
  <Characters>1823</Characters>
  <CharactersWithSpaces>2107</CharactersWithSpaces>
  <Paragraphs>25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2024-08-23T01:23:00Z</dcterms:created>
  <dc:creator>Anton</dc:creator>
  <dc:description/>
  <dc:language>ru-RU</dc:language>
  <cp:lastModifiedBy/>
  <cp:lastPrinted>2026-09-08T09:17:03Z</cp:lastPrinted>
  <dcterms:modified xsi:type="dcterms:W3CDTF">2026-10-02T10:45:34Z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60DEDCD104C5455EB88E3D1B9BAB1AE7_13</vt:lpwstr>
  </property>
  <property fmtid="{D5CDD505-2E9C-101B-9397-08002B2CF9AE}" pid="3" name="KSOProductBuildVer">
    <vt:lpwstr>1049-11.1.0.11698</vt:lpwstr>
  </property>
</Properties>
</file>