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F3FD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Утверждаю</w:t>
      </w:r>
    </w:p>
    <w:p w14:paraId="2F411012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</w:p>
    <w:p w14:paraId="6E125063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ПМУП «Автоспецтранс»</w:t>
      </w:r>
    </w:p>
    <w:p w14:paraId="74FB70CA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___________И.В.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Савкоев</w:t>
      </w:r>
      <w:proofErr w:type="spellEnd"/>
    </w:p>
    <w:p w14:paraId="6D22F9A1" w14:textId="5E1CFB46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vun5e0thlpej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___________202</w:t>
      </w:r>
      <w:r w:rsidR="0074001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</w:p>
    <w:p w14:paraId="5ABD6C50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1" w:name="_dlx5bc8jdaxs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Техническое задание</w:t>
      </w:r>
    </w:p>
    <w:p w14:paraId="2FF1300D" w14:textId="77777777" w:rsidR="00BF1436" w:rsidRPr="00280157" w:rsidRDefault="002801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8015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Оказание услуг по техническому обслуживанию систем автоматической пожарной сигнализации, оповещения и управления эвакуацией людей при пожаре и автоматического пожаротушения для нужд ПМУП «Автоспецтранс»</w:t>
      </w:r>
    </w:p>
    <w:p w14:paraId="52CD2748" w14:textId="77777777" w:rsidR="00BF1436" w:rsidRPr="00280157" w:rsidRDefault="002801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01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ОКПД 2 - 80.20.10.000</w:t>
      </w:r>
    </w:p>
    <w:p w14:paraId="2368D6B7" w14:textId="77777777" w:rsidR="00BF1436" w:rsidRPr="00280157" w:rsidRDefault="0028015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80157">
        <w:rPr>
          <w:rFonts w:ascii="Times New Roman" w:eastAsia="Times New Roman" w:hAnsi="Times New Roman" w:cs="Times New Roman"/>
          <w:color w:val="000000"/>
          <w:sz w:val="22"/>
          <w:szCs w:val="22"/>
        </w:rPr>
        <w:t>Исполнитель, при осуществлении услуг по техническому обслуживанию на объектах Заказчика, должен руководствоваться Федеральным законом 123-ФЗ «Технический регламент о требованиях пожарной безопасности», Федеральным законом от 21.12.1994 г. № 69-ФЗ «О пожарной безопасности» с соблюдением правил техники безопасности и охраны труда, Постановлением Правительства РФ от 16.09.2020 N 1479 «Об утверждении Правил противопожарного режима в Российской Федерации», РД 009-02-96 «Установка пожарной автоматики. Техническое</w:t>
      </w:r>
      <w:r w:rsidRPr="0028015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обслуживание и планово-предупредительный ремонт». Применяются обязательные требования, действующие на дату оказания услуг. Ссылка на постановление Правительства РФ от 16.09.2020 № 1479 применяется в период его действия; при его замене применяются вступившие в силу обязательные требования заменяющего нормативного акта.</w:t>
      </w:r>
    </w:p>
    <w:tbl>
      <w:tblPr>
        <w:tblStyle w:val="a5"/>
        <w:tblW w:w="9765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603"/>
        <w:gridCol w:w="1902"/>
        <w:gridCol w:w="7260"/>
      </w:tblGrid>
      <w:tr w:rsidR="00BF1436" w:rsidRPr="00280157" w14:paraId="26448CE4" w14:textId="77777777">
        <w:trPr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01F0FE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86F0D4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1C377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Значение</w:t>
            </w:r>
          </w:p>
        </w:tc>
      </w:tr>
      <w:tr w:rsidR="00BF1436" w:rsidRPr="00280157" w14:paraId="0BD71429" w14:textId="77777777">
        <w:trPr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DDC672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12BF0F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Объекты защиты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6C68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Республика Карелия, г. Петрозаводск, Вытегорское шоссе, д. 82 (офис);</w:t>
            </w:r>
          </w:p>
          <w:p w14:paraId="46A38FF9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Республика Карелия, м. </w:t>
            </w:r>
            <w:proofErr w:type="spellStart"/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Орзега</w:t>
            </w:r>
            <w:proofErr w:type="spellEnd"/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(свалка ТБО).</w:t>
            </w:r>
          </w:p>
        </w:tc>
      </w:tr>
      <w:tr w:rsidR="00BF1436" w:rsidRPr="00280157" w14:paraId="01F201C8" w14:textId="77777777">
        <w:trPr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2D0E0F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8132E3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Цели и задачи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F559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Техническое обслуживание проводится с целью поддержания установок пожарной автоматики в работоспособном и исправном состоянии в течение всего срока эксплуатации, а также обеспечения их срабатывания при возникновении пожара. </w:t>
            </w:r>
          </w:p>
          <w:p w14:paraId="1E962ABB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Основные задачи: Выявление и устранение причин ложных срабатываний установок пожарной автоматики. Определение предельного состояния установок пожарной автоматики, при которых их дальнейшая эксплуатация становится невозможной или нецелесообразной, путем проведения освидетельствования. Анализ и обобщение информации о техническом состоянии обслуживаемых установок пожарной автоматики и их надежности при эксплуатации. Разработка мероприятий по совершенствованию форм и методов ТО установок пожарной автоматики.</w:t>
            </w:r>
          </w:p>
        </w:tc>
      </w:tr>
      <w:tr w:rsidR="00BF1436" w:rsidRPr="00280157" w14:paraId="4383C915" w14:textId="77777777">
        <w:trPr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B11D3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7A006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Сроки (периоды) оказания услуг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E4E4" w14:textId="5F97D4C2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Срок оказания услуг: с 01.01.2027 по 31.12.2027, ежемесячно по графику и по фактической потребности в пределах установленного состава услуг. Прием сообщений о неисправностях — круглосуточно. Прибытие специалиста и начало диагностики — не позднее 24 часов с момента получения заявки; устранение неисправностей, не требующих приобретения оборудования по отдельному договору, — не позднее 24 часов с момента получения заявки. Если для полного восстановления требуется оборудование по отдельному договору, Исполнител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ь в течение указанного срока проводит диагностику, предоставляет дефектный акт и перечень необходимого оборудования, согласует с Заказчиком безопасные временные меры. Срок окончательного восстановления согласовывается после обеспечения необходимым оборудованием; дополнительные поставки не оплачиваются автоматически в рамках настоящего договора.</w:t>
            </w:r>
          </w:p>
        </w:tc>
      </w:tr>
      <w:tr w:rsidR="00BF1436" w:rsidRPr="00280157" w14:paraId="5B56028D" w14:textId="77777777">
        <w:trPr>
          <w:trHeight w:val="542"/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C604B2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EE0E1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Режим защиты объектов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E4C5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Круглосуточно</w:t>
            </w:r>
          </w:p>
        </w:tc>
      </w:tr>
      <w:tr w:rsidR="00BF1436" w:rsidRPr="00280157" w14:paraId="5FBE9A04" w14:textId="77777777">
        <w:trPr>
          <w:trHeight w:val="542"/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ACC2C7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B900D2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Назначение системы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386D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АПС, СОУЭ и автоматическое пожаротушение в пределах перечня оборудования.</w:t>
            </w:r>
          </w:p>
        </w:tc>
      </w:tr>
      <w:tr w:rsidR="00BF1436" w:rsidRPr="00280157" w14:paraId="042A3FD0" w14:textId="77777777">
        <w:trPr>
          <w:trHeight w:val="264"/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7854A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3128B2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Состав технического обслуживания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1313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 Техническое обслуживание АПС, СОУЭ и включенного в перечень оборудования автоматического пожаротушения  Исполнитель осуществляет в соответствии с действующими нормами и правилами на данные системы и технические средства.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2. Услуги по техническому обслуживанию системы оповещения и управления при пожаре (СОУЭ) и системы пожарной сигнализации (СПС)   оказываются на оборудовании, установленном на объекте Заказчика: системы и устройства, указанные в перечне оборудования, с соблюдением документации соответствующих изготовителей.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3. Обязательным является у Исполнителя  работа в круглосуточном режиме. Исполнитель обеспечивает Круглосуточный прием по телефону сообщений от «Заказчика», либо от его уполномоченных лиц о неисправностя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х оборудования, установленного на объекте.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4. Исполнитель контролирует соответствие системы требованиям Технического задания и эксплуатационной документации и выполняет необходимую перенастройку в пределах существующей конфигурации. Изменение состава, расширение или модернизация системы не входят в предмет настоящего договора.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5. При необходимости Исполнитель производит восстановление или переподключение компонентов с целью приведения их в работоспособное состояние в случаях возникновения неисправностей.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6.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Исполнитель обеспечивает профилактику и регулярную проверку работоспособности компонентов закупаемых систем по перечню оборудования и графику.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7. Проверка, регулировка и настройка существующего оборудования и программного обеспечения входят в цену обслуживания. Приобретение аккумуляторных батарей, оборудования и платного программного обеспечения, а также работы, прямо отнесенные настоящим заданием к отдельным договорам, осуществляются за счет Заказчика по предварительно согласованным отдельным договорам.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 Исполнитель обеспечивает определение технического состояния путем контроля выполнения техническими средствами и установкой в целом части или всех свойственных им функций, определенных назначением.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9. Исполнитель обеспечивает проверку состояния приборов входящих в линейную часть системы автоматической пожарной сигнализации и системы оповещения о пожаре на предмет механических повреждений.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10. Исполнитель обеспечивает замену или восстановление элементов технических средств системы автоматической пожарной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сигнализации и системы оповещения о пожаре, выработавших ресурс или пришедших в негодность за счёт Заказчика по отдельному договору.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11. Исполнитель обеспечивает регулировку и настройку отдельных частей системы, системы в целом.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12. Исполнитель обеспечивает принятие мер и (или) выдачу рекомендаций по устранению причин ложных срабатываний.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13. Техническое обслуживание должно включать: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визуальный осмотр компонентов системы пожарной сигнализации, проверку правильности установки и мест расположения извещателе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й, с учетом возможности изменения планировки или дизайна помещений;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проверку состояния монтажа, крепления и внешнего вида аппаратуры;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- проверку срабатывания извещателей и работоспособности контрольных панелей и приемно-передающих устройств;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проверку работоспособности основных и резервных источников питания, осуществление контроля рабочих напряжений;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- проверку работоспособности световых и звуковых оповещателей, общей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работоспособности системы пожарной сигнализации в целом;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 - обслуживание извещателей,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приемно-контрольных приборов, оконечных устройств СПИ, источников питания и шлейфов сигнализации;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 - очистку и протирку клавиатур и других компонентов комплекса.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14. Предоставление консультаций по настройке, установке и эксплуатации оборудования, установленного у Заказчика, уполномоченному представителю Заказчика.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15. Предоставление уполномоченному представителю Заказчика рекомендации по действиям, необходимым для проведения работ по техническому обслуживанию оборудования.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16. Проведение диагностики, выда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ча необходимых рекомендации по настройке и конфигурированию оборудования Заказчика в присутствии его специалистов.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17. При обращении Заказчика давать консультации и проводить обучение персонала Заказчика правилам пользования действующей Системой (проведение инструктажа, составление инструкций и выдаче рекомендаций по улучшению работы установки и т.п.) с учетом специфики учреждения.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18. Формирование за счет Заказчика обменного фонда оборудования, позволяющего оперативно и функционально заменить вышедшее из с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троя оборудование Заказчика.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Проведение работ по ТО и их объем фиксируется в журнале технического обслуживания и оформляется актом выполненных работ.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Обслуживание средств автоматического пожаротушения С2000-АСПТ и «Буран-8» включает внешний осмотр, проверку креплений, соединений, индикации и состояния цепей, диагностику и проверку работоспособности по документации изготовителя. Проверки проводят с мерами, исключающими непреднамеренный пуск и выпуск огнетушащего вещества. Перезаправка и замена модулей и прио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бретение оборудования осуществляются по отдельным предварительно согласованным договорам.</w:t>
            </w:r>
          </w:p>
        </w:tc>
      </w:tr>
      <w:tr w:rsidR="00BF1436" w:rsidRPr="00280157" w14:paraId="32C7ADD7" w14:textId="77777777">
        <w:trPr>
          <w:trHeight w:val="2259"/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DECBC7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C7A7D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Требования, предъявляемые к услугам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0E83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 Периодичность технического обслуживания и регламент работ определяется паспортными данными на приборы и установки входящие в систему автоматической пожарной сигнализации и системы оповещения о пожаре.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2. Реагирование, диагностика и устранение неисправностей выполняются в сроки и порядке, установленные строкой 3 настоящего Технического задания. Замена оборудования, требующая его приобретения по отдельному договору, производится после согласования с Заказчиком и обеспечения оборудованием.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3. Оказание услуг по фактической потребности в пределах состава услуг и оборудования, установленных настоящим заданием; расширение предмета договора не допускается.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4. Обеспечить полную сохранность и неприкосновенность и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мущества Заказчика, переданного Исполнителю для проведения работ.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5. Нести риск случайной гибели или случайного повреждения переданного для проведения работ имущества Заказчика.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6. Осуществлять качественное техническое обслуживание, установленного на объекте оборудования (Приложение №1) в сроки, указанные в графике проведения регламентных работ по техническому обслуживанию системы оповещения и управления при пожаре (СОУЭ) и системы пожарной сигнализации (СПС) на основании действующих нормативных документов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 технической документации (Приложение № 2).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7. Оказывать консультации работников по правилам эксплуатации СПС и СОУЭ.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8. Проводить техническое обслуживание и ремонт СПС и СОУЭ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персоналом соответствующей квалификации, в полном объеме, в установленные сроки.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9. Соблюдать внутриобъектовый режим, правила ТБ, пожарной безопасности, действующие у Заказчика.</w:t>
            </w:r>
          </w:p>
        </w:tc>
      </w:tr>
      <w:tr w:rsidR="00BF1436" w:rsidRPr="00280157" w14:paraId="19E4CBEC" w14:textId="77777777">
        <w:trPr>
          <w:trHeight w:val="1412"/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4DFC8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E9CADC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0D2B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Выполнить услугу своевременно и качественно, с требованиями действующих нормативных документов (технических условий, государственных, отраслевых стандартов, СНиПов) и технической документацией. Исполнитель несет ответственность за ненадлежащее качество оказываемых услуг.</w:t>
            </w:r>
          </w:p>
          <w:p w14:paraId="36BE341E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Срок гарантии нормального функционирования результатов оказания услуг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 не менее 12 (двенадцать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 месяцев со дня подписания Сторонами документа о приемке, за исключением случаев преднамеренного повреждения указанных результатов со стороны третьих лиц.</w:t>
            </w:r>
          </w:p>
          <w:p w14:paraId="39E2225D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При обнаружении в период гарантийного срока эксплуатации недостатков, связанных с выполненными работами, устранить недостатки за свой счет. При этом гарантийный срок продлевается на период устранения недостатков.</w:t>
            </w:r>
          </w:p>
          <w:p w14:paraId="334D1DDB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Услуги должны выполнять в строгом соответствии с правилами техники безопасности, правилами пожарной безопасности и антитеррористической </w:t>
            </w:r>
            <w:proofErr w:type="gramStart"/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безопасности  для</w:t>
            </w:r>
            <w:proofErr w:type="gramEnd"/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зданий социальной сферы, с требованиями правовых актов и правилами внутреннего трудового распорядка в учреждении, указаниями Заказчика.</w:t>
            </w:r>
          </w:p>
          <w:p w14:paraId="307F2CC2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Допускается для выполнения работ привлекать </w:t>
            </w:r>
            <w:proofErr w:type="spellStart"/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субисполнителей</w:t>
            </w:r>
            <w:proofErr w:type="spellEnd"/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tr w:rsidR="0074001E" w:rsidRPr="00280157" w14:paraId="7A34902D" w14:textId="77777777">
        <w:trPr>
          <w:trHeight w:val="1412"/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1E077" w14:textId="6B55E2C6" w:rsidR="0074001E" w:rsidRPr="00280157" w:rsidRDefault="0074001E" w:rsidP="0074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CF0CC" w14:textId="58E9B725" w:rsidR="0074001E" w:rsidRPr="00280157" w:rsidRDefault="0074001E" w:rsidP="0074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hAnsi="Times New Roman"/>
                <w:sz w:val="22"/>
                <w:szCs w:val="22"/>
              </w:rPr>
              <w:t>Требования к Исполнителю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AB75" w14:textId="5720F131" w:rsidR="0074001E" w:rsidRPr="00280157" w:rsidRDefault="0074001E" w:rsidP="0074001E">
            <w:pPr>
              <w:pStyle w:val="a8"/>
              <w:spacing w:before="0" w:beforeAutospacing="0" w:after="0" w:afterAutospacing="0"/>
              <w:contextualSpacing/>
              <w:jc w:val="both"/>
              <w:rPr>
                <w:bCs/>
                <w:sz w:val="22"/>
                <w:szCs w:val="22"/>
              </w:rPr>
            </w:pPr>
            <w:r w:rsidRPr="00280157">
              <w:rPr>
                <w:bCs/>
                <w:sz w:val="22"/>
                <w:szCs w:val="22"/>
              </w:rPr>
              <w:t>Исполнитель должен иметь действующую лицензию МЧС России на монтаж, техническое обслуживание и ремонт средств обеспечения пожарной безопасности зданий и сооружений, охватывающую техническое обслуживание и ремонт: систем пожаротушения и их элементов; систем пожарной и охранно-пожарной сигнализации и их элементов; систем оповещения и эвакуации при пожаре и их элементов (пункты 1, 3 и 4 перечня работ и услуг к Положению, утвержденному постановлением Правительства РФ от 28.07.2020 № 1128, в действующей редакции). Сведения о лицензии проверяются по реестру МЧС России. Лица, непосредственно выполняющие соответствующие лицензируемые работы, должны иметь право на их выполнение.</w:t>
            </w:r>
          </w:p>
        </w:tc>
      </w:tr>
      <w:tr w:rsidR="00BF1436" w14:paraId="6B4B51F9" w14:textId="77777777">
        <w:trPr>
          <w:jc w:val="righ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6FCE1C" w14:textId="5A33C507" w:rsidR="00BF1436" w:rsidRPr="00280157" w:rsidRDefault="00B45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8015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2FCE9" w14:textId="77777777" w:rsidR="00BF1436" w:rsidRPr="0028015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Нормативные документы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507D" w14:textId="77777777" w:rsidR="00BF1436" w:rsidRPr="0074001E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 Федеральный закон от 21 декабря 1994 г. № 69-ФЗ «О пожарной безопасности» (с изм. и доп., вступ. в силу с 26.11.2024)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Федеральный закон от 22.07.2008г № 123-ФЗ «Технический регламент о требованиях пожарной безопасности» (с изменениями и дополнениями)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Федеральный закон от 27.12.2002 № 184-ФЗ «О техническом регулировании»;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Постановление Правительства РФ от 16.09.2020 №1479 (ред. от 03.02.2025)) «Об утверждении Правил противопожарного режима в Российской Федерации» (вместе с правилами противопожарного режима в Российской Федерации»).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РД 25.964-90 «Система технического обслуживания и ремонта автоматических установок п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ожаротушения, дымоудаления, охранной, пожарной и охранно-пожарной сигнализации. Организация и порядок проведения работ».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ПУЭ изд.6,7 «Правила устройства электроустановок».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СП 76.13330.2016 «СНиП 3.05.06-85 Электротехнические устройства»;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- ГОСТ Р 59638-2021 «Системы пожарной сигнализации. Руководство по проектированию, монтажу, техническому обслуживанию и ремонту. Методы испытаний на работоспособность»;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- ГОСТ Р 59639-2021 «Системы оповещения и управления эвакуацией людей при пожаре. Руководство по прое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ктированию, монтажу, техническому обслуживанию и ремонту. Методы испытаний на работоспособность».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 xml:space="preserve">Безопасность выполняемых работ обеспечивается Исполнителем в соответствии с действующим законодательством Российской Федерации, Градостроительным кодексом, Федеральным законом №123-ФЗ «Технический регламент о требованиях пожарной безопасности», ГОСТ и другими строительными нормами, действующими на территории Российской Федерации. 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  <w:t>Нормативные акты применяются в редакциях, действующих на дату оказания услуг, и т</w:t>
            </w:r>
            <w:r w:rsidRPr="0028015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олько в части, относящейся к закупаемому техническому обслуживанию. При замене акта применяются вступившие в силу обязательные требования нового акта; проекты нормативных актов не применяются.</w:t>
            </w:r>
          </w:p>
        </w:tc>
      </w:tr>
    </w:tbl>
    <w:p w14:paraId="5FBE5583" w14:textId="77777777" w:rsidR="00280157" w:rsidRDefault="0028015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</w:p>
    <w:p w14:paraId="0F48476D" w14:textId="51EF2DD6" w:rsidR="00BF1436" w:rsidRDefault="0028015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Приложение № 1</w:t>
      </w:r>
    </w:p>
    <w:p w14:paraId="692EE226" w14:textId="77777777" w:rsidR="00280157" w:rsidRDefault="0028015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</w:p>
    <w:p w14:paraId="076060BD" w14:textId="77777777" w:rsidR="00280157" w:rsidRPr="00280157" w:rsidRDefault="0028015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</w:pPr>
    </w:p>
    <w:p w14:paraId="1B75738C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Перечень оборудования, установленного на объекте и подлежащего эксплуатационно-техническому обслуживанию </w:t>
      </w:r>
    </w:p>
    <w:tbl>
      <w:tblPr>
        <w:tblStyle w:val="a6"/>
        <w:tblpPr w:leftFromText="180" w:rightFromText="180" w:vertAnchor="text" w:tblpY="1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7938"/>
        <w:gridCol w:w="1440"/>
      </w:tblGrid>
      <w:tr w:rsidR="00BF1436" w14:paraId="4EAF0E62" w14:textId="77777777">
        <w:tc>
          <w:tcPr>
            <w:tcW w:w="682" w:type="dxa"/>
          </w:tcPr>
          <w:p w14:paraId="0B5EB25A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7938" w:type="dxa"/>
          </w:tcPr>
          <w:p w14:paraId="4AECEB54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Оборудование</w:t>
            </w:r>
          </w:p>
        </w:tc>
        <w:tc>
          <w:tcPr>
            <w:tcW w:w="1440" w:type="dxa"/>
          </w:tcPr>
          <w:p w14:paraId="7E0CDE0A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Кол-во (шт.)</w:t>
            </w:r>
          </w:p>
        </w:tc>
      </w:tr>
      <w:tr w:rsidR="00BF1436" w14:paraId="00E087DD" w14:textId="77777777">
        <w:tc>
          <w:tcPr>
            <w:tcW w:w="10060" w:type="dxa"/>
            <w:gridSpan w:val="3"/>
          </w:tcPr>
          <w:p w14:paraId="2CC79D0B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Объект №1 по адресу: Вытегорское шоссе, 82</w:t>
            </w:r>
          </w:p>
        </w:tc>
      </w:tr>
      <w:tr w:rsidR="00BF1436" w14:paraId="6FFEFBD3" w14:textId="77777777">
        <w:tc>
          <w:tcPr>
            <w:tcW w:w="682" w:type="dxa"/>
          </w:tcPr>
          <w:p w14:paraId="40C8ED18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14:paraId="773C9A51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РИП-12 – 1 шт.</w:t>
            </w:r>
          </w:p>
        </w:tc>
        <w:tc>
          <w:tcPr>
            <w:tcW w:w="1440" w:type="dxa"/>
          </w:tcPr>
          <w:p w14:paraId="6AF9109B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65146E6A" w14:textId="77777777">
        <w:tc>
          <w:tcPr>
            <w:tcW w:w="682" w:type="dxa"/>
          </w:tcPr>
          <w:p w14:paraId="240FAEB0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14:paraId="08AD521C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С-2000 БКИ – 1 шт.</w:t>
            </w:r>
          </w:p>
        </w:tc>
        <w:tc>
          <w:tcPr>
            <w:tcW w:w="1440" w:type="dxa"/>
          </w:tcPr>
          <w:p w14:paraId="7C33AA2D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352AB5B8" w14:textId="77777777">
        <w:tc>
          <w:tcPr>
            <w:tcW w:w="682" w:type="dxa"/>
          </w:tcPr>
          <w:p w14:paraId="5BDCD244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14:paraId="417B5AE9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Гранит-3 – 2 шт.</w:t>
            </w:r>
          </w:p>
        </w:tc>
        <w:tc>
          <w:tcPr>
            <w:tcW w:w="1440" w:type="dxa"/>
          </w:tcPr>
          <w:p w14:paraId="345B7F2D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BF1436" w14:paraId="53AA06F3" w14:textId="77777777">
        <w:tc>
          <w:tcPr>
            <w:tcW w:w="682" w:type="dxa"/>
          </w:tcPr>
          <w:p w14:paraId="428A1B8D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7938" w:type="dxa"/>
          </w:tcPr>
          <w:p w14:paraId="474FC38B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Гранит-5 – 1 шт.</w:t>
            </w:r>
          </w:p>
        </w:tc>
        <w:tc>
          <w:tcPr>
            <w:tcW w:w="1440" w:type="dxa"/>
          </w:tcPr>
          <w:p w14:paraId="5A0D84BC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5D0D7672" w14:textId="77777777">
        <w:tc>
          <w:tcPr>
            <w:tcW w:w="682" w:type="dxa"/>
          </w:tcPr>
          <w:p w14:paraId="3CD96C46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938" w:type="dxa"/>
          </w:tcPr>
          <w:p w14:paraId="7C1B84A8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Сигнал-10 – 2 шт.</w:t>
            </w:r>
          </w:p>
        </w:tc>
        <w:tc>
          <w:tcPr>
            <w:tcW w:w="1440" w:type="dxa"/>
          </w:tcPr>
          <w:p w14:paraId="46BD08F5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BF1436" w14:paraId="76D7F33B" w14:textId="77777777">
        <w:tc>
          <w:tcPr>
            <w:tcW w:w="682" w:type="dxa"/>
          </w:tcPr>
          <w:p w14:paraId="6885CC47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938" w:type="dxa"/>
          </w:tcPr>
          <w:p w14:paraId="6FFAA9F7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ББП-3.1 – 1 шт.</w:t>
            </w:r>
          </w:p>
        </w:tc>
        <w:tc>
          <w:tcPr>
            <w:tcW w:w="1440" w:type="dxa"/>
          </w:tcPr>
          <w:p w14:paraId="7E575154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628804D4" w14:textId="77777777">
        <w:tc>
          <w:tcPr>
            <w:tcW w:w="682" w:type="dxa"/>
          </w:tcPr>
          <w:p w14:paraId="559B180B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38" w:type="dxa"/>
          </w:tcPr>
          <w:p w14:paraId="39F63058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С-2000-СП – 1 шт.</w:t>
            </w:r>
          </w:p>
        </w:tc>
        <w:tc>
          <w:tcPr>
            <w:tcW w:w="1440" w:type="dxa"/>
          </w:tcPr>
          <w:p w14:paraId="34A96B59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584F4CB2" w14:textId="77777777">
        <w:tc>
          <w:tcPr>
            <w:tcW w:w="682" w:type="dxa"/>
          </w:tcPr>
          <w:p w14:paraId="172E2E82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38" w:type="dxa"/>
          </w:tcPr>
          <w:p w14:paraId="61BADD82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РОКОТ-3 – 6 шт.</w:t>
            </w:r>
          </w:p>
        </w:tc>
        <w:tc>
          <w:tcPr>
            <w:tcW w:w="1440" w:type="dxa"/>
          </w:tcPr>
          <w:p w14:paraId="58D0AB7A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BF1436" w14:paraId="701CAE3A" w14:textId="77777777">
        <w:tc>
          <w:tcPr>
            <w:tcW w:w="10060" w:type="dxa"/>
            <w:gridSpan w:val="3"/>
          </w:tcPr>
          <w:p w14:paraId="753E3FA6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Объект №2 по адресу - Санкционированная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свалка 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м.Орзега</w:t>
            </w:r>
            <w:proofErr w:type="spellEnd"/>
          </w:p>
        </w:tc>
      </w:tr>
      <w:tr w:rsidR="00BF1436" w14:paraId="32DD0721" w14:textId="77777777">
        <w:tc>
          <w:tcPr>
            <w:tcW w:w="682" w:type="dxa"/>
          </w:tcPr>
          <w:p w14:paraId="1754C8B4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7938" w:type="dxa"/>
          </w:tcPr>
          <w:p w14:paraId="2AA46EF1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Гранит-5 – 1 шт.</w:t>
            </w:r>
          </w:p>
        </w:tc>
        <w:tc>
          <w:tcPr>
            <w:tcW w:w="1440" w:type="dxa"/>
          </w:tcPr>
          <w:p w14:paraId="0140ED52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4998D5FA" w14:textId="77777777">
        <w:tc>
          <w:tcPr>
            <w:tcW w:w="682" w:type="dxa"/>
          </w:tcPr>
          <w:p w14:paraId="64675A80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938" w:type="dxa"/>
          </w:tcPr>
          <w:p w14:paraId="6C07B9DA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РИП-12 – 1 шт.</w:t>
            </w:r>
          </w:p>
        </w:tc>
        <w:tc>
          <w:tcPr>
            <w:tcW w:w="1440" w:type="dxa"/>
          </w:tcPr>
          <w:p w14:paraId="7F71BE27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37E82A22" w14:textId="77777777">
        <w:tc>
          <w:tcPr>
            <w:tcW w:w="682" w:type="dxa"/>
          </w:tcPr>
          <w:p w14:paraId="0755C2BF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938" w:type="dxa"/>
          </w:tcPr>
          <w:p w14:paraId="001CD496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С2000-АСПТ – 1 шт. (пожаротушения в дизельной)</w:t>
            </w:r>
          </w:p>
        </w:tc>
        <w:tc>
          <w:tcPr>
            <w:tcW w:w="1440" w:type="dxa"/>
          </w:tcPr>
          <w:p w14:paraId="6D141EA2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BF1436" w14:paraId="1E7D10AC" w14:textId="77777777">
        <w:tc>
          <w:tcPr>
            <w:tcW w:w="682" w:type="dxa"/>
          </w:tcPr>
          <w:p w14:paraId="60A53730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938" w:type="dxa"/>
          </w:tcPr>
          <w:p w14:paraId="3D43084D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Буран-8 – 1 шт.  (модуль порошкового пожаротушения)</w:t>
            </w:r>
          </w:p>
        </w:tc>
        <w:tc>
          <w:tcPr>
            <w:tcW w:w="1440" w:type="dxa"/>
          </w:tcPr>
          <w:p w14:paraId="4FA23FF9" w14:textId="77777777" w:rsidR="00BF1436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</w:tbl>
    <w:p w14:paraId="42708A8E" w14:textId="77777777" w:rsidR="00BF1436" w:rsidRDefault="00BF143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  <w:sectPr w:rsidR="00BF1436">
          <w:headerReference w:type="even" r:id="rId6"/>
          <w:headerReference w:type="default" r:id="rId7"/>
          <w:pgSz w:w="11906" w:h="16838"/>
          <w:pgMar w:top="851" w:right="567" w:bottom="567" w:left="1134" w:header="709" w:footer="709" w:gutter="0"/>
          <w:pgNumType w:start="1"/>
          <w:cols w:space="720"/>
        </w:sectPr>
      </w:pPr>
    </w:p>
    <w:p w14:paraId="728054BB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Приложение № 2</w:t>
      </w:r>
    </w:p>
    <w:p w14:paraId="5F2D8346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ГРАФИК</w:t>
      </w:r>
    </w:p>
    <w:p w14:paraId="7011F370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проведения регламентных работ по эксплуатационно-техническому обслуживанию средств сигнализации</w:t>
      </w:r>
    </w:p>
    <w:p w14:paraId="7BB4F5D0" w14:textId="77777777" w:rsidR="00BF1436" w:rsidRDefault="00280157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Регламентные работы по техническому обслуживанию средств сигнализации проводятся в соответствии с графиком и в соответствии с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>паспортом и/или руководством по эксплуатации на приборы и установки входящие в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систему:</w:t>
      </w:r>
    </w:p>
    <w:tbl>
      <w:tblPr>
        <w:tblStyle w:val="a7"/>
        <w:tblW w:w="15178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7503"/>
        <w:gridCol w:w="592"/>
        <w:gridCol w:w="567"/>
        <w:gridCol w:w="567"/>
        <w:gridCol w:w="708"/>
        <w:gridCol w:w="708"/>
        <w:gridCol w:w="567"/>
        <w:gridCol w:w="563"/>
        <w:gridCol w:w="685"/>
        <w:gridCol w:w="662"/>
        <w:gridCol w:w="625"/>
        <w:gridCol w:w="587"/>
        <w:gridCol w:w="844"/>
      </w:tblGrid>
      <w:tr w:rsidR="00BF1436" w:rsidRPr="008156E7" w14:paraId="7E2432D1" w14:textId="77777777">
        <w:trPr>
          <w:cantSplit/>
        </w:trPr>
        <w:tc>
          <w:tcPr>
            <w:tcW w:w="75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0B2048E3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Вид работ (внешний осмотр, проверка работоспособности, профилактика)</w:t>
            </w:r>
          </w:p>
        </w:tc>
        <w:tc>
          <w:tcPr>
            <w:tcW w:w="1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EE40" w14:textId="6BEFC9D2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</w:rPr>
              <w:t>I квартал 202</w:t>
            </w:r>
            <w:r w:rsidR="0074001E" w:rsidRPr="008156E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5F8F986" w14:textId="502BCED4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</w:rPr>
              <w:t>II квартал 202</w:t>
            </w:r>
            <w:r w:rsidR="0074001E" w:rsidRPr="008156E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19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94F4A" w14:textId="182EC641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</w:rPr>
              <w:t>III квартал 202</w:t>
            </w:r>
            <w:r w:rsidR="0074001E" w:rsidRPr="008156E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  <w:r w:rsidRPr="008156E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399E8" w14:textId="09517F96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</w:rPr>
              <w:t>IV квартал 202</w:t>
            </w:r>
            <w:r w:rsidR="0074001E" w:rsidRPr="008156E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</w:p>
        </w:tc>
      </w:tr>
      <w:tr w:rsidR="00BF1436" w:rsidRPr="008156E7" w14:paraId="1FF5E268" w14:textId="77777777">
        <w:trPr>
          <w:cantSplit/>
        </w:trPr>
        <w:tc>
          <w:tcPr>
            <w:tcW w:w="7512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4DBE7E73" w14:textId="77777777" w:rsidR="00BF1436" w:rsidRPr="008156E7" w:rsidRDefault="00BF1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EBCE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янв.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3F223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февр.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CFA50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A17C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апр.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EE465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май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CC212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июнь 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DFC09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июль 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DAC2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авг.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71720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сент.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EE783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окт.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471F7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нояб</w:t>
            </w:r>
            <w:proofErr w:type="spellEnd"/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507B8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156E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декаб</w:t>
            </w:r>
            <w:proofErr w:type="spellEnd"/>
          </w:p>
        </w:tc>
      </w:tr>
      <w:tr w:rsidR="00BF1436" w:rsidRPr="008156E7" w14:paraId="31C93A17" w14:textId="77777777">
        <w:trPr>
          <w:trHeight w:val="1121"/>
        </w:trPr>
        <w:tc>
          <w:tcPr>
            <w:tcW w:w="75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B6AFA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Проверка работоспособности </w:t>
            </w:r>
          </w:p>
          <w:p w14:paraId="6643BF53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Регламент 1: (определение технического состояния путем контроля выполнения техническими средствами и установкой в целом, части или всех свойственных им функций, определенных назначением)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FD06F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C00C7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68C97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C3C78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8A999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F42E6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6562E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520BE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5E094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57984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37813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23072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</w:tr>
      <w:tr w:rsidR="00BF1436" w14:paraId="5632ED95" w14:textId="77777777">
        <w:trPr>
          <w:trHeight w:val="1973"/>
        </w:trPr>
        <w:tc>
          <w:tcPr>
            <w:tcW w:w="75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6526F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Профилактические работы</w:t>
            </w:r>
          </w:p>
          <w:p w14:paraId="46552A24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Регламент 2: (работы планово-предупредительного характера для поддерживания установок в работоспособном состоянии, включающие в себя очистку наружных поверхностей ТС, проверку технического состояния их внутреннего монтажа (внутренних поверхностей), очистку, притирку, смазку, подпайку, замену или восстановление элементов ТС, выработавших ресурс или пришедших в негодность)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E7B4C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CF2BF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93E96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2D8FB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B02E1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A4894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F439D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19C99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18D1F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BBB2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088EA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12631" w14:textId="77777777" w:rsidR="00BF1436" w:rsidRPr="008156E7" w:rsidRDefault="00280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156E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</w:tr>
    </w:tbl>
    <w:p w14:paraId="5A0E0E50" w14:textId="77777777" w:rsidR="00A612EC" w:rsidRDefault="00A612EC"/>
    <w:sectPr w:rsidR="00A612EC">
      <w:pgSz w:w="16838" w:h="11906" w:orient="landscape"/>
      <w:pgMar w:top="1134" w:right="851" w:bottom="567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2C184" w14:textId="77777777" w:rsidR="00A612EC" w:rsidRDefault="00A612EC">
      <w:r>
        <w:separator/>
      </w:r>
    </w:p>
  </w:endnote>
  <w:endnote w:type="continuationSeparator" w:id="0">
    <w:p w14:paraId="71F46698" w14:textId="77777777" w:rsidR="00A612EC" w:rsidRDefault="00A6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9169668-01E1-4DCE-B535-89343119AF24}"/>
    <w:embedBold r:id="rId2" w:fontKey="{3C0E6B38-6C7E-4B0C-B5DE-49EAF2D8591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B5EDCC7C-8DF9-4AAC-ACA3-33B8E5B9496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D5C8C59-F1F1-4C7A-862F-156D0C61E9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B7D3F" w14:textId="77777777" w:rsidR="00A612EC" w:rsidRDefault="00A612EC">
      <w:r>
        <w:separator/>
      </w:r>
    </w:p>
  </w:footnote>
  <w:footnote w:type="continuationSeparator" w:id="0">
    <w:p w14:paraId="49F66A7A" w14:textId="77777777" w:rsidR="00A612EC" w:rsidRDefault="00A61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6ABB" w14:textId="77777777" w:rsidR="00BF1436" w:rsidRDefault="00280157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77BF6A9C" w14:textId="77777777" w:rsidR="00BF1436" w:rsidRDefault="00BF1436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4E6F" w14:textId="77777777" w:rsidR="00BF1436" w:rsidRDefault="00BF1436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14ABCC66" w14:textId="77777777" w:rsidR="00BF1436" w:rsidRDefault="00BF1436">
    <w:pPr>
      <w:pBdr>
        <w:top w:val="nil"/>
        <w:left w:val="nil"/>
        <w:bottom w:val="nil"/>
        <w:right w:val="nil"/>
        <w:between w:val="nil"/>
      </w:pBdr>
      <w:spacing w:after="160" w:line="259" w:lineRule="auto"/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436"/>
    <w:rsid w:val="00053542"/>
    <w:rsid w:val="000651F2"/>
    <w:rsid w:val="00280157"/>
    <w:rsid w:val="002D2819"/>
    <w:rsid w:val="006C7837"/>
    <w:rsid w:val="00715B97"/>
    <w:rsid w:val="0074001E"/>
    <w:rsid w:val="008156E7"/>
    <w:rsid w:val="0086341D"/>
    <w:rsid w:val="00A612EC"/>
    <w:rsid w:val="00AA7DF9"/>
    <w:rsid w:val="00AD2564"/>
    <w:rsid w:val="00AE0D46"/>
    <w:rsid w:val="00B45CB5"/>
    <w:rsid w:val="00BF1436"/>
    <w:rsid w:val="00BF6E8C"/>
    <w:rsid w:val="00DB15AA"/>
    <w:rsid w:val="00F30462"/>
    <w:rsid w:val="00F9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0192"/>
  <w15:docId w15:val="{DBEEF30C-E42B-4BA0-B966-6825F00B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5" w:type="dxa"/>
      </w:tblCellMar>
    </w:tblPr>
  </w:style>
  <w:style w:type="paragraph" w:styleId="a8">
    <w:name w:val="Normal (Web)"/>
    <w:basedOn w:val="a"/>
    <w:rsid w:val="007400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2269</Words>
  <Characters>12938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А. Попкова</dc:creator>
  <cp:lastModifiedBy>Наталья А. Попкова</cp:lastModifiedBy>
  <cp:revision>3</cp:revision>
  <cp:lastPrinted>2026-10-05T08:02:00Z</cp:lastPrinted>
  <dcterms:created xsi:type="dcterms:W3CDTF">2026-10-14T08:02:00Z</dcterms:created>
  <dcterms:modified xsi:type="dcterms:W3CDTF">2026-10-14T10:53:00Z</dcterms:modified>
</cp:coreProperties>
</file>