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FF" w:rsidRPr="00737C74" w:rsidRDefault="00BD39FF" w:rsidP="00BD39FF">
      <w:pPr>
        <w:spacing w:after="0" w:line="240" w:lineRule="auto"/>
        <w:ind w:left="723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737C7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Приложение № 3</w:t>
      </w:r>
    </w:p>
    <w:p w:rsidR="00BD39FF" w:rsidRPr="00EB743D" w:rsidRDefault="00BD39FF" w:rsidP="00BD39FF">
      <w:pPr>
        <w:spacing w:after="0" w:line="240" w:lineRule="auto"/>
        <w:ind w:left="72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7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к Документации по запросу предложений №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6</w:t>
      </w:r>
    </w:p>
    <w:p w:rsidR="00BD39FF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9FF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9FF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9FF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9FF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9FF" w:rsidRPr="00D84EEA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EEA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УНИТАРНОЕ ПРЕДПРИЯТИЕ РЕСПУБЛИКИ КРЫМ</w:t>
      </w:r>
    </w:p>
    <w:p w:rsidR="00BD39FF" w:rsidRPr="007D2449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EEA">
        <w:rPr>
          <w:rFonts w:ascii="Times New Roman" w:eastAsia="Times New Roman" w:hAnsi="Times New Roman"/>
          <w:b/>
          <w:sz w:val="28"/>
          <w:szCs w:val="28"/>
          <w:lang w:eastAsia="ru-RU"/>
        </w:rPr>
        <w:t>«КРЫМТЕПЛОКОММУНЭНЕРГО»</w:t>
      </w:r>
    </w:p>
    <w:p w:rsidR="00BD39FF" w:rsidRPr="007D2449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9FF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9FF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9FF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9FF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9FF" w:rsidRPr="00D84EEA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9FF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№ 3 </w:t>
      </w:r>
    </w:p>
    <w:p w:rsidR="00BD39FF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449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 И КРИТЕРИИ ОЦЕНКИ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ЗАЯВОК НА УЧАСТИЕ В ЗАПРОСЕ ПРЕДЛОЖЕНИЙ В ЭЛЕКТРОННОЙ ФОРМЕ</w:t>
      </w:r>
    </w:p>
    <w:p w:rsidR="00BD39FF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9FF" w:rsidRPr="00737C74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C74">
        <w:rPr>
          <w:rFonts w:ascii="Times New Roman" w:eastAsia="Times New Roman" w:hAnsi="Times New Roman"/>
          <w:b/>
          <w:sz w:val="28"/>
          <w:szCs w:val="28"/>
          <w:lang w:eastAsia="ru-RU"/>
        </w:rPr>
        <w:t>на оказание услуг физической охраны объектов ГУП РК «Крымтеплокоммунэнерго»</w:t>
      </w:r>
    </w:p>
    <w:p w:rsidR="00BD39FF" w:rsidRPr="00737C74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9FF" w:rsidRPr="000A0A30" w:rsidRDefault="00BD39FF" w:rsidP="00BD3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C74">
        <w:rPr>
          <w:rFonts w:ascii="Times New Roman" w:hAnsi="Times New Roman"/>
          <w:sz w:val="28"/>
          <w:szCs w:val="28"/>
        </w:rPr>
        <w:t xml:space="preserve">(номер закупки </w:t>
      </w:r>
      <w:r>
        <w:rPr>
          <w:rFonts w:ascii="Times New Roman" w:hAnsi="Times New Roman"/>
          <w:sz w:val="28"/>
          <w:szCs w:val="28"/>
        </w:rPr>
        <w:t>–</w:t>
      </w:r>
      <w:r w:rsidRPr="00737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</w:t>
      </w:r>
    </w:p>
    <w:p w:rsidR="00BD39FF" w:rsidRPr="000A0A30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D39FF" w:rsidRPr="000A0A30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D39FF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D39FF" w:rsidRDefault="00BD39FF" w:rsidP="00BD39FF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39FF" w:rsidRDefault="00BD39FF" w:rsidP="00BD39FF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9FF" w:rsidRDefault="00BD39FF" w:rsidP="00BD39FF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9FF" w:rsidRPr="000A0A30" w:rsidRDefault="00BD39FF" w:rsidP="00BD39FF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9FF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9FF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9FF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9FF" w:rsidRPr="00344908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9FF" w:rsidRPr="000A0A30" w:rsidRDefault="00BD39FF" w:rsidP="00BD3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A30">
        <w:rPr>
          <w:rFonts w:ascii="Times New Roman" w:eastAsia="Times New Roman" w:hAnsi="Times New Roman"/>
          <w:b/>
          <w:sz w:val="28"/>
          <w:szCs w:val="28"/>
          <w:lang w:eastAsia="ru-RU"/>
        </w:rPr>
        <w:t>г. Симферополь,</w:t>
      </w:r>
    </w:p>
    <w:p w:rsidR="00BD39FF" w:rsidRDefault="00BD39FF" w:rsidP="00BD3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2021</w:t>
      </w:r>
      <w:r w:rsidRPr="000A0A30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BD39FF" w:rsidRDefault="00BD39FF" w:rsidP="00BD39FF">
      <w:pPr>
        <w:spacing w:after="0" w:line="36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D39FF" w:rsidRDefault="00BD39FF" w:rsidP="00BD39FF">
      <w:pPr>
        <w:spacing w:after="0" w:line="360" w:lineRule="auto"/>
        <w:ind w:left="142" w:hanging="142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331"/>
        <w:gridCol w:w="6384"/>
      </w:tblGrid>
      <w:tr w:rsidR="00BD39FF" w:rsidRPr="00420832" w:rsidTr="000D1C6C">
        <w:trPr>
          <w:trHeight w:val="601"/>
          <w:tblHeader/>
        </w:trPr>
        <w:tc>
          <w:tcPr>
            <w:tcW w:w="361" w:type="pct"/>
            <w:shd w:val="clear" w:color="auto" w:fill="D9D9D9"/>
            <w:vAlign w:val="center"/>
          </w:tcPr>
          <w:p w:rsidR="00BD39FF" w:rsidRPr="00420832" w:rsidRDefault="00BD39FF" w:rsidP="001D5A3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BD39FF" w:rsidRPr="00420832" w:rsidRDefault="00BD39FF" w:rsidP="001D5A3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91" w:type="pct"/>
            <w:shd w:val="clear" w:color="auto" w:fill="D9D9D9"/>
            <w:vAlign w:val="center"/>
          </w:tcPr>
          <w:p w:rsidR="00BD39FF" w:rsidRPr="00420832" w:rsidRDefault="00BD39FF" w:rsidP="001D5A3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48" w:type="pct"/>
            <w:shd w:val="clear" w:color="auto" w:fill="D9D9D9"/>
            <w:vAlign w:val="center"/>
          </w:tcPr>
          <w:p w:rsidR="00BD39FF" w:rsidRPr="00420832" w:rsidRDefault="00BD39FF" w:rsidP="001D5A3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BD39FF" w:rsidRPr="00420832" w:rsidTr="001D5A34">
        <w:trPr>
          <w:trHeight w:val="561"/>
        </w:trPr>
        <w:tc>
          <w:tcPr>
            <w:tcW w:w="5000" w:type="pct"/>
            <w:gridSpan w:val="3"/>
          </w:tcPr>
          <w:p w:rsidR="00BD39FF" w:rsidRPr="00420832" w:rsidRDefault="00BD39FF" w:rsidP="001D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целях оценки заявок заказчик устанавливает в документации о закупке следующие критерии оценки:</w:t>
            </w:r>
          </w:p>
        </w:tc>
      </w:tr>
      <w:tr w:rsidR="00BD39FF" w:rsidRPr="00420832" w:rsidTr="000D1C6C">
        <w:trPr>
          <w:trHeight w:val="294"/>
        </w:trPr>
        <w:tc>
          <w:tcPr>
            <w:tcW w:w="361" w:type="pct"/>
          </w:tcPr>
          <w:p w:rsidR="00BD39FF" w:rsidRPr="00420832" w:rsidRDefault="00BD39FF" w:rsidP="001D5A3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BD39FF" w:rsidRPr="00420832" w:rsidRDefault="00BD39FF" w:rsidP="001D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Стоимостные критерии оценки:</w:t>
            </w:r>
          </w:p>
        </w:tc>
        <w:tc>
          <w:tcPr>
            <w:tcW w:w="3048" w:type="pct"/>
          </w:tcPr>
          <w:p w:rsidR="00BD39FF" w:rsidRPr="00420832" w:rsidRDefault="00BD39FF" w:rsidP="001D5A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9FF" w:rsidRPr="00420832" w:rsidTr="000D1C6C">
        <w:tc>
          <w:tcPr>
            <w:tcW w:w="361" w:type="pct"/>
          </w:tcPr>
          <w:p w:rsidR="00BD39FF" w:rsidRPr="00420832" w:rsidRDefault="00BD39FF" w:rsidP="001D5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91" w:type="pct"/>
          </w:tcPr>
          <w:p w:rsidR="00BD39FF" w:rsidRPr="00420832" w:rsidRDefault="00BD39FF" w:rsidP="001D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048" w:type="pct"/>
          </w:tcPr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Значимость критерия оценки: 60 %, коэффициент, значимости критерия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0,6.</w:t>
            </w:r>
          </w:p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баллов, присуждаемых по критерию «Цена контракта» (</w:t>
            </w:r>
            <w:proofErr w:type="spellStart"/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Цбi</w:t>
            </w:r>
            <w:proofErr w:type="spellEnd"/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определяется по формуле:</w:t>
            </w:r>
          </w:p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5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0C3156" wp14:editId="1ECDA3DC">
                  <wp:extent cx="1038225" cy="4381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где </w:t>
            </w:r>
            <w:r w:rsidRPr="00CB05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13ECE3" wp14:editId="6173A29F">
                  <wp:extent cx="200025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предложение участника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заявка которого оценивается;</w:t>
            </w:r>
          </w:p>
          <w:p w:rsidR="00BD39FF" w:rsidRPr="00420832" w:rsidRDefault="00BD39FF" w:rsidP="001D5A34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CB05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3285A7" wp14:editId="293E33FB">
                  <wp:extent cx="32385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минимальное предложение из предложений по данному критерию оценки, сделанных участниками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</w:p>
        </w:tc>
      </w:tr>
      <w:tr w:rsidR="00BD39FF" w:rsidRPr="00420832" w:rsidTr="000D1C6C">
        <w:trPr>
          <w:trHeight w:val="82"/>
        </w:trPr>
        <w:tc>
          <w:tcPr>
            <w:tcW w:w="361" w:type="pct"/>
          </w:tcPr>
          <w:p w:rsidR="00BD39FF" w:rsidRPr="00420832" w:rsidRDefault="00BD39FF" w:rsidP="001D5A3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BD39FF" w:rsidRPr="00420832" w:rsidRDefault="00BD39FF" w:rsidP="001D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Нестоимостные</w:t>
            </w:r>
            <w:proofErr w:type="spellEnd"/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критерии оценки:</w:t>
            </w:r>
          </w:p>
        </w:tc>
        <w:tc>
          <w:tcPr>
            <w:tcW w:w="3048" w:type="pct"/>
          </w:tcPr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9FF" w:rsidRPr="00420832" w:rsidTr="000D1C6C">
        <w:tc>
          <w:tcPr>
            <w:tcW w:w="361" w:type="pct"/>
          </w:tcPr>
          <w:p w:rsidR="00BD39FF" w:rsidRPr="00420832" w:rsidRDefault="00BD39FF" w:rsidP="001D5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91" w:type="pct"/>
          </w:tcPr>
          <w:p w:rsidR="00BD39FF" w:rsidRPr="00420832" w:rsidRDefault="00BD39FF" w:rsidP="001D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квалификации:</w:t>
            </w:r>
          </w:p>
        </w:tc>
        <w:tc>
          <w:tcPr>
            <w:tcW w:w="3048" w:type="pct"/>
          </w:tcPr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Значимость критерия оценки: 40%,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значимости критерия –0,4</w:t>
            </w:r>
          </w:p>
          <w:tbl>
            <w:tblPr>
              <w:tblW w:w="6158" w:type="dxa"/>
              <w:tblLook w:val="0000" w:firstRow="0" w:lastRow="0" w:firstColumn="0" w:lastColumn="0" w:noHBand="0" w:noVBand="0"/>
            </w:tblPr>
            <w:tblGrid>
              <w:gridCol w:w="426"/>
              <w:gridCol w:w="2936"/>
              <w:gridCol w:w="1444"/>
              <w:gridCol w:w="1352"/>
            </w:tblGrid>
            <w:tr w:rsidR="00BD39FF" w:rsidRPr="00420832" w:rsidTr="001D5A34">
              <w:trPr>
                <w:trHeight w:val="97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D39FF" w:rsidRPr="00420832" w:rsidRDefault="00BD39FF" w:rsidP="001D5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D39FF" w:rsidRPr="00420832" w:rsidRDefault="00BD39FF" w:rsidP="001D5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Показатели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D39FF" w:rsidRPr="00420832" w:rsidRDefault="00BD39FF" w:rsidP="001D5A34">
                  <w:pPr>
                    <w:spacing w:after="0" w:line="240" w:lineRule="auto"/>
                    <w:ind w:left="-66" w:right="-94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Максимальное значение (в баллах)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D39FF" w:rsidRPr="00420832" w:rsidRDefault="00BD39FF" w:rsidP="001D5A34">
                  <w:pPr>
                    <w:spacing w:after="0" w:line="240" w:lineRule="auto"/>
                    <w:ind w:left="-80" w:right="-85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Коэффициент значимости показателя</w:t>
                  </w:r>
                </w:p>
                <w:p w:rsidR="00BD39FF" w:rsidRPr="00420832" w:rsidRDefault="00BD39FF" w:rsidP="001D5A34">
                  <w:pPr>
                    <w:spacing w:after="0" w:line="240" w:lineRule="auto"/>
                    <w:ind w:left="-80" w:right="-85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(КЗ)</w:t>
                  </w:r>
                </w:p>
              </w:tc>
            </w:tr>
            <w:tr w:rsidR="00BD39FF" w:rsidRPr="00420832" w:rsidTr="001D5A34">
              <w:trPr>
                <w:trHeight w:val="322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D39FF" w:rsidRPr="00420832" w:rsidRDefault="00BD39FF" w:rsidP="001D5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D39FF" w:rsidRPr="00420832" w:rsidRDefault="00BD39FF" w:rsidP="001D5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D39FF" w:rsidRPr="00420832" w:rsidRDefault="00BD39FF" w:rsidP="001D5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D39FF" w:rsidRPr="00420832" w:rsidRDefault="00BD39FF" w:rsidP="001D5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0,3</w:t>
                  </w:r>
                </w:p>
              </w:tc>
            </w:tr>
            <w:tr w:rsidR="00BD39FF" w:rsidRPr="00420832" w:rsidTr="001D5A34">
              <w:trPr>
                <w:trHeight w:val="322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D39FF" w:rsidRPr="00420832" w:rsidRDefault="00BD39FF" w:rsidP="001D5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D39FF" w:rsidRPr="00420832" w:rsidRDefault="00BD39FF" w:rsidP="001D5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 xml:space="preserve">Опыт участника по успешному оказанию услуг в области физической охраны объектов недвижимости 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D39FF" w:rsidRPr="00420832" w:rsidRDefault="00BD39FF" w:rsidP="001D5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D39FF" w:rsidRPr="00420832" w:rsidRDefault="00BD39FF" w:rsidP="001D5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</w:tr>
            <w:tr w:rsidR="00BD39FF" w:rsidRPr="00420832" w:rsidTr="001D5A34">
              <w:trPr>
                <w:trHeight w:val="322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D39FF" w:rsidRPr="00420832" w:rsidRDefault="00BD39FF" w:rsidP="001D5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D39FF" w:rsidRPr="00420832" w:rsidRDefault="00BD39FF" w:rsidP="001D5A34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оказания услуг»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D39FF" w:rsidRPr="00420832" w:rsidRDefault="00BD39FF" w:rsidP="001D5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D39FF" w:rsidRPr="00420832" w:rsidRDefault="00BD39FF" w:rsidP="001D5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</w:tr>
            <w:tr w:rsidR="00BD39FF" w:rsidRPr="00420832" w:rsidTr="001D5A34">
              <w:trPr>
                <w:trHeight w:val="322"/>
              </w:trPr>
              <w:tc>
                <w:tcPr>
                  <w:tcW w:w="37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D39FF" w:rsidRPr="00420832" w:rsidRDefault="00BD39FF" w:rsidP="001D5A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D39FF" w:rsidRPr="00420832" w:rsidRDefault="00BD39FF" w:rsidP="001D5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D39FF" w:rsidRPr="00420832" w:rsidRDefault="00BD39FF" w:rsidP="001D5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20832">
                    <w:rPr>
                      <w:rFonts w:ascii="Times New Roman" w:eastAsia="Times New Roman" w:hAnsi="Times New Roman"/>
                      <w:lang w:eastAsia="ru-RU"/>
                    </w:rPr>
                    <w:t>1,0</w:t>
                  </w:r>
                </w:p>
              </w:tc>
            </w:tr>
          </w:tbl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9FF" w:rsidRPr="00420832" w:rsidTr="000D1C6C">
        <w:tc>
          <w:tcPr>
            <w:tcW w:w="361" w:type="pct"/>
          </w:tcPr>
          <w:p w:rsidR="00BD39FF" w:rsidRPr="00420832" w:rsidRDefault="00BD39FF" w:rsidP="001D5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1591" w:type="pct"/>
          </w:tcPr>
          <w:p w:rsidR="00BD39FF" w:rsidRPr="00420832" w:rsidRDefault="00BD39FF" w:rsidP="001D5A3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трудовых ресурсов (руководителей и ключевых специалистов), предлагаемых для выполнения работ, оказания услуг (далее – Квалификация трудовых ресурсов)</w:t>
            </w:r>
          </w:p>
        </w:tc>
        <w:tc>
          <w:tcPr>
            <w:tcW w:w="3048" w:type="pct"/>
          </w:tcPr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2.1.1.1. Значимость показателя критерия оценки: </w:t>
            </w:r>
            <w:r w:rsidRPr="00420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30%</w:t>
            </w:r>
          </w:p>
          <w:p w:rsidR="00BD39FF" w:rsidRPr="00420832" w:rsidRDefault="00BD39FF" w:rsidP="00EA4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2.1.1.2. При оценке по данному показателю анализируется информация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участника 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обеспеченности участником закупки квалифицированными трудовыми ресурсами, а именно наличие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25 (двадцати пяти)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штатных </w:t>
            </w:r>
            <w:r w:rsidRPr="0042083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сотрудников (охранников) не ниже 4-го квалификационного разряда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информация о наличии которых отображается участником в </w:t>
            </w:r>
            <w:r w:rsidR="00EA41AE" w:rsidRPr="00EA4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3 к Письму о подаче Заявки на участие в Запросе предложений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подтверждающими документами.</w:t>
            </w:r>
          </w:p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2.1.1.3. Подтверждением наличия в штате участника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сотрудников (охранников) не ниже 4-го квалификационного разряда является предоставление участником настоящего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следующих документов:</w:t>
            </w:r>
          </w:p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3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штатно</w:t>
            </w:r>
            <w:r w:rsidR="008A3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расписания и/или выписка из штатного расписания, заверенная печатью и подписью участника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D39FF" w:rsidRPr="00195058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3342" w:rsidRPr="00656AA2">
              <w:rPr>
                <w:rFonts w:ascii="Times New Roman" w:hAnsi="Times New Roman" w:cs="Times New Roman"/>
                <w:sz w:val="24"/>
                <w:szCs w:val="24"/>
              </w:rPr>
              <w:t xml:space="preserve">копия удостоверения </w:t>
            </w:r>
            <w:r w:rsidRPr="006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частного охранника (в соответствии с Приказом Министерства внутренних дел Российской Федерации от 29.09.2011 №1039 или с Приказом Федеральной службы войск национальной гвардии Российской Федерации от 28.06.2019 № 228 "Об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охранника") –</w:t>
            </w:r>
            <w:r w:rsidRPr="0019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каждого охранника (страницы: 1-2 с информацией о владельце; сведения о присвоенной квалификации; сведения о профессиональной подготовке - обучении в образовательном учреждении (при наличии); о местонахождении учетного дела; о выдаче личной карточки), в случае, если из представленных вышеуказанных копий страниц невозможно определить </w:t>
            </w:r>
            <w:r w:rsidRPr="0019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соответствие установленным требованиям, участник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19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 предоставляет копии страниц, из которых возможно определить необходимую информацию),</w:t>
            </w:r>
          </w:p>
          <w:p w:rsidR="00BD39FF" w:rsidRPr="00195058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либо копия служебного удостоверения (для работников ведомственной / вневедомственной охраны);</w:t>
            </w:r>
          </w:p>
          <w:p w:rsidR="00BD39FF" w:rsidRPr="00195058" w:rsidRDefault="00BD39FF" w:rsidP="001D5A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A3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</w:t>
            </w:r>
            <w:r w:rsidRPr="0019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</w:t>
            </w:r>
            <w:r w:rsidR="008A3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19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карточк</w:t>
            </w:r>
            <w:r w:rsidR="008A3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19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охранника (в соответствии с Приказом Министерства внутренних дел Российской Федерации от 29.09.2011 №1039 или с Приказом Федеральной службы войск национальной гвардии РФ от 28 июня 2019 г. № 238 "Об утверждении Порядка выдачи личной карточки охранника") – для каждого охранника,</w:t>
            </w:r>
          </w:p>
          <w:p w:rsidR="00BD39FF" w:rsidRPr="003243D1" w:rsidRDefault="00BD39FF" w:rsidP="001D5A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либо копия аналогичного документа, если такой предусмотрен (для работников ведомственной / вневедомственной охраны)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9FF" w:rsidRPr="00420832" w:rsidRDefault="00BD39FF" w:rsidP="001D5A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согласие на обработку персональных данных заказчиком, с указанием Ф.И.О. охранника, информации о дате их рождения, месте регистрации</w:t>
            </w:r>
            <w:r w:rsidRPr="006E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для каждого охранника;</w:t>
            </w:r>
          </w:p>
          <w:p w:rsidR="00BD39FF" w:rsidRPr="00B46654" w:rsidRDefault="00BD39FF" w:rsidP="001D5A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A3342" w:rsidRPr="006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трудовой </w:t>
            </w:r>
            <w:r w:rsidRPr="006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книжк</w:t>
            </w:r>
            <w:r w:rsidR="008A3342" w:rsidRPr="006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56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(вкладыш к трудовой книжке) сотрудников (охранников) организации участника запроса предложений в электронной форме (первая страница трудовой книжки (вкладыша), содержащая</w:t>
            </w:r>
            <w:r w:rsidRPr="00B4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сведения о сотруднике (охраннике), страница, содержащая сведения о настоящем месте работы (в организации участника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B4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а также три страницы трудовой книжки (вкладыша), следующих за страницей содержащей сведения о настоящем месте работы сотрудника, в случае, если запись о настоящем месте работы сделана менее, чем за три страниц до окончания трудовой книжки (вкладыша), то предоставляются фактически оставшиеся незаполненные страницы трудовой книжки (вкладыша) после записи о настоящем месте работы – для каждого охранника;</w:t>
            </w:r>
          </w:p>
          <w:p w:rsidR="00BD39FF" w:rsidRPr="00385D8E" w:rsidRDefault="00BD39FF" w:rsidP="001D5A34">
            <w:pPr>
              <w:spacing w:after="60" w:line="240" w:lineRule="auto"/>
              <w:ind w:left="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либо, отчет по форме СЗВ-ТД утвержденный в соответствии с Постановление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Правления ПФ РФ от 25.12.2019 N 730п "Об утверждении формы и формата сведений о трудовой деятельности зарегистрированного лица, а также порядка заполнения форм указанных сведений" (вместе с "Порядком заполнения формы "Сведения о трудовой деятельности зарегистрированного лица (СЗВ-ТД)", "Форматом сведений для формы "Сведения о трудовой деятельности (СЗВ-ТД) зарегистрированного лица" в электронном виде"), в электронной форме с электронными подписями участников документооборота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8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случае предоставления отчета в бумажной форме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 предоставляются</w:t>
            </w:r>
            <w:r w:rsidRPr="0038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документы подтверждающие отправку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сотрудников представленных для оценки по показателю «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трудовых ресурсов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8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2.1.1.4. При проведении оценки по показателю «Квалификация трудовых ресурсов» учитывается информация о наличии сотрудников (охранников) только подтвержденных документально в соответствии с пунктом 2.1.1. настоящего раздела документации. Информация, которая не соответствует требованиям настоящего пункта или, исходя из её содержания, невозможно определить соответствие установленным требованиям, или в случае невозможности прочтения текста копий документов, предоставляемых участником настоящего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форме,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учитывается в оценке заявок участников по показателю «Квалификация трудовых ресурсов» в расчете баллов.</w:t>
            </w:r>
          </w:p>
          <w:p w:rsidR="00BD39FF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2.1.1.5. </w:t>
            </w:r>
            <w:r w:rsidRPr="00324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определения баллов по показателю «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трудовых ресурсов</w:t>
            </w:r>
            <w:r w:rsidRPr="00324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39FF" w:rsidRPr="003243D1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 - участником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информация </w:t>
            </w:r>
            <w:r w:rsidR="00C853D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24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двадцать пять</w:t>
            </w:r>
            <w:r w:rsidRPr="00324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штатных </w:t>
            </w:r>
            <w:r w:rsidRPr="00324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сотрудников (охранников), не ниже 4-го квалификационного разряда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пунктами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раздела);</w:t>
            </w:r>
          </w:p>
          <w:p w:rsidR="00BD39FF" w:rsidRPr="003243D1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 - участником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предоставлена информация менее чем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24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двадцать пять</w:t>
            </w:r>
            <w:r w:rsidRPr="00324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штатных </w:t>
            </w:r>
            <w:r w:rsidRPr="00324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сотрудников (охранников), не ниже 4-го квалификационного разряда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пунктами 2.1.1 настоящего раздела);</w:t>
            </w:r>
          </w:p>
          <w:p w:rsidR="00BD39FF" w:rsidRPr="003243D1" w:rsidRDefault="00BD39FF" w:rsidP="001D5A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D39FF" w:rsidRPr="003243D1" w:rsidRDefault="00BD39FF" w:rsidP="001D5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показателю, определяется по формуле:</w:t>
            </w:r>
          </w:p>
          <w:p w:rsidR="00BD39FF" w:rsidRPr="003243D1" w:rsidRDefault="00BD39FF" w:rsidP="001D5A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D39FF" w:rsidRPr="003955B4" w:rsidRDefault="00BD39FF" w:rsidP="001D5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3955B4">
              <w:rPr>
                <w:rFonts w:ascii="Times New Roman" w:hAnsi="Times New Roman" w:cs="Times New Roman"/>
                <w:sz w:val="32"/>
                <w:szCs w:val="24"/>
              </w:rPr>
              <w:t>НЦБ</w:t>
            </w:r>
            <w:proofErr w:type="gramStart"/>
            <w:r w:rsidRPr="003955B4">
              <w:rPr>
                <w:rFonts w:ascii="Times New Roman" w:hAnsi="Times New Roman" w:cs="Times New Roman"/>
                <w:sz w:val="32"/>
                <w:szCs w:val="24"/>
              </w:rPr>
              <w:t>i</w:t>
            </w:r>
            <w:proofErr w:type="spellEnd"/>
            <w:r w:rsidRPr="004227C0"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>(</w:t>
            </w:r>
            <w:proofErr w:type="gramEnd"/>
            <w:r w:rsidRPr="004227C0"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>1)</w:t>
            </w:r>
            <w:r w:rsidRPr="003955B4">
              <w:rPr>
                <w:rFonts w:ascii="Times New Roman" w:hAnsi="Times New Roman" w:cs="Times New Roman"/>
                <w:sz w:val="32"/>
                <w:szCs w:val="24"/>
              </w:rPr>
              <w:t xml:space="preserve"> = КЗ х </w:t>
            </w:r>
            <w:proofErr w:type="spellStart"/>
            <w:r w:rsidRPr="003955B4">
              <w:rPr>
                <w:rFonts w:ascii="Times New Roman" w:hAnsi="Times New Roman" w:cs="Times New Roman"/>
                <w:sz w:val="32"/>
                <w:szCs w:val="24"/>
              </w:rPr>
              <w:t>Кi</w:t>
            </w:r>
            <w:proofErr w:type="spellEnd"/>
            <w:r w:rsidRPr="003955B4">
              <w:rPr>
                <w:rFonts w:ascii="Times New Roman" w:hAnsi="Times New Roman" w:cs="Times New Roman"/>
                <w:sz w:val="32"/>
                <w:szCs w:val="24"/>
              </w:rPr>
              <w:t>,</w:t>
            </w:r>
          </w:p>
          <w:p w:rsidR="00BD39FF" w:rsidRPr="003243D1" w:rsidRDefault="00BD39FF" w:rsidP="001D5A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:rsidR="00BD39FF" w:rsidRPr="003243D1" w:rsidRDefault="00BD39FF" w:rsidP="001D5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значимости показателя;</w:t>
            </w:r>
          </w:p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3D1">
              <w:rPr>
                <w:rFonts w:ascii="Times New Roman" w:hAnsi="Times New Roman" w:cs="Times New Roman"/>
                <w:b/>
                <w:sz w:val="24"/>
                <w:szCs w:val="24"/>
              </w:rPr>
              <w:t>Кi</w:t>
            </w:r>
            <w:proofErr w:type="spellEnd"/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в баллах, присуждаемое комиссией, заявке (предложению), в соответствии с установленной шкалой оценки.</w:t>
            </w:r>
          </w:p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2.1.1.6. При отсутствии в заявке на 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запросе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сведений о квалификации трудовых ресурсов, предлагаемых для выполнения работ, оказания услуг или признания всей предоставленной информации по данному показателю несоответствующей установленным требованиям, указанным в пункте 2.1.1. настоящего раздела документации, участник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получает «0» баллов по 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данному показателю.</w:t>
            </w:r>
          </w:p>
        </w:tc>
      </w:tr>
      <w:tr w:rsidR="00BD39FF" w:rsidRPr="00420832" w:rsidTr="000D1C6C">
        <w:tc>
          <w:tcPr>
            <w:tcW w:w="361" w:type="pct"/>
          </w:tcPr>
          <w:p w:rsidR="00BD39FF" w:rsidRPr="00420832" w:rsidRDefault="00BD39FF" w:rsidP="001D5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1591" w:type="pct"/>
          </w:tcPr>
          <w:p w:rsidR="00BD39FF" w:rsidRPr="00420832" w:rsidRDefault="00BD39FF" w:rsidP="001D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участника по успешной поставке товаров, выполнению работ, оказанию услуг в области физической охраны объектов недвижимости (далее – Опыт)</w:t>
            </w:r>
          </w:p>
        </w:tc>
        <w:tc>
          <w:tcPr>
            <w:tcW w:w="3048" w:type="pct"/>
          </w:tcPr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2.1.2.1. Значимость показателя критерия оценки: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20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0%</w:t>
            </w:r>
          </w:p>
          <w:p w:rsidR="00BD39FF" w:rsidRPr="00860290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2.1.2.2. При оценке по данному показателю анализируется 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об опыте Участника по успешному оказанию услуг в области физической охраны объектов 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и муниципальной собственности, а также объектов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относящихся в соответствии с Федеральны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21.07.2011 N 256-ФЗ (ред. от 24.04.2020) "О безопасности объектов топливно-энергетического комплекса"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 объектам топливно-энергетического комплекса,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информация о наличии которых отображается участником в 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Приложении №</w:t>
            </w:r>
            <w:r w:rsidR="00C11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112C8" w:rsidRPr="00C11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Письму о подаче Заявки на участие в Запросе предложений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подтверждающими документами.</w:t>
            </w:r>
          </w:p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2.1.2.3. Оказанной услугой считается исполненный участником настоящего запроса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 в электронной форме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(ы), 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договор(ы), гражданско-правовой договор(ы)) заключенные, в соответствии с Федеральными законами №44-ФЗ или №223-ФЗ в области физической охраны объектов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государственной и муниципальной собственности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также объектов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относящихся в соответствии с Федеральный закон от 21.07.2011 N 256-ФЗ (ред. от 24.04.2020) "О безопасности объектов топливно-энергетического комплекса" к объектам топливно-энергетического комплекса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исполненные в периоде не ранее 2 (двух) календарных лет до даты объявления настоящего запроса предложений, без применения штрафных санкций (пеней, неустоек) по таким контракту в отношении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 настоящей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D39FF" w:rsidRPr="00860290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2.1.2.4. Выполненный участником настоящего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 в соответствии с пунктом 2.1.2.3 настоящего раздела, учитывается по показателю «Опыт» в случае, если он подтвержден копией такого договора (включая все дополнения, приложения, изменения к нему) с приложением итогового акта(</w:t>
            </w:r>
            <w:proofErr w:type="spellStart"/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приемки услуг (при наличии) или всех отдельных актов о приемке услуг. Договор(ы) (включая все дополнения, приложения, изменения к нему), не соответствующий(е) требованиям пункта 2.1.2. настоящего раздела, или, исходя из их содержания, невозможно определить соответствие установленным требованиям, или в случае невозможности прочтения текста копий документов, предоставляемых участником настоящего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 учитываются в оценке заявок участников по 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показателю «Опыт» в расчете балов.</w:t>
            </w:r>
          </w:p>
          <w:p w:rsidR="00BD39FF" w:rsidRPr="00860290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2.1.2.5 </w:t>
            </w:r>
            <w:r w:rsidRPr="008602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Порядок определения баллов по показателю «Опыт»:</w:t>
            </w:r>
          </w:p>
          <w:p w:rsidR="00BD39FF" w:rsidRPr="00860290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60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100 баллов</w:t>
            </w:r>
            <w:r w:rsidRPr="00860290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8602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Участником </w:t>
            </w:r>
            <w:r w:rsidRPr="00860290">
              <w:rPr>
                <w:rFonts w:ascii="Times New Roman" w:hAnsi="Times New Roman" w:cs="Times New Roman"/>
                <w:sz w:val="24"/>
                <w:szCs w:val="24"/>
              </w:rPr>
              <w:t xml:space="preserve">закупки </w:t>
            </w:r>
            <w:r w:rsidRPr="0086029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подтверждена</w:t>
            </w:r>
            <w:r w:rsidRPr="008602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информация о наличии:</w:t>
            </w:r>
          </w:p>
          <w:p w:rsidR="00BD39FF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37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одного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контракта (договора, гражданско-правового договора) заключенного, в соответствии с Федеральными законами №44-ФЗ или №223-ФЗ в области физической охраны объектов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государственной и муниципальной собственности, при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этом цена такого контракта должна быть не менее 40% начальной (максимальной) цены контракта, указанной в настоящей документации </w:t>
            </w:r>
            <w:r w:rsidRPr="00C044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7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одного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контракта (договора, гражданско-правового договора) заключенного, в соответствии с Федеральными законами №44-ФЗ или №223-ФЗ в области физической охраны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относящихся в соответствии с Федеральны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21.07.2011 N 256-ФЗ (ред. от 24.04.2020) "О безопасности объектов топливно-энергетического комплекса"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 объектам топливно-энергетического комплекса.</w:t>
            </w:r>
          </w:p>
          <w:p w:rsidR="00BD39FF" w:rsidRPr="00860290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860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  <w:r w:rsidRPr="00860290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8602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Участником </w:t>
            </w:r>
            <w:r w:rsidRPr="00860290">
              <w:rPr>
                <w:rFonts w:ascii="Times New Roman" w:hAnsi="Times New Roman" w:cs="Times New Roman"/>
                <w:sz w:val="24"/>
                <w:szCs w:val="24"/>
              </w:rPr>
              <w:t xml:space="preserve">закупки </w:t>
            </w:r>
            <w:r w:rsidRPr="0086029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подтверждена</w:t>
            </w:r>
            <w:r w:rsidRPr="008602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информация о наличии:</w:t>
            </w:r>
          </w:p>
          <w:p w:rsidR="00BD39FF" w:rsidRPr="00860290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одного контракта (договора, гражданско-правового договора) заключенного, в соответствии с Федеральными законами №44-ФЗ или №223-ФЗ в области физической охраны объектов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государственной и муниципальной собственности, при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этом цена такого контракта должна быть не менее 40% начальной (максимальной) цены контракта, указанной в настоящей документации,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одного контракта (договора, гражданско-правового договора) заключенного, в соответствии с Федеральными законами №44-ФЗ или №223-ФЗ в области физической охраны объектов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относящихся в соответствии с Федеральны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21.07.2011 N 256-ФЗ (ред. от 24.04.2020) "О безопасности объектов топливно-энергетического комплекса"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 объектам топливно-энергетического комплекса.</w:t>
            </w:r>
          </w:p>
          <w:p w:rsidR="00BD39FF" w:rsidRPr="00860290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60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  <w:r w:rsidRPr="00860290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8602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Участником </w:t>
            </w:r>
            <w:r w:rsidRPr="0086029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8602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029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не подтверждена</w:t>
            </w:r>
            <w:r w:rsidRPr="008602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информация о наличии:</w:t>
            </w:r>
          </w:p>
          <w:p w:rsidR="00BD39FF" w:rsidRPr="003243D1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одного контракта (договора, гражданско-правового договора) заключенного, в соответствии с Федеральными законами №44-ФЗ или №223-ФЗ в области физической охраны объектов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государственной и муниципальной собственности, при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этом цена такого контракта должна быть не менее 40% начальной (максимальной) цены контракта, указанной в настоящей документации, </w:t>
            </w:r>
            <w:r w:rsidRPr="004700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одного контракта (договора, гражданско-правового договора) заключенного, в соответствии с Федеральными законами №44-ФЗ или №223-ФЗ в области физической охраны </w:t>
            </w:r>
            <w:r w:rsidRPr="0086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объектов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относящихся в соответствии с Федеральны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21.07.2011 N 256-ФЗ (ред. от 24.04.2020) "О безопасности объектов топливно-энергетического комплекса"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60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 объектам топливно-энергетического комплекса.</w:t>
            </w:r>
          </w:p>
          <w:p w:rsidR="00BD39FF" w:rsidRPr="003243D1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D39FF" w:rsidRPr="003243D1" w:rsidRDefault="00BD39FF" w:rsidP="001D5A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показателю, определяется по формуле:</w:t>
            </w:r>
          </w:p>
          <w:p w:rsidR="00BD39FF" w:rsidRPr="00B64BE4" w:rsidRDefault="00BD39FF" w:rsidP="001D5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B64BE4">
              <w:rPr>
                <w:rFonts w:ascii="Times New Roman" w:hAnsi="Times New Roman" w:cs="Times New Roman"/>
                <w:sz w:val="32"/>
                <w:szCs w:val="24"/>
              </w:rPr>
              <w:t>НЦБ</w:t>
            </w:r>
            <w:proofErr w:type="gramStart"/>
            <w:r w:rsidRPr="00B64BE4">
              <w:rPr>
                <w:rFonts w:ascii="Times New Roman" w:hAnsi="Times New Roman" w:cs="Times New Roman"/>
                <w:sz w:val="32"/>
                <w:szCs w:val="24"/>
              </w:rPr>
              <w:t>i</w:t>
            </w:r>
            <w:proofErr w:type="spellEnd"/>
            <w:r w:rsidRPr="00CD5E3C"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>2</w:t>
            </w:r>
            <w:r w:rsidRPr="00CD5E3C"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>)</w:t>
            </w:r>
            <w:r w:rsidRPr="00B64BE4">
              <w:rPr>
                <w:rFonts w:ascii="Times New Roman" w:hAnsi="Times New Roman" w:cs="Times New Roman"/>
                <w:sz w:val="32"/>
                <w:szCs w:val="24"/>
              </w:rPr>
              <w:t xml:space="preserve"> = КЗ х </w:t>
            </w:r>
            <w:proofErr w:type="spellStart"/>
            <w:r w:rsidRPr="00B64BE4">
              <w:rPr>
                <w:rFonts w:ascii="Times New Roman" w:hAnsi="Times New Roman" w:cs="Times New Roman"/>
                <w:sz w:val="32"/>
                <w:szCs w:val="24"/>
              </w:rPr>
              <w:t>Кi</w:t>
            </w:r>
            <w:proofErr w:type="spellEnd"/>
            <w:r w:rsidRPr="00B64BE4">
              <w:rPr>
                <w:rFonts w:ascii="Times New Roman" w:hAnsi="Times New Roman" w:cs="Times New Roman"/>
                <w:sz w:val="32"/>
                <w:szCs w:val="24"/>
              </w:rPr>
              <w:t>,</w:t>
            </w:r>
          </w:p>
          <w:p w:rsidR="00BD39FF" w:rsidRPr="003243D1" w:rsidRDefault="00BD39FF" w:rsidP="001D5A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:rsidR="00BD39FF" w:rsidRPr="003243D1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значимости показателя;</w:t>
            </w:r>
          </w:p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3D1">
              <w:rPr>
                <w:rFonts w:ascii="Times New Roman" w:hAnsi="Times New Roman" w:cs="Times New Roman"/>
                <w:b/>
                <w:sz w:val="24"/>
                <w:szCs w:val="24"/>
              </w:rPr>
              <w:t>Кi</w:t>
            </w:r>
            <w:proofErr w:type="spellEnd"/>
            <w:r w:rsidRPr="00324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>- значение в баллах, присуждаемое комиссией, заявке (предложению), в соответствии с установленной шкалой оценки.</w:t>
            </w:r>
          </w:p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При отсутствии в заявке на 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запросе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 и информации, предусмотренной пунктом 2.1.2. настоящего раздела документации, или признание всех таких документов и информации несоответствующими указанным пунктам, такой участник настоящего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форме,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получает «0» баллов по показателю «Опыт».</w:t>
            </w:r>
          </w:p>
        </w:tc>
      </w:tr>
      <w:tr w:rsidR="00BD39FF" w:rsidRPr="00420832" w:rsidTr="000D1C6C">
        <w:trPr>
          <w:trHeight w:val="239"/>
        </w:trPr>
        <w:tc>
          <w:tcPr>
            <w:tcW w:w="361" w:type="pct"/>
          </w:tcPr>
          <w:p w:rsidR="00BD39FF" w:rsidRPr="00420832" w:rsidRDefault="00BD39FF" w:rsidP="001D5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2.1.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pct"/>
          </w:tcPr>
          <w:p w:rsidR="00BD39FF" w:rsidRPr="00420832" w:rsidRDefault="00BD39FF" w:rsidP="001D5A3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lang w:eastAsia="ru-RU"/>
              </w:rPr>
      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оказания услуг (далее – Обеспеченность участника закупки)</w:t>
            </w:r>
          </w:p>
        </w:tc>
        <w:tc>
          <w:tcPr>
            <w:tcW w:w="3048" w:type="pct"/>
          </w:tcPr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2.1.3.1. Значимость показателя критерия оценки: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420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0%</w:t>
            </w:r>
          </w:p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2.1.3.2. При оценке по данному показателю анализируется информация об обеспеченности участника закупки материально-техническими ресурсами в части наличия у участника закупки </w:t>
            </w:r>
            <w:r w:rsidRPr="00EB6F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собственных или арендованных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помещений (комнат) для хранения оружия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Симферополя и (или) Симферопольского района, либо </w:t>
            </w: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соглашения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подразделениями </w:t>
            </w: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МВД России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Симферополю или Симферопольскому району</w:t>
            </w: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хранении оружия в соответствии с пунктом 111 Приказа МВД РФ от 12 апреля 1999 г. № 288 «О мерах по реализации постановления Правительства Российской Федерации от 21 июля 1998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454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служебного оружия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</w:t>
            </w:r>
            <w:r w:rsidRPr="001F53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</w:t>
            </w:r>
            <w:r w:rsidRPr="001F53A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собственных либо находящихся в пользовании на ином законном основании </w:t>
            </w:r>
            <w:r w:rsidRPr="00454F3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служебных автотранспортных средств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со специальной раскраской согласно Приложени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11 к постановлению Правительства Российской Федера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ции от 14 августа 1992 г. № 587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D39FF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2.1.3.3. Наличия у участника закупки материально-технических ресурсов подтверждается следующи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D39FF" w:rsidRPr="00A4042A" w:rsidRDefault="00BD39FF" w:rsidP="001D5A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 </w:t>
            </w:r>
            <w:r w:rsidR="00CC650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копия 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действующ</w:t>
            </w:r>
            <w:r w:rsidR="00CC650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его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договор</w:t>
            </w:r>
            <w:r w:rsidR="00CC650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аренды с приложением копии действующего свидетельства на право собственности 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арендодателя или выписки из Единого государственного реестра прав, заверенной подписью и печатью органа ее выдавшего, подтверждающей право собственности арендодателя, или копия действующего свидетельства на право собственности участника настоящего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или выписки из Единого государственного реестра прав, заверенной подписью и печатью органа ее выдавшего, подтверждающей право собственности участника настоящего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, или иные документы подтверждающие право собственности с указанием наименования собственника;</w:t>
            </w:r>
          </w:p>
          <w:p w:rsidR="00BD39FF" w:rsidRPr="00A4042A" w:rsidRDefault="00BD39FF" w:rsidP="001D5A34">
            <w:pPr>
              <w:widowControl w:val="0"/>
              <w:suppressAutoHyphens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4042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 </w:t>
            </w:r>
            <w:r w:rsidR="00CC650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копия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кт</w:t>
            </w:r>
            <w:r w:rsidR="00CC650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обследования помещения КХО комиссией МВД/уполномоченного органа</w:t>
            </w:r>
            <w:r w:rsidRPr="00A4042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D39FF" w:rsidRDefault="00BD39FF" w:rsidP="001D5A34">
            <w:pPr>
              <w:widowControl w:val="0"/>
              <w:suppressAutoHyphens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8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</w:t>
            </w:r>
            <w:r w:rsidRPr="00AB29F9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договор</w:t>
            </w:r>
            <w:r w:rsidR="00586A74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B29F9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со всеми приложениями и дополнениями на оказание услуг по централизованной охране КХО и охраны с помощью тревожной сигнализации</w:t>
            </w:r>
          </w:p>
          <w:p w:rsidR="00BD39FF" w:rsidRPr="00AB29F9" w:rsidRDefault="00BD39FF" w:rsidP="001D5A34">
            <w:pPr>
              <w:widowControl w:val="0"/>
              <w:suppressAutoHyphens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либо </w:t>
            </w:r>
            <w:r w:rsidR="0058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</w:t>
            </w: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</w:t>
            </w:r>
            <w:r w:rsidR="0058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подразделением</w:t>
            </w: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 России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Симферополю или Симферопольскому району</w:t>
            </w: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хранении оружия в соответствии с пунктом 111 Приказа МВД РФ от 12 апреля 1999 г. № 288 «О мерах по реализации постановления Правительства Российской Федерации от 21 июля 1998 г. № 814</w:t>
            </w:r>
            <w:r w:rsidRPr="00AB29F9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D39FF" w:rsidRDefault="00BD39FF" w:rsidP="001D5A34">
            <w:pPr>
              <w:widowControl w:val="0"/>
              <w:suppressAutoHyphens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 </w:t>
            </w:r>
            <w:r w:rsidR="00586A74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копия 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разрешени</w:t>
            </w:r>
            <w:r w:rsidR="00586A74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я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на хранение и использование служебного оружия и боеприпасов к нему (Далее - РХИ), со списком номерного учета</w:t>
            </w:r>
            <w:r w:rsidRPr="00AB29F9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D39FF" w:rsidRPr="003243D1" w:rsidRDefault="00BD39FF" w:rsidP="001D5A34">
            <w:pPr>
              <w:widowControl w:val="0"/>
              <w:suppressAutoHyphens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- копия паспорта транспортного средства или выписка из электронного паспорта транспортного средства;</w:t>
            </w:r>
          </w:p>
          <w:p w:rsidR="00BD39FF" w:rsidRDefault="00BD39FF" w:rsidP="001D5A34">
            <w:pPr>
              <w:widowControl w:val="0"/>
              <w:suppressAutoHyphens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- копия свидетельства о гос. регистрации транспортного средства;</w:t>
            </w:r>
            <w:r w:rsidRPr="00AB29F9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BD39FF" w:rsidRPr="003243D1" w:rsidRDefault="00BD39FF" w:rsidP="001D5A34">
            <w:pPr>
              <w:widowControl w:val="0"/>
              <w:suppressAutoHyphens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B29F9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 </w:t>
            </w:r>
            <w:r w:rsidR="00586A74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копия 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договора аренды автотранспортных средств (в случае аренды) и прочих документов в соответствии с пунктом 27.4 Административного регламента МВД Российской Федерации по предоставлению государственной услуги по регистрации транспортных средств (утв. Приказом МВД России от 21.12.2019 №950);</w:t>
            </w:r>
          </w:p>
          <w:p w:rsidR="00BD39FF" w:rsidRPr="003243D1" w:rsidRDefault="00BD39FF" w:rsidP="001D5A34">
            <w:pPr>
              <w:widowControl w:val="0"/>
              <w:suppressAutoHyphens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 фотографиями транспортного средства с читаемыми информационными надписями и знаками, позволяющими определить принадлежность транспортного средства участнику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, и государственным номерным знаком;</w:t>
            </w:r>
          </w:p>
          <w:p w:rsidR="00BD39FF" w:rsidRPr="003243D1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.4. Порядок определения баллов по показателю «Обеспеченность участника закупки»:</w:t>
            </w:r>
          </w:p>
          <w:p w:rsidR="00BD39FF" w:rsidRPr="003243D1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закупки </w:t>
            </w:r>
            <w:r w:rsidRPr="003243D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подтверждена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информация о наличии:</w:t>
            </w:r>
          </w:p>
          <w:p w:rsidR="00BD39FF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не менее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двух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 собственных либо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находящихся в пользовании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ином законном основании служебных 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автотранспортных средств, со специальной раскраской согласно Приложение N 11 к постановлению Правительства Российской Федерации от 14 августа 1992 г. № 587;</w:t>
            </w:r>
          </w:p>
          <w:p w:rsidR="00BD39FF" w:rsidRPr="00B01EA2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наличие не менее одной единицы служебного оружия (для групп быстрого реагирования, усиления объектов охраны)</w:t>
            </w:r>
            <w:r w:rsidRPr="00B01E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BD39FF" w:rsidRPr="003243D1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bookmarkStart w:id="0" w:name="_GoBack"/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введённого в эксплуатацию собственного </w:t>
            </w:r>
            <w:bookmarkEnd w:id="0"/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или арендованного помещения (комнаты) для хранения оружия (далее - КХО), расположенного </w:t>
            </w:r>
            <w:r w:rsidRPr="000560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территории г. Симферополя и (или) Симферопольского района либо соглашения с МВД России по г. Симферополю или Си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мферопольскому району</w:t>
            </w:r>
            <w:r w:rsidRPr="000560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 хранении оружия в соответствии с пунктом 111 Приказа МВД РФ от 12 апреля 1999 г. № 288 «О мерах по реализации постановления Правительства Российской Федерации от 21 июля 1998 г. № 814.</w:t>
            </w:r>
          </w:p>
          <w:p w:rsidR="00BD39FF" w:rsidRPr="003243D1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43D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не подтверждена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информация о наличии:</w:t>
            </w:r>
          </w:p>
          <w:p w:rsidR="00BD39FF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не менее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двух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собственных либо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находящихся в пользовании 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ином законном основании служебных автотранспортных средств, со специальной раскраской согласно Приложени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N 11 к постановлению Правительства Российской Федерации от 14 августа 1992 г. № 587;</w:t>
            </w:r>
          </w:p>
          <w:p w:rsidR="00BD39FF" w:rsidRPr="003243D1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наличие не менее одной единицы служебного оружия (для групп быстрого реагирования, усиления объектов охраны)</w:t>
            </w:r>
            <w:r w:rsidRPr="00B01E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BD39FF" w:rsidRPr="003243D1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введённого в эксплуатацию собственного или арендованного помещения (комнаты) для хранения оружия (далее - КХО), расположенного </w:t>
            </w:r>
            <w:r w:rsidRPr="000560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территории г. Симферополя и (или) Симферопольского района либо соглашения с МВД России по г. Симферополю или Симферопольского района о хранении оружия в соответствии с пунктом 111 Приказа МВД РФ от 12 апреля 1999 г. № 288 «О мерах по реализации постановления Правительства Российской Федерации от 21 июля 1998 г. № 814.</w:t>
            </w:r>
          </w:p>
          <w:p w:rsidR="00BD39FF" w:rsidRPr="003243D1" w:rsidRDefault="00BD39FF" w:rsidP="001D5A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показателю, определяется по формуле:</w:t>
            </w:r>
          </w:p>
          <w:p w:rsidR="00BD39FF" w:rsidRPr="00B64BE4" w:rsidRDefault="00BD39FF" w:rsidP="001D5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B64BE4">
              <w:rPr>
                <w:rFonts w:ascii="Times New Roman" w:hAnsi="Times New Roman" w:cs="Times New Roman"/>
                <w:sz w:val="32"/>
                <w:szCs w:val="24"/>
              </w:rPr>
              <w:t>НЦБ</w:t>
            </w:r>
            <w:proofErr w:type="gramStart"/>
            <w:r w:rsidRPr="00B64BE4">
              <w:rPr>
                <w:rFonts w:ascii="Times New Roman" w:hAnsi="Times New Roman" w:cs="Times New Roman"/>
                <w:sz w:val="32"/>
                <w:szCs w:val="24"/>
              </w:rPr>
              <w:t>i</w:t>
            </w:r>
            <w:proofErr w:type="spellEnd"/>
            <w:r w:rsidRPr="00CD5E3C"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>3</w:t>
            </w:r>
            <w:r w:rsidRPr="00CD5E3C"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>)</w:t>
            </w:r>
            <w:r w:rsidRPr="00B64BE4">
              <w:rPr>
                <w:rFonts w:ascii="Times New Roman" w:hAnsi="Times New Roman" w:cs="Times New Roman"/>
                <w:sz w:val="32"/>
                <w:szCs w:val="24"/>
              </w:rPr>
              <w:t xml:space="preserve"> = КЗ х </w:t>
            </w:r>
            <w:proofErr w:type="spellStart"/>
            <w:r w:rsidRPr="00B64BE4">
              <w:rPr>
                <w:rFonts w:ascii="Times New Roman" w:hAnsi="Times New Roman" w:cs="Times New Roman"/>
                <w:sz w:val="32"/>
                <w:szCs w:val="24"/>
              </w:rPr>
              <w:t>Кi</w:t>
            </w:r>
            <w:proofErr w:type="spellEnd"/>
            <w:r w:rsidRPr="00B64BE4">
              <w:rPr>
                <w:rFonts w:ascii="Times New Roman" w:hAnsi="Times New Roman" w:cs="Times New Roman"/>
                <w:sz w:val="32"/>
                <w:szCs w:val="24"/>
              </w:rPr>
              <w:t>,</w:t>
            </w:r>
          </w:p>
          <w:p w:rsidR="00BD39FF" w:rsidRPr="003243D1" w:rsidRDefault="00BD39FF" w:rsidP="001D5A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:rsidR="00BD39FF" w:rsidRPr="003243D1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1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значимости показателя;</w:t>
            </w:r>
          </w:p>
          <w:p w:rsidR="00BD39FF" w:rsidRPr="003243D1" w:rsidRDefault="00BD39FF" w:rsidP="001D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3D1">
              <w:rPr>
                <w:rFonts w:ascii="Times New Roman" w:hAnsi="Times New Roman" w:cs="Times New Roman"/>
                <w:b/>
                <w:sz w:val="24"/>
                <w:szCs w:val="24"/>
              </w:rPr>
              <w:t>Кi</w:t>
            </w:r>
            <w:proofErr w:type="spellEnd"/>
            <w:r w:rsidRPr="00324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3D1">
              <w:rPr>
                <w:rFonts w:ascii="Times New Roman" w:hAnsi="Times New Roman" w:cs="Times New Roman"/>
                <w:sz w:val="24"/>
                <w:szCs w:val="24"/>
              </w:rPr>
              <w:t>- значение в баллах, присуждаемое комиссией, заявке (предложению), в соответствии с установленной шкалой оценки.</w:t>
            </w:r>
          </w:p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2.1.3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.5. При отсутствии в заявке на 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информации предусмотренной пунктом 2.1.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настоящего раздела документации или признание всей информации несоответствующей указанным пунктам, такой участник настоящего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43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получает «0» баллов по показателю «Обеспеченность участника закупки».</w:t>
            </w:r>
          </w:p>
        </w:tc>
      </w:tr>
      <w:tr w:rsidR="00BD39FF" w:rsidRPr="00420832" w:rsidTr="000D1C6C">
        <w:trPr>
          <w:trHeight w:val="4722"/>
        </w:trPr>
        <w:tc>
          <w:tcPr>
            <w:tcW w:w="361" w:type="pct"/>
          </w:tcPr>
          <w:p w:rsidR="00BD39FF" w:rsidRPr="00420832" w:rsidRDefault="00BD39FF" w:rsidP="001D5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1591" w:type="pct"/>
          </w:tcPr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проведения оценки</w:t>
            </w:r>
          </w:p>
        </w:tc>
        <w:tc>
          <w:tcPr>
            <w:tcW w:w="3048" w:type="pct"/>
          </w:tcPr>
          <w:p w:rsidR="00BD39FF" w:rsidRPr="00420832" w:rsidRDefault="00BD39FF" w:rsidP="001D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случае, если по показателям критериев оценки заявок на 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запросе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установлено предельно необходимое максимальное значение для соответствующего показателя участником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подано значение, превышающее предельно необходимое максимальное значение по соответствующему показателю, комиссия по осуществлению закупок рассматривает документы участника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момента принятия решения о соответствии установленному предельно необходимому максимальному значению. Остальные документы участника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 предложений в электронной форме</w:t>
            </w:r>
            <w:r w:rsidRPr="0042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превышающие предельно необходимое максимальное значение по соответствующему показателю, комиссией по осуществлению закупок не рассматриваются и не учитываются при оценке заявок на 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запросе предложений в электронной форме</w:t>
            </w:r>
          </w:p>
        </w:tc>
      </w:tr>
    </w:tbl>
    <w:p w:rsidR="00BD39FF" w:rsidRPr="00EA1F5C" w:rsidRDefault="00BD39FF" w:rsidP="00BD39FF">
      <w:pPr>
        <w:spacing w:after="0" w:line="36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C82B7E" w:rsidRPr="00BD39FF" w:rsidRDefault="00C82B7E" w:rsidP="00BD39FF"/>
    <w:sectPr w:rsidR="00C82B7E" w:rsidRPr="00BD39FF" w:rsidSect="00C82B7E">
      <w:pgSz w:w="12240" w:h="15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25C6"/>
    <w:multiLevelType w:val="multilevel"/>
    <w:tmpl w:val="096CE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7EDA3CA2"/>
    <w:multiLevelType w:val="hybridMultilevel"/>
    <w:tmpl w:val="22AC8C6C"/>
    <w:lvl w:ilvl="0" w:tplc="DA626C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0CE"/>
    <w:rsid w:val="0009535F"/>
    <w:rsid w:val="000A4739"/>
    <w:rsid w:val="000A7E76"/>
    <w:rsid w:val="000D1C6C"/>
    <w:rsid w:val="000E28DD"/>
    <w:rsid w:val="001342BA"/>
    <w:rsid w:val="00154950"/>
    <w:rsid w:val="00177A0B"/>
    <w:rsid w:val="001A478F"/>
    <w:rsid w:val="001E4D03"/>
    <w:rsid w:val="001F3BF0"/>
    <w:rsid w:val="0020569F"/>
    <w:rsid w:val="002450FA"/>
    <w:rsid w:val="003016E4"/>
    <w:rsid w:val="00307E12"/>
    <w:rsid w:val="00332BC5"/>
    <w:rsid w:val="00347AC9"/>
    <w:rsid w:val="003C3A5F"/>
    <w:rsid w:val="003D28DE"/>
    <w:rsid w:val="003E30CE"/>
    <w:rsid w:val="003F210F"/>
    <w:rsid w:val="00422B6E"/>
    <w:rsid w:val="00453FD0"/>
    <w:rsid w:val="00492ECE"/>
    <w:rsid w:val="004E79D6"/>
    <w:rsid w:val="00560518"/>
    <w:rsid w:val="00580C36"/>
    <w:rsid w:val="00586A74"/>
    <w:rsid w:val="005E52C4"/>
    <w:rsid w:val="005F60BE"/>
    <w:rsid w:val="00656AA2"/>
    <w:rsid w:val="00692BA4"/>
    <w:rsid w:val="007A5FDD"/>
    <w:rsid w:val="007B1382"/>
    <w:rsid w:val="008043B1"/>
    <w:rsid w:val="00813C32"/>
    <w:rsid w:val="00822F1F"/>
    <w:rsid w:val="00830EE0"/>
    <w:rsid w:val="00856A6E"/>
    <w:rsid w:val="008706AC"/>
    <w:rsid w:val="008A3342"/>
    <w:rsid w:val="008A75FE"/>
    <w:rsid w:val="008C20A6"/>
    <w:rsid w:val="008D206B"/>
    <w:rsid w:val="00946D93"/>
    <w:rsid w:val="00974ED2"/>
    <w:rsid w:val="009A6B13"/>
    <w:rsid w:val="009B5F3A"/>
    <w:rsid w:val="009F0CFF"/>
    <w:rsid w:val="00A20F13"/>
    <w:rsid w:val="00A56159"/>
    <w:rsid w:val="00AA2504"/>
    <w:rsid w:val="00B27BD5"/>
    <w:rsid w:val="00B5061F"/>
    <w:rsid w:val="00B523E9"/>
    <w:rsid w:val="00BA51D0"/>
    <w:rsid w:val="00BD39FF"/>
    <w:rsid w:val="00BD46A7"/>
    <w:rsid w:val="00BD6924"/>
    <w:rsid w:val="00C112C8"/>
    <w:rsid w:val="00C3609F"/>
    <w:rsid w:val="00C82B7E"/>
    <w:rsid w:val="00C853DD"/>
    <w:rsid w:val="00CC6505"/>
    <w:rsid w:val="00D07C9B"/>
    <w:rsid w:val="00D33870"/>
    <w:rsid w:val="00D474BC"/>
    <w:rsid w:val="00DD1267"/>
    <w:rsid w:val="00DD3C42"/>
    <w:rsid w:val="00E17448"/>
    <w:rsid w:val="00E659C8"/>
    <w:rsid w:val="00EA41AE"/>
    <w:rsid w:val="00EB743D"/>
    <w:rsid w:val="00EE40FB"/>
    <w:rsid w:val="00EE6BF1"/>
    <w:rsid w:val="00F2495F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85F99"/>
  <w15:docId w15:val="{4C812A9E-2D0D-44CF-972E-92025F1A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3"/>
    <w:qFormat/>
    <w:rsid w:val="003E30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3">
    <w:name w:val="List Paragraph Char3"/>
    <w:link w:val="1"/>
    <w:locked/>
    <w:rsid w:val="003E3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5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06B"/>
    <w:rPr>
      <w:color w:val="0563C1" w:themeColor="hyperlink"/>
      <w:u w:val="single"/>
    </w:rPr>
  </w:style>
  <w:style w:type="character" w:styleId="a5">
    <w:name w:val="Subtle Emphasis"/>
    <w:uiPriority w:val="19"/>
    <w:qFormat/>
    <w:rsid w:val="00AA250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11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Щирова Юлия Александровна</cp:lastModifiedBy>
  <cp:revision>58</cp:revision>
  <dcterms:created xsi:type="dcterms:W3CDTF">2020-07-21T19:56:00Z</dcterms:created>
  <dcterms:modified xsi:type="dcterms:W3CDTF">2021-01-15T11:05:00Z</dcterms:modified>
</cp:coreProperties>
</file>