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419"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74474764" wp14:editId="6D8ACC4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88CB3" w14:textId="77777777" w:rsidR="00527199" w:rsidRPr="00527199" w:rsidRDefault="00527199" w:rsidP="00527199">
      <w:pPr>
        <w:spacing w:after="0"/>
        <w:jc w:val="right"/>
        <w:rPr>
          <w:rFonts w:ascii="Times New Roman" w:hAnsi="Times New Roman" w:cs="Times New Roman"/>
          <w:i/>
          <w:sz w:val="24"/>
          <w:szCs w:val="24"/>
          <w:highlight w:val="yellow"/>
        </w:rPr>
      </w:pPr>
    </w:p>
    <w:p w14:paraId="7F1A6BCA" w14:textId="77777777" w:rsidR="00527199" w:rsidRPr="00527199" w:rsidRDefault="00527199" w:rsidP="00527199">
      <w:pPr>
        <w:spacing w:after="0"/>
        <w:jc w:val="right"/>
        <w:rPr>
          <w:rFonts w:ascii="Times New Roman" w:hAnsi="Times New Roman" w:cs="Times New Roman"/>
          <w:i/>
          <w:sz w:val="24"/>
          <w:szCs w:val="24"/>
          <w:highlight w:val="yellow"/>
        </w:rPr>
      </w:pPr>
    </w:p>
    <w:p w14:paraId="33A63080"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99F6BC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3F5890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D95C68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5EEEB3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9C338B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645944"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C15ECB" w14:textId="77777777" w:rsidR="006618ED" w:rsidRDefault="006618ED" w:rsidP="006618ED">
      <w:pPr>
        <w:pStyle w:val="text"/>
        <w:rPr>
          <w:lang w:eastAsia="en-US" w:bidi="ar-SA"/>
        </w:rPr>
      </w:pPr>
    </w:p>
    <w:p w14:paraId="325E6A76" w14:textId="77777777" w:rsidR="006618ED" w:rsidRDefault="006618ED" w:rsidP="006618ED">
      <w:pPr>
        <w:pStyle w:val="text"/>
        <w:rPr>
          <w:lang w:eastAsia="en-US" w:bidi="ar-SA"/>
        </w:rPr>
      </w:pPr>
    </w:p>
    <w:p w14:paraId="6B270D1A" w14:textId="77777777" w:rsidR="006618ED" w:rsidRPr="006618ED" w:rsidRDefault="006618ED" w:rsidP="006618ED">
      <w:pPr>
        <w:pStyle w:val="text"/>
        <w:rPr>
          <w:lang w:eastAsia="en-US" w:bidi="ar-SA"/>
        </w:rPr>
      </w:pPr>
    </w:p>
    <w:p w14:paraId="542E8F4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93BD2A4"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C9F5E" w14:textId="77777777" w:rsidR="00B63034" w:rsidRPr="00B63034" w:rsidRDefault="00B63034" w:rsidP="00B63034">
      <w:pPr>
        <w:pStyle w:val="text"/>
        <w:rPr>
          <w:lang w:eastAsia="en-US" w:bidi="ar-SA"/>
        </w:rPr>
      </w:pPr>
    </w:p>
    <w:p w14:paraId="2A4A9F0F" w14:textId="77777777" w:rsidR="00B63034" w:rsidRPr="00B63034" w:rsidRDefault="00B63034" w:rsidP="00B63034">
      <w:pPr>
        <w:pStyle w:val="text"/>
        <w:rPr>
          <w:lang w:eastAsia="en-US" w:bidi="ar-SA"/>
        </w:rPr>
      </w:pPr>
    </w:p>
    <w:p w14:paraId="0BC4C7FC"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738D79B"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7AB40C9A"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854721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AA9F03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47049B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C9AB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C5578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BB531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B70A2E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B256AAE"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7A5FFE"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2C1516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5C33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51F9619"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67CE1A2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8CDC7D8"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3978917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17186ED"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52263C"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991BA76"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66AB4BEF"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548CEE75" w14:textId="77777777"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7"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14:paraId="3DA4E827"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7A6AFE59" w14:textId="51965834"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724121" w:rsidRPr="00F93267">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7811E3" w:rsidRPr="007811E3">
        <w:rPr>
          <w:rFonts w:ascii="Bookman Old Style" w:eastAsiaTheme="minorHAnsi" w:hAnsi="Bookman Old Style" w:cstheme="minorBidi"/>
          <w:b/>
          <w:color w:val="000000"/>
          <w:kern w:val="0"/>
          <w:sz w:val="22"/>
          <w:szCs w:val="22"/>
          <w:shd w:val="clear" w:color="auto" w:fill="FFFFFF"/>
          <w:lang w:eastAsia="en-US" w:bidi="ar-SA"/>
        </w:rPr>
        <w:t xml:space="preserve">ЗИП для </w:t>
      </w:r>
      <w:r w:rsidR="009F12FC">
        <w:rPr>
          <w:rFonts w:ascii="Bookman Old Style" w:eastAsiaTheme="minorHAnsi" w:hAnsi="Bookman Old Style" w:cstheme="minorBidi"/>
          <w:b/>
          <w:color w:val="000000"/>
          <w:kern w:val="0"/>
          <w:sz w:val="22"/>
          <w:szCs w:val="22"/>
          <w:shd w:val="clear" w:color="auto" w:fill="FFFFFF"/>
          <w:lang w:eastAsia="en-US" w:bidi="ar-SA"/>
        </w:rPr>
        <w:t xml:space="preserve">умного дома </w:t>
      </w:r>
      <w:r w:rsidR="009F12FC">
        <w:rPr>
          <w:rFonts w:ascii="Bookman Old Style" w:eastAsiaTheme="minorHAnsi" w:hAnsi="Bookman Old Style" w:cstheme="minorBidi"/>
          <w:b/>
          <w:color w:val="000000"/>
          <w:kern w:val="0"/>
          <w:sz w:val="22"/>
          <w:szCs w:val="22"/>
          <w:shd w:val="clear" w:color="auto" w:fill="FFFFFF"/>
          <w:lang w:val="en-US" w:eastAsia="en-US" w:bidi="ar-SA"/>
        </w:rPr>
        <w:t>LUTRON</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14:paraId="75ACA8E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BD85019"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3485D97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F4E3A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6CF533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B7557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4657A2AE"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08DA3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0DA8EE4A"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4CA5318"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0E27AC4"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B8C69C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740BCB" w14:paraId="7B14BC21" w14:textId="77777777" w:rsidTr="0095264B">
        <w:tc>
          <w:tcPr>
            <w:tcW w:w="709" w:type="dxa"/>
            <w:shd w:val="clear" w:color="auto" w:fill="auto"/>
            <w:vAlign w:val="center"/>
          </w:tcPr>
          <w:p w14:paraId="24C2B017"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п/п</w:t>
            </w:r>
          </w:p>
        </w:tc>
        <w:tc>
          <w:tcPr>
            <w:tcW w:w="1869" w:type="dxa"/>
            <w:shd w:val="clear" w:color="auto" w:fill="auto"/>
            <w:vAlign w:val="center"/>
          </w:tcPr>
          <w:p w14:paraId="5BEA3B8E"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Наименование товара</w:t>
            </w:r>
          </w:p>
        </w:tc>
        <w:tc>
          <w:tcPr>
            <w:tcW w:w="1289" w:type="dxa"/>
            <w:shd w:val="clear" w:color="auto" w:fill="auto"/>
            <w:vAlign w:val="center"/>
          </w:tcPr>
          <w:p w14:paraId="43FBACE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14:paraId="29263606"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14:paraId="39F35EEB"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488D35F0"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6C5B067C"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7811E3" w:rsidRPr="0095264B" w14:paraId="6CB30908" w14:textId="77777777" w:rsidTr="00955146">
        <w:trPr>
          <w:trHeight w:val="799"/>
        </w:trPr>
        <w:tc>
          <w:tcPr>
            <w:tcW w:w="709" w:type="dxa"/>
            <w:shd w:val="clear" w:color="auto" w:fill="auto"/>
            <w:vAlign w:val="center"/>
          </w:tcPr>
          <w:p w14:paraId="65822C35" w14:textId="77777777" w:rsidR="007811E3" w:rsidRPr="00740BCB"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bottom"/>
          </w:tcPr>
          <w:p w14:paraId="4DE6CE96" w14:textId="00EB8A2A" w:rsidR="007811E3"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LQSE-4M-D (моторный модуль)</w:t>
            </w:r>
          </w:p>
        </w:tc>
        <w:tc>
          <w:tcPr>
            <w:tcW w:w="1289" w:type="dxa"/>
            <w:shd w:val="clear" w:color="auto" w:fill="auto"/>
            <w:vAlign w:val="bottom"/>
          </w:tcPr>
          <w:p w14:paraId="2A902876" w14:textId="77777777" w:rsidR="007811E3" w:rsidRPr="007811E3" w:rsidRDefault="007811E3"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shd w:val="clear" w:color="auto" w:fill="auto"/>
            <w:vAlign w:val="bottom"/>
          </w:tcPr>
          <w:p w14:paraId="776CF3C8" w14:textId="67202DD8" w:rsidR="007811E3"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w:t>
            </w:r>
          </w:p>
        </w:tc>
        <w:tc>
          <w:tcPr>
            <w:tcW w:w="2267" w:type="dxa"/>
            <w:shd w:val="clear" w:color="auto" w:fill="auto"/>
            <w:vAlign w:val="bottom"/>
          </w:tcPr>
          <w:p w14:paraId="29D13359" w14:textId="01375EF9" w:rsidR="007811E3"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https://lutrade.ru/category-avtomatizaciya/category-lutron/hwqs-relay-dimmers/lutron-lqse-4m-d-motornyy-modul-8-kanalnyy-dlya-ustanovki-na-din-reyku</w:t>
            </w:r>
          </w:p>
        </w:tc>
        <w:tc>
          <w:tcPr>
            <w:tcW w:w="2100" w:type="dxa"/>
            <w:vAlign w:val="center"/>
          </w:tcPr>
          <w:p w14:paraId="59ABA231" w14:textId="77777777" w:rsidR="007811E3" w:rsidRPr="00B63034"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vAlign w:val="center"/>
          </w:tcPr>
          <w:p w14:paraId="287A08DF" w14:textId="77777777" w:rsidR="007811E3" w:rsidRPr="00740BCB"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7811E3" w:rsidRPr="0095264B" w14:paraId="7C33265D" w14:textId="77777777" w:rsidTr="00955146">
        <w:trPr>
          <w:trHeight w:val="799"/>
        </w:trPr>
        <w:tc>
          <w:tcPr>
            <w:tcW w:w="709" w:type="dxa"/>
            <w:shd w:val="clear" w:color="auto" w:fill="auto"/>
            <w:vAlign w:val="center"/>
          </w:tcPr>
          <w:p w14:paraId="2B6E76B0" w14:textId="77777777" w:rsidR="007811E3" w:rsidRPr="00740BCB"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869" w:type="dxa"/>
            <w:shd w:val="clear" w:color="auto" w:fill="auto"/>
            <w:vAlign w:val="bottom"/>
          </w:tcPr>
          <w:p w14:paraId="47CBFE4D" w14:textId="45443246" w:rsidR="007811E3"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LQSE-4S10-D (релейный модуль)</w:t>
            </w:r>
          </w:p>
        </w:tc>
        <w:tc>
          <w:tcPr>
            <w:tcW w:w="1289" w:type="dxa"/>
            <w:shd w:val="clear" w:color="auto" w:fill="auto"/>
            <w:vAlign w:val="bottom"/>
          </w:tcPr>
          <w:p w14:paraId="77E7AAEF" w14:textId="77777777" w:rsidR="007811E3" w:rsidRPr="007811E3" w:rsidRDefault="007811E3"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shd w:val="clear" w:color="auto" w:fill="auto"/>
            <w:vAlign w:val="bottom"/>
          </w:tcPr>
          <w:p w14:paraId="0D95804C" w14:textId="644988E9" w:rsidR="007811E3"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2</w:t>
            </w:r>
          </w:p>
        </w:tc>
        <w:tc>
          <w:tcPr>
            <w:tcW w:w="2267" w:type="dxa"/>
            <w:shd w:val="clear" w:color="auto" w:fill="auto"/>
            <w:vAlign w:val="bottom"/>
          </w:tcPr>
          <w:p w14:paraId="3B67A59F" w14:textId="50E19EB4" w:rsidR="007811E3"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https://lutrade.ru/category-avtomatizaciya/category-lutron/hwqs-relay-dimmers/lutron-lqse-4s10-d-4-kanalnyy-releynyy-modul-dlya-ustanovki-na-din-reyku</w:t>
            </w:r>
          </w:p>
        </w:tc>
        <w:tc>
          <w:tcPr>
            <w:tcW w:w="2100" w:type="dxa"/>
            <w:vAlign w:val="center"/>
          </w:tcPr>
          <w:p w14:paraId="12499F94" w14:textId="77777777" w:rsidR="007811E3" w:rsidRPr="00B63034"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vAlign w:val="center"/>
          </w:tcPr>
          <w:p w14:paraId="2D7BA9F0" w14:textId="77777777" w:rsidR="007811E3" w:rsidRPr="00740BCB" w:rsidRDefault="007811E3"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368E48EC"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A54710" w14:textId="21F9A251"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09A40602" w14:textId="62729804" w:rsidR="009F12FC" w:rsidRPr="009F12FC" w:rsidRDefault="009F12FC" w:rsidP="009F12FC">
            <w:pPr>
              <w:jc w:val="center"/>
              <w:rPr>
                <w:rFonts w:ascii="Bookman Old Style" w:hAnsi="Bookman Old Style"/>
                <w:color w:val="000000"/>
                <w:sz w:val="18"/>
                <w:shd w:val="clear" w:color="auto" w:fill="FFFFFF"/>
                <w:lang w:val="en-US"/>
              </w:rPr>
            </w:pPr>
            <w:r w:rsidRPr="009F12FC">
              <w:rPr>
                <w:rFonts w:ascii="Bookman Old Style" w:hAnsi="Bookman Old Style"/>
                <w:color w:val="000000"/>
                <w:sz w:val="18"/>
                <w:shd w:val="clear" w:color="auto" w:fill="FFFFFF"/>
                <w:lang w:val="en-US"/>
              </w:rPr>
              <w:t>Lutron LQSE-2DAL-D (</w:t>
            </w:r>
            <w:r w:rsidRPr="009F12FC">
              <w:rPr>
                <w:rFonts w:ascii="Bookman Old Style" w:hAnsi="Bookman Old Style"/>
                <w:color w:val="000000"/>
                <w:sz w:val="18"/>
                <w:shd w:val="clear" w:color="auto" w:fill="FFFFFF"/>
              </w:rPr>
              <w:t>модуль</w:t>
            </w:r>
            <w:r w:rsidRPr="009F12FC">
              <w:rPr>
                <w:rFonts w:ascii="Bookman Old Style" w:hAnsi="Bookman Old Style"/>
                <w:color w:val="000000"/>
                <w:sz w:val="18"/>
                <w:shd w:val="clear" w:color="auto" w:fill="FFFFFF"/>
                <w:lang w:val="en-US"/>
              </w:rPr>
              <w:t>-</w:t>
            </w:r>
            <w:r w:rsidRPr="009F12FC">
              <w:rPr>
                <w:rFonts w:ascii="Bookman Old Style" w:hAnsi="Bookman Old Style"/>
                <w:color w:val="000000"/>
                <w:sz w:val="18"/>
                <w:shd w:val="clear" w:color="auto" w:fill="FFFFFF"/>
              </w:rPr>
              <w:t>шлюз</w:t>
            </w:r>
            <w:r w:rsidRPr="009F12FC">
              <w:rPr>
                <w:rFonts w:ascii="Bookman Old Style" w:hAnsi="Bookman Old Style"/>
                <w:color w:val="000000"/>
                <w:sz w:val="18"/>
                <w:shd w:val="clear" w:color="auto" w:fill="FFFFFF"/>
                <w:lang w:val="en-US"/>
              </w:rPr>
              <w:t xml:space="preserve"> QS Link-DALI)</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487425B"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04098FC7" w14:textId="613EB076"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7DDD7C5D" w14:textId="489BCA0E"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https://lutrade.ru/category-avtomatizaciya/category-lutron/hwqs-gateway/lutron-lqse-2dal-d-modul-shlyuz-qs-link-dali-2-linii-po-64-ballasta-kazhdaya-</w:t>
            </w:r>
          </w:p>
        </w:tc>
        <w:tc>
          <w:tcPr>
            <w:tcW w:w="2100" w:type="dxa"/>
            <w:tcBorders>
              <w:top w:val="single" w:sz="4" w:space="0" w:color="auto"/>
              <w:left w:val="single" w:sz="4" w:space="0" w:color="auto"/>
              <w:bottom w:val="single" w:sz="4" w:space="0" w:color="auto"/>
              <w:right w:val="single" w:sz="4" w:space="0" w:color="auto"/>
            </w:tcBorders>
            <w:vAlign w:val="center"/>
          </w:tcPr>
          <w:p w14:paraId="34F8E908"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4C10AB73"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71246F00"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906007" w14:textId="7F7E66F1"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CC09B4C" w14:textId="72F3E71D" w:rsidR="009F12FC"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HQP6-2 (процессор системы автоматизации)</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41299A3"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89CD2B1" w14:textId="11F64B75"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534B86EC" w14:textId="75F04EF4"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https://lutrade.ru/category-avtomatizaciya/category-lutron/kategory-lutron-processors-interface/lutron-hqp6-2-homeworks-qs-processor-sistemy-avtomatizacii</w:t>
            </w:r>
          </w:p>
        </w:tc>
        <w:tc>
          <w:tcPr>
            <w:tcW w:w="2100" w:type="dxa"/>
            <w:tcBorders>
              <w:top w:val="single" w:sz="4" w:space="0" w:color="auto"/>
              <w:left w:val="single" w:sz="4" w:space="0" w:color="auto"/>
              <w:bottom w:val="single" w:sz="4" w:space="0" w:color="auto"/>
              <w:right w:val="single" w:sz="4" w:space="0" w:color="auto"/>
            </w:tcBorders>
            <w:vAlign w:val="center"/>
          </w:tcPr>
          <w:p w14:paraId="1383F589"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486F4E87"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6A4C7F3E"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34AAA" w14:textId="4B7F6C89"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5</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8141261" w14:textId="67400B6C" w:rsidR="009F12FC"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QSPS-DH-1-75-H (блок питания шины QS Link)</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511FD09"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7E252E63" w14:textId="1F03224D"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73719049" w14:textId="5D89E2F0"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https://lutrade.ru/category-avtomatizaciya/category-lutron/hwqs-power-supply/lutron-qsps-dh-1-75-blok-pitaniya-shiny-qs-link</w:t>
            </w:r>
          </w:p>
        </w:tc>
        <w:tc>
          <w:tcPr>
            <w:tcW w:w="2100" w:type="dxa"/>
            <w:tcBorders>
              <w:top w:val="single" w:sz="4" w:space="0" w:color="auto"/>
              <w:left w:val="single" w:sz="4" w:space="0" w:color="auto"/>
              <w:bottom w:val="single" w:sz="4" w:space="0" w:color="auto"/>
              <w:right w:val="single" w:sz="4" w:space="0" w:color="auto"/>
            </w:tcBorders>
            <w:vAlign w:val="center"/>
          </w:tcPr>
          <w:p w14:paraId="66B93854"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6AB2D970"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07EC24E0"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A5A66" w14:textId="5BC7F4EF"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6</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F2AAB9B" w14:textId="45EBF829" w:rsidR="009F12FC"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QS-WLB (клеммная колодка)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3064E1F"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33EFDBFF" w14:textId="089C1F0E"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3D78C39" w14:textId="6E0753C7"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https://avicon.ru/catalog/sistemy_upravleniya/sistemy_upravleniya_svetom/2137/?ysclid=l944a03suh111385997#payment</w:t>
            </w:r>
          </w:p>
        </w:tc>
        <w:tc>
          <w:tcPr>
            <w:tcW w:w="2100" w:type="dxa"/>
            <w:tcBorders>
              <w:top w:val="single" w:sz="4" w:space="0" w:color="auto"/>
              <w:left w:val="single" w:sz="4" w:space="0" w:color="auto"/>
              <w:bottom w:val="single" w:sz="4" w:space="0" w:color="auto"/>
              <w:right w:val="single" w:sz="4" w:space="0" w:color="auto"/>
            </w:tcBorders>
            <w:vAlign w:val="center"/>
          </w:tcPr>
          <w:p w14:paraId="4F2B1E3A"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443387C3"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05753F3B"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4F6179" w14:textId="70B11BBD"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7</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455B05FF" w14:textId="533B117D" w:rsidR="009F12FC"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HQWT-S-P2RW-SN (кнопочная панель)</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001D377"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711A4F2C" w14:textId="1C1ADD13"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95C4E1D" w14:textId="01ED2F72"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https://lutrade.ru/vyklyuchateli-i-rozetki/lutron-palladiom-keypads/square-style/kategory-palladiom-sq-2c-complete/lutron-hqwt-s-p2rw-sn-knopochnaya-panel-palladiom-2-b-left-r-l-right-international-satin-nickel</w:t>
            </w:r>
          </w:p>
        </w:tc>
        <w:tc>
          <w:tcPr>
            <w:tcW w:w="2100" w:type="dxa"/>
            <w:tcBorders>
              <w:top w:val="single" w:sz="4" w:space="0" w:color="auto"/>
              <w:left w:val="single" w:sz="4" w:space="0" w:color="auto"/>
              <w:bottom w:val="single" w:sz="4" w:space="0" w:color="auto"/>
              <w:right w:val="single" w:sz="4" w:space="0" w:color="auto"/>
            </w:tcBorders>
            <w:vAlign w:val="center"/>
          </w:tcPr>
          <w:p w14:paraId="052D5D38"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385DE70A"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9F12FC" w:rsidRPr="00740BCB" w14:paraId="694510D1" w14:textId="77777777" w:rsidTr="009F12F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770AE" w14:textId="781B5DEA"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E7AB087" w14:textId="3288CECA" w:rsidR="009F12FC" w:rsidRPr="007811E3" w:rsidRDefault="009F12FC" w:rsidP="009F12FC">
            <w:pPr>
              <w:jc w:val="center"/>
              <w:rPr>
                <w:rFonts w:ascii="Bookman Old Style" w:hAnsi="Bookman Old Style"/>
                <w:color w:val="000000"/>
                <w:sz w:val="18"/>
                <w:shd w:val="clear" w:color="auto" w:fill="FFFFFF"/>
              </w:rPr>
            </w:pPr>
            <w:proofErr w:type="spellStart"/>
            <w:r w:rsidRPr="009F12FC">
              <w:rPr>
                <w:rFonts w:ascii="Bookman Old Style" w:hAnsi="Bookman Old Style"/>
                <w:color w:val="000000"/>
                <w:sz w:val="18"/>
                <w:shd w:val="clear" w:color="auto" w:fill="FFFFFF"/>
              </w:rPr>
              <w:t>Lutron</w:t>
            </w:r>
            <w:proofErr w:type="spellEnd"/>
            <w:r w:rsidRPr="009F12FC">
              <w:rPr>
                <w:rFonts w:ascii="Bookman Old Style" w:hAnsi="Bookman Old Style"/>
                <w:color w:val="000000"/>
                <w:sz w:val="18"/>
                <w:shd w:val="clear" w:color="auto" w:fill="FFFFFF"/>
              </w:rPr>
              <w:t xml:space="preserve"> HQWT-S-P2W-SN (кнопочная панель)</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3D32BD8" w14:textId="77777777" w:rsidR="009F12FC" w:rsidRPr="007811E3" w:rsidRDefault="009F12FC" w:rsidP="009F12FC">
            <w:pPr>
              <w:jc w:val="cente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745E09A" w14:textId="4571F970" w:rsidR="009F12FC" w:rsidRPr="007811E3" w:rsidRDefault="009F12FC" w:rsidP="009F12FC">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4</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EC63355" w14:textId="40E992A6" w:rsidR="009F12FC" w:rsidRPr="00A86E99" w:rsidRDefault="009F12FC" w:rsidP="009F12FC">
            <w:pPr>
              <w:spacing w:after="0" w:line="240" w:lineRule="auto"/>
              <w:jc w:val="center"/>
              <w:rPr>
                <w:rFonts w:ascii="Calibri" w:hAnsi="Calibri" w:cs="Calibri"/>
                <w:color w:val="0000FF"/>
                <w:u w:val="single"/>
              </w:rPr>
            </w:pPr>
            <w:r w:rsidRPr="009F12FC">
              <w:rPr>
                <w:rFonts w:ascii="Calibri" w:hAnsi="Calibri" w:cs="Calibri"/>
                <w:color w:val="0000FF"/>
                <w:u w:val="single"/>
              </w:rPr>
              <w:t>https://lutrade.ru/vyklyuchateli-i-rozetki/lutron-palladiom-keypads/square-style/1-column-complete-units/lutron-hqwt-s-p2w-sn-knopochnaya-panel-palladiom-2-button-international-keypad-satin-nickel-metall-</w:t>
            </w:r>
          </w:p>
        </w:tc>
        <w:tc>
          <w:tcPr>
            <w:tcW w:w="2100" w:type="dxa"/>
            <w:tcBorders>
              <w:top w:val="single" w:sz="4" w:space="0" w:color="auto"/>
              <w:left w:val="single" w:sz="4" w:space="0" w:color="auto"/>
              <w:bottom w:val="single" w:sz="4" w:space="0" w:color="auto"/>
              <w:right w:val="single" w:sz="4" w:space="0" w:color="auto"/>
            </w:tcBorders>
            <w:vAlign w:val="center"/>
          </w:tcPr>
          <w:p w14:paraId="44AC3758" w14:textId="77777777" w:rsidR="009F12FC" w:rsidRPr="00B63034"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1DD4015D" w14:textId="77777777" w:rsidR="009F12FC" w:rsidRPr="00740BCB" w:rsidRDefault="009F12FC" w:rsidP="009F12FC">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14:paraId="70DAA5FE"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1EE4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F38A8B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BADD18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464BAF0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085DBC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0A4E664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7CB554C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5381501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22EA9CC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8D8C5C"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5A4E67E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0CF4275D"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0D96E19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05950A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D77AE46"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63656F4C"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456B9578"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B51F4C9"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222894D8"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E2E36F"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603BDF4E"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73F2A63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DEDDD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F0C5B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DDCC934"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1FA8AD"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96FE6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AB153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A4169"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8C5633"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FD3C284"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D9E937"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D4C3B6"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8DE57F"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A9E50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C4C1C6"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Проект договора</w:t>
      </w:r>
    </w:p>
    <w:p w14:paraId="444A7643"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77A7BE0E"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7933177E"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38193915"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3AAF9B4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DE55CB7"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6322DBD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B583DE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4B208F"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442CC16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0405444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5918E47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2B012ABB"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66D113AF"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7DED12E9"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0AFB7BE5"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6CCCAE6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034C41D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1F86E8CB"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159D67C0"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52A1FD7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2B860B2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5066F59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8E7951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074E7B6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68E0EA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78465F7"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486F40"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6EE0BE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3F036136"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FB51F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290A98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62C4555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2109E3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13783EAE"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07094A11"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0A6B322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6F38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EE643F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22C9487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1EEE0E38"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DA44007"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1139238A"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815143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BB451F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0FB9A3D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FCE1AAF"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00E2874A"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0D6CE1F3"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524E65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Споры и разногласия, которые могут возникнуть при исполнении Договора, решаются Сторонами путем переговоров, а при </w:t>
      </w:r>
      <w:proofErr w:type="gramStart"/>
      <w:r w:rsidRPr="00961049">
        <w:rPr>
          <w:rFonts w:ascii="Bookman Old Style" w:eastAsia="Lucida Sans Unicode" w:hAnsi="Bookman Old Style" w:cs="Arial"/>
          <w:color w:val="000000"/>
          <w:kern w:val="1"/>
          <w:sz w:val="22"/>
          <w:szCs w:val="22"/>
          <w:lang w:bidi="ru-RU"/>
        </w:rPr>
        <w:t>не достижении</w:t>
      </w:r>
      <w:proofErr w:type="gramEnd"/>
      <w:r w:rsidRPr="00961049">
        <w:rPr>
          <w:rFonts w:ascii="Bookman Old Style" w:eastAsia="Lucida Sans Unicode" w:hAnsi="Bookman Old Style" w:cs="Arial"/>
          <w:color w:val="000000"/>
          <w:kern w:val="1"/>
          <w:sz w:val="22"/>
          <w:szCs w:val="22"/>
          <w:lang w:bidi="ru-RU"/>
        </w:rPr>
        <w:t xml:space="preserve"> согласия передаются на рассмотрение в Арбитражный суд Республики Крым в соответствии с действующим законодательством РФ.</w:t>
      </w:r>
    </w:p>
    <w:p w14:paraId="13A6873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769F249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524C570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55B30AB2"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50AE2B20"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44B94A02"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13591156"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AFAC537"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составлены на бумажном носителе - с даты подписания Договора.</w:t>
      </w:r>
    </w:p>
    <w:p w14:paraId="616CB8E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2FF5628"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8991240"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635DF34B"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264B807B"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398CA84E"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642185F6"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8"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751D0F19"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6D91F06"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02882D95"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D495F1B"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2D26E92"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9"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DE8A6C4"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01526AE0"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51DAB34B"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4E1D2C9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045B6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D657527"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84C12A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7973DD44"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6CFC62AD"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2962731F"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40E731D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007108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B4E1AD0"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4E67535D"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6CF5E5CB"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07D9E86"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E37453B"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0967DE60"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70CAB89A"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05224AD8" w14:textId="77777777" w:rsidTr="00584E1B">
        <w:trPr>
          <w:trHeight w:val="68"/>
        </w:trPr>
        <w:tc>
          <w:tcPr>
            <w:tcW w:w="4887" w:type="dxa"/>
          </w:tcPr>
          <w:p w14:paraId="2C18E0D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5176330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3E8F8F3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47639B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66915B0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715D054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18A1A0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B9C474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05678C9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70896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62E358E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46D65EA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28FAD4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39BC37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E-mail:                        </w:t>
            </w:r>
          </w:p>
          <w:p w14:paraId="049B8C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5E5CC9F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8BC4CF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AE06EF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F0E33D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EE813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841FA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1623E1E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tc>
        <w:tc>
          <w:tcPr>
            <w:tcW w:w="4688" w:type="dxa"/>
          </w:tcPr>
          <w:p w14:paraId="799D3E1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2063F1E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3543834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A10379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298685, РФ, Республика Крым, г. Ялта, с. Оползневое, </w:t>
            </w:r>
          </w:p>
          <w:p w14:paraId="5B32C0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ул. Генерала Острякова, д. 9</w:t>
            </w:r>
          </w:p>
          <w:p w14:paraId="450185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ИНН 9103007830 КПП 910301001</w:t>
            </w:r>
          </w:p>
          <w:p w14:paraId="665B615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ОГРН 1149102066740 ОКПО 00717399</w:t>
            </w:r>
          </w:p>
          <w:p w14:paraId="5AB1A0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Р/с 40702810942580200027</w:t>
            </w:r>
          </w:p>
          <w:p w14:paraId="6B5A647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в РНКБ Банк (ПАО),</w:t>
            </w:r>
          </w:p>
          <w:p w14:paraId="05CE0B9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К/с 30101810335100000607</w:t>
            </w:r>
          </w:p>
          <w:p w14:paraId="4C9E92C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БИК 043510607</w:t>
            </w:r>
          </w:p>
          <w:p w14:paraId="7A7141E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E-mail: info@mriyaresort.com</w:t>
            </w:r>
          </w:p>
          <w:p w14:paraId="65FAB09B"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Тел.: +7(3654) 222-333</w:t>
            </w:r>
          </w:p>
          <w:p w14:paraId="5D561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B5F4FA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27F430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73B7EC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107C196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3E6335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314D7F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tc>
      </w:tr>
    </w:tbl>
    <w:p w14:paraId="0F9DEA0F"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828EDA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532265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FF4B4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9BFC8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D7E046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67B667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6717B46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370E24F"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6CA6B315"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52312A48"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432FFD86"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231DD0B4"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49DC46C2"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293514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8A0D6C0" w14:textId="77777777" w:rsidR="00B72E81" w:rsidRPr="00961049" w:rsidRDefault="00B72E81" w:rsidP="00B72E81">
      <w:pPr>
        <w:ind w:left="7655"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Приложение №1</w:t>
      </w:r>
    </w:p>
    <w:p w14:paraId="1D5B36B4"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w:t>
      </w:r>
    </w:p>
    <w:p w14:paraId="4F4E5EA6"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от             №               </w:t>
      </w:r>
    </w:p>
    <w:p w14:paraId="0C91D62F"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51D26E50"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10DED778"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FFCD95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t xml:space="preserve"> «__» ___________ 202_г </w:t>
      </w:r>
    </w:p>
    <w:p w14:paraId="322B4BD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208E0B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69A12750"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666E24A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2A819096"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48C5FBF8"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4794838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7861B33"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ECE2880"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4A07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4BC2F79"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2760AAD"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758460E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7286070E"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1AC9AA96"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45A1F1C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70C4CBA9"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6497FBFE"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6E60306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7B2D10E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0AEDED3F"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64B34B7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4D625225"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4FF62756"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314FFC8A"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03BDB35F"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35AB3284"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Итого: __________</w:t>
            </w:r>
            <w:proofErr w:type="gramStart"/>
            <w:r w:rsidRPr="00961049">
              <w:rPr>
                <w:rFonts w:ascii="Bookman Old Style" w:eastAsia="Lucida Sans Unicode" w:hAnsi="Bookman Old Style" w:cs="Arial"/>
                <w:color w:val="000000"/>
                <w:kern w:val="1"/>
                <w:lang w:eastAsia="ru-RU" w:bidi="ru-RU"/>
              </w:rPr>
              <w:t>_(</w:t>
            </w:r>
            <w:proofErr w:type="gramEnd"/>
            <w:r w:rsidRPr="00961049">
              <w:rPr>
                <w:rFonts w:ascii="Bookman Old Style" w:eastAsia="Lucida Sans Unicode" w:hAnsi="Bookman Old Style" w:cs="Arial"/>
                <w:color w:val="000000"/>
                <w:kern w:val="1"/>
                <w:lang w:eastAsia="ru-RU" w:bidi="ru-RU"/>
              </w:rPr>
              <w:t>_________) рублей, в том числе НДС _____ (____) рублей</w:t>
            </w:r>
          </w:p>
        </w:tc>
      </w:tr>
    </w:tbl>
    <w:p w14:paraId="1F96E695"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7B1895E7"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7B2159AE" w14:textId="77777777" w:rsidTr="00584E1B">
        <w:trPr>
          <w:trHeight w:val="840"/>
        </w:trPr>
        <w:tc>
          <w:tcPr>
            <w:tcW w:w="5015" w:type="dxa"/>
          </w:tcPr>
          <w:p w14:paraId="793BAC76"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01541A4A"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814042"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38AE060"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01CE6AEE"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66E8D016"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c>
          <w:tcPr>
            <w:tcW w:w="4560" w:type="dxa"/>
          </w:tcPr>
          <w:p w14:paraId="0C83D738"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38E42B67"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2461E0C4" w14:textId="77777777" w:rsidR="00B72E81" w:rsidRPr="00961049" w:rsidRDefault="00B72E81" w:rsidP="00961049">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59F88A94"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2EE945A1"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p w14:paraId="4621009D"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r>
    </w:tbl>
    <w:p w14:paraId="497A4F76"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1789184">
    <w:abstractNumId w:val="6"/>
  </w:num>
  <w:num w:numId="2" w16cid:durableId="456796064">
    <w:abstractNumId w:val="3"/>
  </w:num>
  <w:num w:numId="3" w16cid:durableId="1921213779">
    <w:abstractNumId w:val="5"/>
  </w:num>
  <w:num w:numId="4" w16cid:durableId="391513669">
    <w:abstractNumId w:val="2"/>
  </w:num>
  <w:num w:numId="5" w16cid:durableId="355427949">
    <w:abstractNumId w:val="4"/>
  </w:num>
  <w:num w:numId="6" w16cid:durableId="1409115980">
    <w:abstractNumId w:val="1"/>
  </w:num>
  <w:num w:numId="7" w16cid:durableId="4342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849B0"/>
    <w:rsid w:val="001E1D51"/>
    <w:rsid w:val="001E4EB7"/>
    <w:rsid w:val="00287F67"/>
    <w:rsid w:val="002D335A"/>
    <w:rsid w:val="00407A63"/>
    <w:rsid w:val="00523FFB"/>
    <w:rsid w:val="00527199"/>
    <w:rsid w:val="00644ED5"/>
    <w:rsid w:val="006618ED"/>
    <w:rsid w:val="006B1339"/>
    <w:rsid w:val="006E5486"/>
    <w:rsid w:val="00700277"/>
    <w:rsid w:val="00724121"/>
    <w:rsid w:val="00740BCB"/>
    <w:rsid w:val="00757720"/>
    <w:rsid w:val="007811E3"/>
    <w:rsid w:val="007B1F6F"/>
    <w:rsid w:val="008232F9"/>
    <w:rsid w:val="008271ED"/>
    <w:rsid w:val="00885863"/>
    <w:rsid w:val="009450A2"/>
    <w:rsid w:val="0095264B"/>
    <w:rsid w:val="00961049"/>
    <w:rsid w:val="009E17CA"/>
    <w:rsid w:val="009F12FC"/>
    <w:rsid w:val="009F17C5"/>
    <w:rsid w:val="00A17E29"/>
    <w:rsid w:val="00A86E99"/>
    <w:rsid w:val="00AF257D"/>
    <w:rsid w:val="00AF67E2"/>
    <w:rsid w:val="00B63034"/>
    <w:rsid w:val="00B72E81"/>
    <w:rsid w:val="00BD3640"/>
    <w:rsid w:val="00C75CFF"/>
    <w:rsid w:val="00CB17CD"/>
    <w:rsid w:val="00D436DC"/>
    <w:rsid w:val="00E2206E"/>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6D95"/>
  <w15:docId w15:val="{93343E8A-0DF2-49D5-B7F7-7963590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03854141">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44689342">
      <w:bodyDiv w:val="1"/>
      <w:marLeft w:val="0"/>
      <w:marRight w:val="0"/>
      <w:marTop w:val="0"/>
      <w:marBottom w:val="0"/>
      <w:divBdr>
        <w:top w:val="none" w:sz="0" w:space="0" w:color="auto"/>
        <w:left w:val="none" w:sz="0" w:space="0" w:color="auto"/>
        <w:bottom w:val="none" w:sz="0" w:space="0" w:color="auto"/>
        <w:right w:val="none" w:sz="0" w:space="0" w:color="auto"/>
      </w:divBdr>
    </w:div>
    <w:div w:id="1735738887">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Oleg.Naumov@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3</cp:revision>
  <dcterms:created xsi:type="dcterms:W3CDTF">2022-09-19T10:10:00Z</dcterms:created>
  <dcterms:modified xsi:type="dcterms:W3CDTF">2022-10-18T14:36:00Z</dcterms:modified>
</cp:coreProperties>
</file>