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AC" w:rsidRDefault="002E3786" w:rsidP="00B332E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3881">
        <w:rPr>
          <w:b/>
          <w:sz w:val="22"/>
          <w:szCs w:val="22"/>
        </w:rPr>
        <w:t>Реестр изменений</w:t>
      </w:r>
      <w:r w:rsidR="005165AC">
        <w:rPr>
          <w:b/>
          <w:sz w:val="22"/>
          <w:szCs w:val="22"/>
        </w:rPr>
        <w:t xml:space="preserve"> от </w:t>
      </w:r>
      <w:r w:rsidR="001E6E46">
        <w:rPr>
          <w:b/>
          <w:sz w:val="22"/>
          <w:szCs w:val="22"/>
        </w:rPr>
        <w:t>2</w:t>
      </w:r>
      <w:r w:rsidR="00340026">
        <w:rPr>
          <w:b/>
          <w:sz w:val="22"/>
          <w:szCs w:val="22"/>
        </w:rPr>
        <w:t>1</w:t>
      </w:r>
      <w:r w:rsidR="00294670">
        <w:rPr>
          <w:b/>
          <w:sz w:val="22"/>
          <w:szCs w:val="22"/>
        </w:rPr>
        <w:t>.</w:t>
      </w:r>
      <w:r w:rsidR="00AF02C2">
        <w:rPr>
          <w:b/>
          <w:sz w:val="22"/>
          <w:szCs w:val="22"/>
        </w:rPr>
        <w:t>02</w:t>
      </w:r>
      <w:r w:rsidR="005165AC">
        <w:rPr>
          <w:b/>
          <w:sz w:val="22"/>
          <w:szCs w:val="22"/>
        </w:rPr>
        <w:t>.202</w:t>
      </w:r>
      <w:r w:rsidR="00AF02C2">
        <w:rPr>
          <w:b/>
          <w:sz w:val="22"/>
          <w:szCs w:val="22"/>
        </w:rPr>
        <w:t>3</w:t>
      </w:r>
      <w:r w:rsidR="005165AC">
        <w:rPr>
          <w:b/>
          <w:sz w:val="22"/>
          <w:szCs w:val="22"/>
        </w:rPr>
        <w:t xml:space="preserve"> г.</w:t>
      </w:r>
    </w:p>
    <w:p w:rsidR="002E3786" w:rsidRPr="00B332E8" w:rsidRDefault="002E3786" w:rsidP="00B332E8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0D3881">
        <w:rPr>
          <w:b/>
          <w:sz w:val="22"/>
          <w:szCs w:val="22"/>
        </w:rPr>
        <w:t xml:space="preserve">условий Закупочной </w:t>
      </w:r>
      <w:r w:rsidRPr="00EB3608">
        <w:rPr>
          <w:b/>
          <w:sz w:val="22"/>
          <w:szCs w:val="22"/>
        </w:rPr>
        <w:t xml:space="preserve">документации № </w:t>
      </w:r>
      <w:r w:rsidR="00AF02C2" w:rsidRPr="00AF02C2">
        <w:rPr>
          <w:b/>
          <w:sz w:val="22"/>
          <w:szCs w:val="22"/>
        </w:rPr>
        <w:t>СО-012839</w:t>
      </w:r>
      <w:r w:rsidR="00353DD2">
        <w:rPr>
          <w:b/>
          <w:sz w:val="22"/>
          <w:szCs w:val="22"/>
        </w:rPr>
        <w:t xml:space="preserve"> от </w:t>
      </w:r>
      <w:r w:rsidR="00AF02C2">
        <w:rPr>
          <w:b/>
          <w:sz w:val="22"/>
          <w:szCs w:val="22"/>
        </w:rPr>
        <w:t>03</w:t>
      </w:r>
      <w:r w:rsidR="00933E90">
        <w:rPr>
          <w:b/>
          <w:sz w:val="22"/>
          <w:szCs w:val="22"/>
        </w:rPr>
        <w:t>.</w:t>
      </w:r>
      <w:r w:rsidR="00AF02C2">
        <w:rPr>
          <w:b/>
          <w:sz w:val="22"/>
          <w:szCs w:val="22"/>
        </w:rPr>
        <w:t>02</w:t>
      </w:r>
      <w:r w:rsidR="00E06FA4" w:rsidRPr="00E06FA4">
        <w:rPr>
          <w:b/>
          <w:sz w:val="22"/>
          <w:szCs w:val="22"/>
        </w:rPr>
        <w:t>.202</w:t>
      </w:r>
      <w:r w:rsidR="00AF02C2">
        <w:rPr>
          <w:b/>
          <w:sz w:val="22"/>
          <w:szCs w:val="22"/>
        </w:rPr>
        <w:t>3</w:t>
      </w:r>
      <w:r w:rsidR="00353DD2">
        <w:rPr>
          <w:b/>
          <w:sz w:val="22"/>
          <w:szCs w:val="22"/>
        </w:rPr>
        <w:t xml:space="preserve"> г.</w:t>
      </w:r>
    </w:p>
    <w:p w:rsidR="0066498A" w:rsidRDefault="0066498A" w:rsidP="0066498A">
      <w:pPr>
        <w:jc w:val="center"/>
        <w:rPr>
          <w:b/>
          <w:sz w:val="22"/>
          <w:szCs w:val="22"/>
        </w:rPr>
      </w:pPr>
    </w:p>
    <w:p w:rsidR="00F32394" w:rsidRDefault="00810F6B" w:rsidP="00AF02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Организаторо</w:t>
      </w:r>
      <w:r w:rsidR="00BD0667">
        <w:rPr>
          <w:sz w:val="22"/>
          <w:szCs w:val="22"/>
        </w:rPr>
        <w:t>м Запроса внесены изменения в части сроков производства работ:</w:t>
      </w:r>
    </w:p>
    <w:p w:rsidR="00BD0667" w:rsidRDefault="00BD0667" w:rsidP="00AF02C2">
      <w:pPr>
        <w:ind w:firstLine="567"/>
        <w:jc w:val="both"/>
        <w:rPr>
          <w:sz w:val="22"/>
          <w:szCs w:val="22"/>
        </w:rPr>
      </w:pPr>
    </w:p>
    <w:p w:rsidR="001E6E46" w:rsidRPr="00102612" w:rsidRDefault="0098434A" w:rsidP="001E6E46">
      <w:pPr>
        <w:jc w:val="both"/>
        <w:rPr>
          <w:b/>
          <w:sz w:val="22"/>
          <w:szCs w:val="22"/>
        </w:rPr>
      </w:pPr>
      <w:r w:rsidRPr="00102612">
        <w:rPr>
          <w:b/>
          <w:sz w:val="22"/>
          <w:szCs w:val="22"/>
        </w:rPr>
        <w:t>РАЗДЕЛ II. Информационная карта Запроса:</w:t>
      </w:r>
    </w:p>
    <w:p w:rsidR="0098434A" w:rsidRDefault="0098434A" w:rsidP="0098434A">
      <w:pPr>
        <w:jc w:val="both"/>
        <w:rPr>
          <w:b/>
          <w:lang w:eastAsia="ar-SA"/>
        </w:rPr>
      </w:pPr>
      <w:r w:rsidRPr="00932FAE">
        <w:rPr>
          <w:b/>
          <w:lang w:eastAsia="ar-SA"/>
        </w:rPr>
        <w:t>ИНФОРМАЦИЯ О ПРОВОДИМОМ ЗАПРОСЕ</w:t>
      </w:r>
      <w:r>
        <w:rPr>
          <w:b/>
          <w:lang w:eastAsia="ar-SA"/>
        </w:rPr>
        <w:t>:</w:t>
      </w: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114"/>
        <w:gridCol w:w="4251"/>
      </w:tblGrid>
      <w:tr w:rsidR="0098434A" w:rsidTr="001430D8">
        <w:trPr>
          <w:trHeight w:val="276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4A" w:rsidRPr="00407BCF" w:rsidRDefault="0098434A" w:rsidP="008569B7">
            <w:pPr>
              <w:widowControl w:val="0"/>
              <w:snapToGrid w:val="0"/>
              <w:jc w:val="center"/>
              <w:rPr>
                <w:b/>
                <w:lang w:eastAsia="ar-SA"/>
              </w:rPr>
            </w:pPr>
            <w:r w:rsidRPr="00407BCF">
              <w:rPr>
                <w:b/>
                <w:lang w:eastAsia="ar-SA"/>
              </w:rPr>
              <w:t>№ п/п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4A" w:rsidRPr="00407BCF" w:rsidRDefault="0098434A" w:rsidP="008569B7">
            <w:pPr>
              <w:pageBreakBefore/>
              <w:jc w:val="center"/>
              <w:outlineLvl w:val="0"/>
              <w:rPr>
                <w:b/>
              </w:rPr>
            </w:pPr>
            <w:r w:rsidRPr="00407BCF">
              <w:rPr>
                <w:b/>
              </w:rPr>
              <w:t>Старая версия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4A" w:rsidRPr="00407BCF" w:rsidRDefault="0098434A" w:rsidP="008569B7">
            <w:pPr>
              <w:widowControl w:val="0"/>
              <w:snapToGrid w:val="0"/>
              <w:jc w:val="center"/>
              <w:rPr>
                <w:b/>
              </w:rPr>
            </w:pPr>
            <w:r w:rsidRPr="00407BCF">
              <w:rPr>
                <w:b/>
              </w:rPr>
              <w:t>Новая версия</w:t>
            </w:r>
          </w:p>
        </w:tc>
      </w:tr>
      <w:tr w:rsidR="001430D8" w:rsidTr="001430D8">
        <w:trPr>
          <w:trHeight w:val="276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8" w:rsidRDefault="001430D8" w:rsidP="001430D8">
            <w:pPr>
              <w:widowControl w:val="0"/>
              <w:snapToGrid w:val="0"/>
              <w:jc w:val="center"/>
              <w:rPr>
                <w:lang w:eastAsia="ar-SA"/>
              </w:rPr>
            </w:pPr>
            <w:r w:rsidRPr="001430D8">
              <w:rPr>
                <w:lang w:eastAsia="ar-SA"/>
              </w:rPr>
              <w:t>9.</w:t>
            </w:r>
            <w:r>
              <w:rPr>
                <w:lang w:eastAsia="ar-SA"/>
              </w:rPr>
              <w:t xml:space="preserve"> </w:t>
            </w:r>
            <w:r w:rsidRPr="001430D8">
              <w:rPr>
                <w:lang w:eastAsia="ar-SA"/>
              </w:rPr>
              <w:t>Форма, сроки и порядок оплаты: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8" w:rsidRDefault="001430D8" w:rsidP="001430D8">
            <w:pPr>
              <w:widowControl w:val="0"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>Вариант 1: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  <w:lang w:eastAsia="ar-SA"/>
              </w:rPr>
              <w:t>Предусмотрен аванс</w:t>
            </w:r>
            <w:r w:rsidRPr="00232B84">
              <w:rPr>
                <w:color w:val="000000"/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на выполнение работ не более 10% - </w:t>
            </w:r>
            <w:r w:rsidRPr="003929F7">
              <w:rPr>
                <w:color w:val="000000"/>
                <w:lang w:eastAsia="ar-SA"/>
              </w:rPr>
              <w:t>61 452 780 (Шестьдесят один миллион четыреста пятьдесят две тысячи семьсот восемьдесят) рублей 77 копеек</w:t>
            </w:r>
            <w:r w:rsidRPr="003929F7">
              <w:rPr>
                <w:color w:val="000000"/>
              </w:rPr>
              <w:t>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</w:rPr>
            </w:pPr>
            <w:r w:rsidRPr="00615247">
              <w:rPr>
                <w:color w:val="000000"/>
              </w:rPr>
              <w:t>Авансирование осуществляется</w:t>
            </w:r>
            <w:r>
              <w:rPr>
                <w:color w:val="000000"/>
              </w:rPr>
              <w:t xml:space="preserve"> только при наличии безусловной безотзывной банковской гарантии на возврат аванса. Оплата аванса производится Заказчиком в течение </w:t>
            </w:r>
            <w:r>
              <w:rPr>
                <w:bCs/>
                <w:color w:val="000000"/>
                <w:lang w:eastAsia="ar-SA"/>
              </w:rPr>
              <w:t xml:space="preserve">5 (пяти) банковских дней после предоставления Генеральным подрядчиком </w:t>
            </w:r>
            <w:r>
              <w:rPr>
                <w:color w:val="000000"/>
              </w:rPr>
              <w:t>банковской гарантии на возврат аванса и счета на аванс.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</w:rPr>
            </w:pP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Для банковских гарантий Банк должен входить в список ТОП-20 по показателю Активы нетто (</w:t>
            </w:r>
            <w:hyperlink r:id="rId5" w:history="1">
              <w:r>
                <w:rPr>
                  <w:rStyle w:val="a3"/>
                  <w:color w:val="000000"/>
                  <w:u w:val="none"/>
                  <w:lang w:eastAsia="ar-SA"/>
                </w:rPr>
                <w:t>http://banki.ru/banks/ratings/</w:t>
              </w:r>
            </w:hyperlink>
            <w:r>
              <w:rPr>
                <w:color w:val="000000"/>
                <w:lang w:eastAsia="ar-SA"/>
              </w:rPr>
              <w:t xml:space="preserve">). Банк и текст банковской гарантии согласовывается с Заказчиком после заключения договора. </w:t>
            </w:r>
            <w:r>
              <w:rPr>
                <w:bCs/>
                <w:lang w:eastAsia="ar-SA"/>
              </w:rPr>
              <w:t xml:space="preserve">Рекомендуемая форма Банковской гарантии на обеспечение обязательств по возврату аванса представлена </w:t>
            </w:r>
            <w:r w:rsidRPr="00FA2D3C">
              <w:rPr>
                <w:bCs/>
                <w:lang w:eastAsia="ar-SA"/>
              </w:rPr>
              <w:t xml:space="preserve">в </w:t>
            </w:r>
            <w:r w:rsidRPr="00FA2D3C">
              <w:rPr>
                <w:b/>
                <w:bCs/>
                <w:lang w:eastAsia="ar-SA"/>
              </w:rPr>
              <w:t>Форме 8</w:t>
            </w:r>
            <w:r w:rsidRPr="00FA2D3C">
              <w:rPr>
                <w:bCs/>
                <w:lang w:eastAsia="ar-SA"/>
              </w:rPr>
              <w:t>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Срок оформления банковской гарантии - не более 30 (тридцати) календарных дней с момента заключения договора.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Срок действия банковской гарантии равен сроку выполнения работ в соответствии с договором плюс 90 (девяносто) календарных дней.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Окончательный расчет производится по факту выполненных работ после подписания Актов о выполненных работах формы КС-2 и предоставления исполнительной документации в течение 7 (семи) рабочих дней с момента приемки работ и подписания Сторонами первичных документов.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</w:p>
          <w:p w:rsidR="001430D8" w:rsidRDefault="001430D8" w:rsidP="001430D8">
            <w:pPr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>Вариант 2: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Без аванса</w:t>
            </w:r>
            <w:r>
              <w:rPr>
                <w:color w:val="000000"/>
                <w:lang w:eastAsia="ar-SA"/>
              </w:rPr>
              <w:t>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lastRenderedPageBreak/>
              <w:t>Р</w:t>
            </w:r>
            <w:r>
              <w:rPr>
                <w:color w:val="000000"/>
                <w:lang w:eastAsia="ar-SA"/>
              </w:rPr>
              <w:t>асчет производится по факту выполненных работ после подписания Актов о выполненных работах формы КС-2 и предоставления исполнительной документации в течение 7 (семи) рабочих дней с момента приемки работ и подписания Сторонами первичных документов.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Гарантийные удержания</w:t>
            </w:r>
            <w:r>
              <w:rPr>
                <w:color w:val="000000"/>
                <w:lang w:eastAsia="ar-SA"/>
              </w:rPr>
              <w:t xml:space="preserve"> в размере 10% (десять процентов) от суммы договора - сумма удержания от подлежащей уплате Генеральному подрядчику суммы за выполненные работы, выступающей в качестве обеспечения обязательства Генерального подрядчика перед Заказчиком в завершении работ на объекте и исполнении по ним гарантийных обязательств согласно условиям договора.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При этом гарантийные удержания возвращаются Генеральному подрядчику путем: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>Вариант 1: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Гарантийное удержание в размере 5% (пять процентов) выплачиваются после завершения работ и подписания КС-11 в течение </w:t>
            </w:r>
            <w:r w:rsidRPr="00630EB6">
              <w:t xml:space="preserve">7 (семи) </w:t>
            </w:r>
            <w:r>
              <w:t>рабочих</w:t>
            </w:r>
            <w:r w:rsidRPr="00630EB6">
              <w:t xml:space="preserve"> дней</w:t>
            </w:r>
            <w:r>
              <w:rPr>
                <w:color w:val="000000"/>
                <w:lang w:eastAsia="ar-SA"/>
              </w:rPr>
              <w:t>, 5% (пять процентов) по окончании гарантийного срока (60 месяцев), на основании счета Генерального подрядчика, в течение 10 (десяти) рабочих дней с момента окончания гарантийного срока.</w:t>
            </w:r>
          </w:p>
          <w:p w:rsid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</w:p>
          <w:p w:rsidR="001430D8" w:rsidRDefault="001430D8" w:rsidP="001430D8">
            <w:pPr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>Вариант 2:</w:t>
            </w:r>
          </w:p>
          <w:p w:rsidR="001430D8" w:rsidRPr="001226F4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Генеральный подрядчик имеет право на возврат всей суммы гарантийных удержаний после завершения работ при предоставлении безотзывной банковской гарантии обеспечения гарантийных удержаний на сумму 5% (пять процентов) от общей стоимости договора и сроком действия равному гарантийному сроку (60 месяцев) плюс 90 (девяносто) календарных дней с момента подписания КС-11 в течение </w:t>
            </w:r>
            <w:r w:rsidRPr="00630EB6">
              <w:t xml:space="preserve">7 (семи) </w:t>
            </w:r>
            <w:r>
              <w:t>рабочих</w:t>
            </w:r>
            <w:r w:rsidRPr="00630EB6">
              <w:t xml:space="preserve"> дней</w:t>
            </w:r>
            <w:r>
              <w:rPr>
                <w:color w:val="000000"/>
                <w:lang w:eastAsia="ar-SA"/>
              </w:rPr>
              <w:t xml:space="preserve">. </w:t>
            </w:r>
            <w:r>
              <w:rPr>
                <w:bCs/>
                <w:lang w:eastAsia="ar-SA"/>
              </w:rPr>
              <w:t xml:space="preserve">Рекомендуемая форма Банковской гарантии на обеспечение обязательств по возврату аванса представлена в </w:t>
            </w:r>
            <w:r w:rsidRPr="00FA2D3C">
              <w:rPr>
                <w:b/>
                <w:bCs/>
                <w:lang w:eastAsia="ar-SA"/>
              </w:rPr>
              <w:t>Форме 9</w:t>
            </w:r>
            <w:r w:rsidRPr="00FA2D3C">
              <w:rPr>
                <w:bCs/>
                <w:lang w:eastAsia="ar-SA"/>
              </w:rPr>
              <w:t>.</w:t>
            </w:r>
          </w:p>
          <w:p w:rsidR="001430D8" w:rsidRPr="00C50A68" w:rsidRDefault="001430D8" w:rsidP="001430D8">
            <w:pPr>
              <w:suppressAutoHyphens/>
              <w:jc w:val="both"/>
              <w:rPr>
                <w:lang w:eastAsia="ar-SA"/>
              </w:rPr>
            </w:pPr>
          </w:p>
          <w:p w:rsidR="001430D8" w:rsidRPr="00C50A68" w:rsidRDefault="001430D8" w:rsidP="001430D8">
            <w:pPr>
              <w:suppressAutoHyphens/>
              <w:jc w:val="both"/>
              <w:rPr>
                <w:lang w:eastAsia="ar-SA"/>
              </w:rPr>
            </w:pPr>
            <w:r w:rsidRPr="00C50A68">
              <w:rPr>
                <w:lang w:eastAsia="ar-SA"/>
              </w:rPr>
              <w:t xml:space="preserve">Форма оплаты - безналичный расчет, путем перечисления денежных средств на расчетный счет </w:t>
            </w:r>
            <w:r>
              <w:rPr>
                <w:lang w:eastAsia="ar-SA"/>
              </w:rPr>
              <w:t>Генерального подрядчика</w:t>
            </w:r>
            <w:r w:rsidRPr="00C50A68">
              <w:rPr>
                <w:lang w:eastAsia="ar-SA"/>
              </w:rPr>
              <w:t>. Оплата производится в соответствии с правилами безналичных расчетов в порядке плановых платежей на основании счетов, счетов-фактур, актов выполненных работ с учетом казначейской системы</w:t>
            </w:r>
            <w:r>
              <w:rPr>
                <w:lang w:eastAsia="ar-SA"/>
              </w:rPr>
              <w:t>.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8" w:rsidRPr="001430D8" w:rsidRDefault="001430D8" w:rsidP="001430D8">
            <w:pPr>
              <w:widowControl w:val="0"/>
              <w:jc w:val="both"/>
              <w:rPr>
                <w:color w:val="000000"/>
                <w:u w:val="single"/>
                <w:lang w:eastAsia="ar-SA"/>
              </w:rPr>
            </w:pPr>
            <w:r w:rsidRPr="001430D8">
              <w:rPr>
                <w:color w:val="000000"/>
                <w:u w:val="single"/>
                <w:lang w:eastAsia="ar-SA"/>
              </w:rPr>
              <w:lastRenderedPageBreak/>
              <w:t>Вариант 1: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</w:rPr>
            </w:pPr>
            <w:r w:rsidRPr="001430D8">
              <w:rPr>
                <w:color w:val="000000"/>
                <w:lang w:eastAsia="ar-SA"/>
              </w:rPr>
              <w:t>Предусмотрен аванс на выполнение работ не более 10% - 61 452 780 (Шестьдесят один миллион четыреста пятьдесят две тысячи семьсот восемьдесят) рублей 77 копеек</w:t>
            </w:r>
            <w:r w:rsidRPr="001430D8">
              <w:rPr>
                <w:color w:val="000000"/>
              </w:rPr>
              <w:t>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</w:rPr>
            </w:pPr>
            <w:r w:rsidRPr="001430D8">
              <w:rPr>
                <w:color w:val="000000"/>
              </w:rPr>
              <w:t>Подрядчик имеет право обратиться к Заказчику с перечнем оборудования/материалов, имеющих длительный срок поставки (более 1 (одного) месяца), стоимость б</w:t>
            </w:r>
            <w:bookmarkStart w:id="0" w:name="_GoBack"/>
            <w:bookmarkEnd w:id="0"/>
            <w:r w:rsidRPr="001430D8">
              <w:rPr>
                <w:color w:val="000000"/>
              </w:rPr>
              <w:t>олее 1 000 000 (одного миллиона) рублей 00 копеек за одну номенклатурную группу и влияние на критический путь сетевого графика с целью получения дополнительного целевого авансирования или проведения прямой оплаты для размещения заказа у поставщика/</w:t>
            </w:r>
            <w:proofErr w:type="spellStart"/>
            <w:r w:rsidRPr="001430D8">
              <w:rPr>
                <w:color w:val="000000"/>
              </w:rPr>
              <w:t>ов</w:t>
            </w:r>
            <w:proofErr w:type="spellEnd"/>
            <w:r w:rsidRPr="001430D8">
              <w:rPr>
                <w:color w:val="000000"/>
              </w:rPr>
              <w:t>. Размер целевого аванса не может быть более 70% от сметной стоимости оборудования/материала, входящих в указанный перечень.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</w:rPr>
            </w:pPr>
            <w:r w:rsidRPr="001430D8">
              <w:rPr>
                <w:color w:val="000000"/>
              </w:rPr>
              <w:t xml:space="preserve">Авансирование осуществляется только при наличии безусловной безотзывной банковской гарантии на возврат аванса. Оплата аванса производится Заказчиком в течение </w:t>
            </w:r>
            <w:r w:rsidRPr="001430D8">
              <w:rPr>
                <w:bCs/>
                <w:color w:val="000000"/>
                <w:lang w:eastAsia="ar-SA"/>
              </w:rPr>
              <w:t xml:space="preserve">5 (пяти) банковских дней после предоставления Генеральным подрядчиком </w:t>
            </w:r>
            <w:r w:rsidRPr="001430D8">
              <w:rPr>
                <w:color w:val="000000"/>
              </w:rPr>
              <w:t>банковской гарантии на возврат аванса и счета на аванс.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</w:rPr>
            </w:pP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>Для банковских гарантий Банк должен входить в список ТОП-20 по показателю Активы нетто (</w:t>
            </w:r>
            <w:hyperlink r:id="rId6" w:history="1">
              <w:r w:rsidRPr="001430D8">
                <w:rPr>
                  <w:rStyle w:val="a3"/>
                  <w:color w:val="000000"/>
                  <w:u w:val="none"/>
                  <w:lang w:eastAsia="ar-SA"/>
                </w:rPr>
                <w:t>http://banki.ru/banks/ratings/</w:t>
              </w:r>
            </w:hyperlink>
            <w:r w:rsidRPr="001430D8">
              <w:rPr>
                <w:color w:val="000000"/>
                <w:lang w:eastAsia="ar-SA"/>
              </w:rPr>
              <w:t xml:space="preserve">). Банк и текст банковской гарантии согласовывается с Заказчиком после заключения договора. </w:t>
            </w:r>
            <w:r w:rsidRPr="001430D8">
              <w:rPr>
                <w:bCs/>
                <w:lang w:eastAsia="ar-SA"/>
              </w:rPr>
              <w:t xml:space="preserve">Рекомендуемая форма Банковской гарантии на обеспечение обязательств по возврату аванса представлена в </w:t>
            </w:r>
            <w:r w:rsidRPr="001430D8">
              <w:rPr>
                <w:b/>
                <w:bCs/>
                <w:lang w:eastAsia="ar-SA"/>
              </w:rPr>
              <w:t>Форме 8</w:t>
            </w:r>
            <w:r w:rsidRPr="001430D8">
              <w:rPr>
                <w:bCs/>
                <w:lang w:eastAsia="ar-SA"/>
              </w:rPr>
              <w:t>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>Срок оформления банковской гарантии - не более 30 (тридцати) календарных дней с момента заключения договора.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 xml:space="preserve">Срок действия банковской гарантии равен сроку выполнения работ в </w:t>
            </w:r>
            <w:r w:rsidRPr="001430D8">
              <w:rPr>
                <w:color w:val="000000"/>
                <w:lang w:eastAsia="ar-SA"/>
              </w:rPr>
              <w:lastRenderedPageBreak/>
              <w:t>соответствии с договором плюс 90 (девяносто) календарных дней.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>Окончательный расчет производится по факту выполненных работ после подписания Актов о выполненных работах формы КС-2 и предоставления исполнительной документации в течение 7 (семи) рабочих дней с момента приемки работ и подписания Сторонами первичных документов.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 w:rsidRPr="001430D8">
              <w:rPr>
                <w:color w:val="000000"/>
                <w:u w:val="single"/>
                <w:lang w:eastAsia="ar-SA"/>
              </w:rPr>
              <w:t>Вариант 2: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>Без аванса на выполнение работ.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</w:rPr>
            </w:pPr>
            <w:r w:rsidRPr="001430D8">
              <w:rPr>
                <w:color w:val="000000"/>
              </w:rPr>
              <w:t>Подрядчик имеет право обратиться к Заказчику с перечнем оборудования/материалов, имеющих длительный срок поставки (более 1 (одного) месяца), стоимость более 1 000 000 (одного миллиона) рублей 00 копеек за одну номенклатурную группу и влияние на критический путь сетевого графика с целью получения дополнительного целевого авансирования или проведения прямой оплаты для размещения заказа у поставщика/</w:t>
            </w:r>
            <w:proofErr w:type="spellStart"/>
            <w:r w:rsidRPr="001430D8">
              <w:rPr>
                <w:color w:val="000000"/>
              </w:rPr>
              <w:t>ов</w:t>
            </w:r>
            <w:proofErr w:type="spellEnd"/>
            <w:r w:rsidRPr="001430D8">
              <w:rPr>
                <w:color w:val="000000"/>
              </w:rPr>
              <w:t>. Размер целевого аванса не может быть более 70% от сметной стоимости оборудования/материала, входящих в указанный перечень.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</w:rPr>
            </w:pPr>
            <w:r w:rsidRPr="001430D8">
              <w:rPr>
                <w:color w:val="000000"/>
              </w:rPr>
              <w:t xml:space="preserve">Авансирование осуществляется только при наличии безусловной безотзывной банковской гарантии на возврат аванса. Оплата аванса производится Заказчиком в течение </w:t>
            </w:r>
            <w:r w:rsidRPr="001430D8">
              <w:rPr>
                <w:bCs/>
                <w:color w:val="000000"/>
                <w:lang w:eastAsia="ar-SA"/>
              </w:rPr>
              <w:t xml:space="preserve">5 (пяти) банковских дней после предоставления Генеральным подрядчиком </w:t>
            </w:r>
            <w:r w:rsidRPr="001430D8">
              <w:rPr>
                <w:color w:val="000000"/>
              </w:rPr>
              <w:t>банковской гарантии на возврат аванса и счета на аванс.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>Для банковских гарантий Банк должен входить в список ТОП-20 по показателю Активы нетто (</w:t>
            </w:r>
            <w:hyperlink r:id="rId7" w:history="1">
              <w:r w:rsidRPr="001430D8">
                <w:rPr>
                  <w:rStyle w:val="a3"/>
                  <w:color w:val="000000"/>
                  <w:u w:val="none"/>
                  <w:lang w:eastAsia="ar-SA"/>
                </w:rPr>
                <w:t>http://banki.ru/banks/ratings/</w:t>
              </w:r>
            </w:hyperlink>
            <w:r w:rsidRPr="001430D8">
              <w:rPr>
                <w:color w:val="000000"/>
                <w:lang w:eastAsia="ar-SA"/>
              </w:rPr>
              <w:t xml:space="preserve">). Банк и текст банковской гарантии согласовывается с Заказчиком после заключения договора. </w:t>
            </w:r>
            <w:r w:rsidRPr="001430D8">
              <w:rPr>
                <w:bCs/>
                <w:lang w:eastAsia="ar-SA"/>
              </w:rPr>
              <w:t xml:space="preserve">Рекомендуемая форма Банковской гарантии на обеспечение обязательств по возврату аванса представлена в </w:t>
            </w:r>
            <w:r w:rsidRPr="001430D8">
              <w:rPr>
                <w:b/>
                <w:bCs/>
                <w:lang w:eastAsia="ar-SA"/>
              </w:rPr>
              <w:t>Форме 8</w:t>
            </w:r>
            <w:r w:rsidRPr="001430D8">
              <w:rPr>
                <w:bCs/>
                <w:lang w:eastAsia="ar-SA"/>
              </w:rPr>
              <w:t>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>Срок оформления банковской гарантии - не более 30 (тридцати) календарных дней с момента заключения договора.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 xml:space="preserve">Срок действия банковской гарантии равен сроку выполнения работ в </w:t>
            </w:r>
            <w:r w:rsidRPr="001430D8">
              <w:rPr>
                <w:color w:val="000000"/>
                <w:lang w:eastAsia="ar-SA"/>
              </w:rPr>
              <w:lastRenderedPageBreak/>
              <w:t>соответствии с договором плюс 90 (девяносто) календарных дней.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>Окончательный расчет производится по факту выполненных работ после подписания Актов о выполненных работах формы КС-2 и предоставления исполнительной документации в течение 7 (семи) рабочих дней с момента приемки работ и подписания Сторонами первичных документов.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b/>
                <w:color w:val="000000"/>
                <w:lang w:eastAsia="ar-SA"/>
              </w:rPr>
              <w:t>Гарантийные удержания</w:t>
            </w:r>
            <w:r w:rsidRPr="001430D8">
              <w:rPr>
                <w:color w:val="000000"/>
                <w:lang w:eastAsia="ar-SA"/>
              </w:rPr>
              <w:t xml:space="preserve"> в размере 10% (десять процентов) от суммы договора - сумма удержания от подлежащей уплате Генеральному подрядчику суммы за выполненные работы, выступающей в качестве обеспечения обязательства Генерального подрядчика перед Заказчиком в завершении работ на объекте и исполнении по ним гарантийных обязательств согласно условиям договора.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>При этом гарантийные удержания возвращаются Генеральному подрядчику путем: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 w:rsidRPr="001430D8">
              <w:rPr>
                <w:color w:val="000000"/>
                <w:u w:val="single"/>
                <w:lang w:eastAsia="ar-SA"/>
              </w:rPr>
              <w:t>Вариант 1: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 xml:space="preserve">Гарантийное удержание в размере 5% (пять процентов) выплачиваются после завершения работ и подписания КС-11 в течение </w:t>
            </w:r>
            <w:r w:rsidRPr="001430D8">
              <w:t>7 (семи) рабочих дней</w:t>
            </w:r>
            <w:r w:rsidRPr="001430D8">
              <w:rPr>
                <w:color w:val="000000"/>
                <w:lang w:eastAsia="ar-SA"/>
              </w:rPr>
              <w:t>, 5% (пять процентов) по окончании гарантийного срока (60 месяцев), на основании счета Генерального подрядчика, в течение 10 (десяти) рабочих дней с момента окончания гарантийного срока.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 w:rsidRPr="001430D8">
              <w:rPr>
                <w:color w:val="000000"/>
                <w:u w:val="single"/>
                <w:lang w:eastAsia="ar-SA"/>
              </w:rPr>
              <w:t>Вариант 2:</w:t>
            </w:r>
          </w:p>
          <w:p w:rsidR="001430D8" w:rsidRPr="001430D8" w:rsidRDefault="001430D8" w:rsidP="001430D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30D8">
              <w:rPr>
                <w:color w:val="000000"/>
                <w:lang w:eastAsia="ar-SA"/>
              </w:rPr>
              <w:t xml:space="preserve">Генеральный подрядчик имеет право на возврат всей суммы гарантийных удержаний после завершения работ при предоставлении безотзывной банковской гарантии обеспечения гарантийных удержаний на сумму 5% (пять процентов) от общей стоимости договора и сроком действия равному гарантийному сроку (60 месяцев) плюс 90 (девяносто) календарных дней с момента подписания КС-11 в течение </w:t>
            </w:r>
            <w:r w:rsidRPr="001430D8">
              <w:t>7 (семи) рабочих дней</w:t>
            </w:r>
            <w:r w:rsidRPr="001430D8">
              <w:rPr>
                <w:color w:val="000000"/>
                <w:lang w:eastAsia="ar-SA"/>
              </w:rPr>
              <w:t xml:space="preserve">. </w:t>
            </w:r>
            <w:r w:rsidRPr="001430D8">
              <w:rPr>
                <w:bCs/>
                <w:lang w:eastAsia="ar-SA"/>
              </w:rPr>
              <w:t xml:space="preserve">Рекомендуемая форма Банковской гарантии на обеспечение обязательств по возврату аванса представлена в </w:t>
            </w:r>
            <w:r w:rsidRPr="001430D8">
              <w:rPr>
                <w:b/>
                <w:bCs/>
                <w:lang w:eastAsia="ar-SA"/>
              </w:rPr>
              <w:t>Форме 9</w:t>
            </w:r>
            <w:r w:rsidRPr="001430D8">
              <w:rPr>
                <w:bCs/>
                <w:lang w:eastAsia="ar-SA"/>
              </w:rPr>
              <w:t>.</w:t>
            </w:r>
          </w:p>
          <w:p w:rsidR="001430D8" w:rsidRPr="001430D8" w:rsidRDefault="001430D8" w:rsidP="001430D8">
            <w:pPr>
              <w:suppressAutoHyphens/>
              <w:jc w:val="both"/>
              <w:rPr>
                <w:lang w:eastAsia="ar-SA"/>
              </w:rPr>
            </w:pPr>
          </w:p>
          <w:p w:rsidR="001430D8" w:rsidRPr="001430D8" w:rsidRDefault="001430D8" w:rsidP="001430D8">
            <w:pPr>
              <w:suppressAutoHyphens/>
              <w:jc w:val="both"/>
              <w:rPr>
                <w:lang w:eastAsia="ar-SA"/>
              </w:rPr>
            </w:pPr>
            <w:r w:rsidRPr="001430D8">
              <w:rPr>
                <w:lang w:eastAsia="ar-SA"/>
              </w:rPr>
              <w:t>Форма оплаты - безналичный расчет, путем перечисления денежных средств на расчетный счет Генерального подрядчика. Оплата производится в соответствии с правилами безналичных расчетов в порядке плановых платежей на основании счетов, счетов-фактур, актов выполненных работ с учетом казначейской системы.</w:t>
            </w:r>
          </w:p>
        </w:tc>
      </w:tr>
    </w:tbl>
    <w:p w:rsidR="0098434A" w:rsidRDefault="0098434A" w:rsidP="001E6E46">
      <w:pPr>
        <w:jc w:val="both"/>
        <w:rPr>
          <w:sz w:val="22"/>
          <w:szCs w:val="22"/>
        </w:rPr>
      </w:pPr>
    </w:p>
    <w:p w:rsidR="001E6E46" w:rsidRDefault="001E6E46" w:rsidP="00AF02C2">
      <w:pPr>
        <w:ind w:firstLine="567"/>
        <w:jc w:val="both"/>
        <w:rPr>
          <w:sz w:val="22"/>
          <w:szCs w:val="22"/>
        </w:rPr>
      </w:pPr>
    </w:p>
    <w:p w:rsidR="001E6E46" w:rsidRDefault="00102612" w:rsidP="00AF02C2">
      <w:pPr>
        <w:ind w:firstLine="567"/>
        <w:jc w:val="both"/>
        <w:rPr>
          <w:b/>
          <w:sz w:val="22"/>
          <w:szCs w:val="22"/>
        </w:rPr>
      </w:pPr>
      <w:r w:rsidRPr="00102612">
        <w:rPr>
          <w:b/>
          <w:sz w:val="22"/>
          <w:szCs w:val="22"/>
        </w:rPr>
        <w:t>РАЗДЕЛ III. Критерии оценки</w:t>
      </w:r>
      <w:r w:rsidR="00340026">
        <w:rPr>
          <w:b/>
          <w:sz w:val="22"/>
          <w:szCs w:val="22"/>
        </w:rPr>
        <w:t>.</w:t>
      </w: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4039"/>
        <w:gridCol w:w="4175"/>
      </w:tblGrid>
      <w:tr w:rsidR="00340026" w:rsidRPr="00407BCF" w:rsidTr="00340026">
        <w:trPr>
          <w:trHeight w:val="276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407BCF" w:rsidRDefault="00340026" w:rsidP="00D556DE">
            <w:pPr>
              <w:widowControl w:val="0"/>
              <w:snapToGrid w:val="0"/>
              <w:jc w:val="center"/>
              <w:rPr>
                <w:b/>
                <w:lang w:eastAsia="ar-SA"/>
              </w:rPr>
            </w:pPr>
            <w:r w:rsidRPr="00407BCF">
              <w:rPr>
                <w:b/>
                <w:lang w:eastAsia="ar-SA"/>
              </w:rPr>
              <w:t>№ п/п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407BCF" w:rsidRDefault="00340026" w:rsidP="00D556DE">
            <w:pPr>
              <w:pageBreakBefore/>
              <w:jc w:val="center"/>
              <w:outlineLvl w:val="0"/>
              <w:rPr>
                <w:b/>
              </w:rPr>
            </w:pPr>
            <w:r w:rsidRPr="00407BCF">
              <w:rPr>
                <w:b/>
              </w:rPr>
              <w:t>Старая версия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407BCF" w:rsidRDefault="00340026" w:rsidP="00D556DE">
            <w:pPr>
              <w:widowControl w:val="0"/>
              <w:snapToGrid w:val="0"/>
              <w:jc w:val="center"/>
              <w:rPr>
                <w:b/>
              </w:rPr>
            </w:pPr>
            <w:r w:rsidRPr="00407BCF">
              <w:rPr>
                <w:b/>
              </w:rPr>
              <w:t>Новая версия</w:t>
            </w:r>
          </w:p>
        </w:tc>
      </w:tr>
      <w:tr w:rsidR="00340026" w:rsidRPr="001C168A" w:rsidTr="00340026">
        <w:trPr>
          <w:trHeight w:val="276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340026" w:rsidRDefault="00340026" w:rsidP="00340026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2. </w:t>
            </w:r>
            <w:r w:rsidRPr="00340026">
              <w:rPr>
                <w:lang w:eastAsia="ar-SA"/>
              </w:rPr>
              <w:t>Отказ от авансового платежа на выполнение работ.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Default="00340026" w:rsidP="00340026">
            <w:pPr>
              <w:numPr>
                <w:ilvl w:val="1"/>
                <w:numId w:val="29"/>
              </w:numPr>
              <w:tabs>
                <w:tab w:val="left" w:pos="851"/>
              </w:tabs>
              <w:suppressAutoHyphens/>
              <w:ind w:left="0" w:firstLine="567"/>
              <w:jc w:val="both"/>
              <w:outlineLvl w:val="1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Отказ от авансового платежа.</w:t>
            </w:r>
          </w:p>
          <w:p w:rsidR="00340026" w:rsidRPr="00463605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463605">
              <w:rPr>
                <w:lang w:eastAsia="ar-SA"/>
              </w:rPr>
              <w:t xml:space="preserve">Значимость критерия: </w:t>
            </w:r>
            <w:r>
              <w:rPr>
                <w:lang w:eastAsia="ar-SA"/>
              </w:rPr>
              <w:t xml:space="preserve">9 </w:t>
            </w:r>
            <w:r w:rsidRPr="00463605">
              <w:rPr>
                <w:lang w:eastAsia="ar-SA"/>
              </w:rPr>
              <w:t>%</w:t>
            </w:r>
            <w:r>
              <w:rPr>
                <w:lang w:eastAsia="ar-SA"/>
              </w:rPr>
              <w:t xml:space="preserve"> (что эквивалентно 100 баллам в рамках данного критерия).</w:t>
            </w:r>
          </w:p>
          <w:p w:rsidR="00340026" w:rsidRPr="00463605" w:rsidRDefault="00340026" w:rsidP="00340026">
            <w:pPr>
              <w:suppressAutoHyphens/>
              <w:ind w:firstLine="567"/>
              <w:jc w:val="both"/>
              <w:rPr>
                <w:b/>
                <w:lang w:eastAsia="ar-SA"/>
              </w:rPr>
            </w:pPr>
          </w:p>
          <w:p w:rsidR="00340026" w:rsidRDefault="00340026" w:rsidP="00340026">
            <w:pPr>
              <w:suppressAutoHyphens/>
              <w:ind w:firstLine="567"/>
              <w:jc w:val="both"/>
              <w:rPr>
                <w:b/>
                <w:lang w:eastAsia="ar-SA"/>
              </w:rPr>
            </w:pPr>
            <w:r w:rsidRPr="00463605">
              <w:rPr>
                <w:b/>
                <w:lang w:eastAsia="ar-SA"/>
              </w:rPr>
              <w:t>Пор</w:t>
            </w:r>
            <w:r>
              <w:rPr>
                <w:b/>
                <w:lang w:eastAsia="ar-SA"/>
              </w:rPr>
              <w:t>ядок оценки Заявок по критерию:</w:t>
            </w:r>
          </w:p>
          <w:p w:rsidR="00340026" w:rsidRPr="00463605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2.1. Д</w:t>
            </w:r>
            <w:r w:rsidRPr="00463605">
              <w:rPr>
                <w:lang w:eastAsia="ar-SA"/>
              </w:rPr>
              <w:t xml:space="preserve">ля определения рейтинга Заявки по критерию </w:t>
            </w:r>
            <w:r w:rsidRPr="00FF494A">
              <w:rPr>
                <w:b/>
                <w:lang w:eastAsia="ar-SA"/>
              </w:rPr>
              <w:t>«Отказ от авансового платежа»</w:t>
            </w:r>
            <w:r w:rsidRPr="00463605">
              <w:rPr>
                <w:lang w:eastAsia="ar-SA"/>
              </w:rPr>
              <w:t xml:space="preserve"> применяется минимальн</w:t>
            </w:r>
            <w:r>
              <w:rPr>
                <w:lang w:eastAsia="ar-SA"/>
              </w:rPr>
              <w:t>ый</w:t>
            </w:r>
            <w:r w:rsidRPr="00463605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размер аванса по</w:t>
            </w:r>
            <w:r w:rsidRPr="00463605">
              <w:rPr>
                <w:lang w:eastAsia="ar-SA"/>
              </w:rPr>
              <w:t xml:space="preserve"> договор</w:t>
            </w:r>
            <w:r>
              <w:rPr>
                <w:lang w:eastAsia="ar-SA"/>
              </w:rPr>
              <w:t>у</w:t>
            </w:r>
            <w:r w:rsidRPr="00463605">
              <w:rPr>
                <w:lang w:eastAsia="ar-SA"/>
              </w:rPr>
              <w:t xml:space="preserve"> по Заявкам участников.</w:t>
            </w:r>
          </w:p>
          <w:p w:rsidR="00340026" w:rsidRDefault="00340026" w:rsidP="00340026">
            <w:pPr>
              <w:ind w:firstLine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  <w:r w:rsidRPr="00463605">
              <w:rPr>
                <w:lang w:eastAsia="ar-SA"/>
              </w:rPr>
              <w:t xml:space="preserve">. </w:t>
            </w:r>
            <w:r>
              <w:rPr>
                <w:lang w:eastAsia="ar-SA"/>
              </w:rPr>
              <w:t xml:space="preserve">В случае, если Участник Запроса выбирает вариант заключения договора без авансового платежа, то такому Участнику присваивается 100 баллов по критерию </w:t>
            </w:r>
            <w:r w:rsidRPr="00FF494A">
              <w:rPr>
                <w:b/>
                <w:lang w:eastAsia="ar-SA"/>
              </w:rPr>
              <w:t>«Отказ от авансового платежа»</w:t>
            </w:r>
            <w:r>
              <w:rPr>
                <w:lang w:eastAsia="ar-SA"/>
              </w:rPr>
              <w:t>. В случае, если Участник выбирает вариант заключения договора с наличием авансового платежа, то р</w:t>
            </w:r>
            <w:r w:rsidRPr="00C16532">
              <w:rPr>
                <w:lang w:eastAsia="ar-SA"/>
              </w:rPr>
              <w:t>ейтинг, присуждаемый За</w:t>
            </w:r>
            <w:r>
              <w:rPr>
                <w:lang w:eastAsia="ar-SA"/>
              </w:rPr>
              <w:t xml:space="preserve">явке по критерию </w:t>
            </w:r>
            <w:r w:rsidRPr="00FF494A">
              <w:rPr>
                <w:b/>
                <w:lang w:eastAsia="ar-SA"/>
              </w:rPr>
              <w:t>«Отказ от авансового платежа»</w:t>
            </w:r>
            <w:r>
              <w:rPr>
                <w:lang w:eastAsia="ar-SA"/>
              </w:rPr>
              <w:t>,</w:t>
            </w:r>
            <w:r w:rsidRPr="00C16532">
              <w:rPr>
                <w:lang w:eastAsia="ar-SA"/>
              </w:rPr>
              <w:t xml:space="preserve"> определяется</w:t>
            </w:r>
            <w:r>
              <w:rPr>
                <w:lang w:eastAsia="ar-SA"/>
              </w:rPr>
              <w:t xml:space="preserve"> по формуле:</w:t>
            </w:r>
          </w:p>
          <w:p w:rsidR="00340026" w:rsidRDefault="00340026" w:rsidP="00340026">
            <w:pPr>
              <w:ind w:firstLine="567"/>
              <w:jc w:val="both"/>
              <w:rPr>
                <w:lang w:eastAsia="ar-S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5"/>
              <w:gridCol w:w="2154"/>
              <w:gridCol w:w="764"/>
            </w:tblGrid>
            <w:tr w:rsidR="00340026" w:rsidRPr="00340026" w:rsidTr="00D556DE">
              <w:trPr>
                <w:jc w:val="center"/>
              </w:trPr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40026" w:rsidRPr="00340026" w:rsidRDefault="00340026" w:rsidP="00340026">
                  <w:pPr>
                    <w:jc w:val="right"/>
                    <w:rPr>
                      <w:b/>
                      <w:lang w:val="en-US"/>
                    </w:rPr>
                  </w:pPr>
                  <w:r w:rsidRPr="00463605">
                    <w:rPr>
                      <w:b/>
                      <w:i/>
                      <w:lang w:val="en-US"/>
                    </w:rPr>
                    <w:t>Ra</w:t>
                  </w:r>
                  <w:r w:rsidRPr="00463605">
                    <w:rPr>
                      <w:b/>
                      <w:i/>
                      <w:vertAlign w:val="subscript"/>
                      <w:lang w:val="en-US"/>
                    </w:rPr>
                    <w:t xml:space="preserve">i </w:t>
                  </w:r>
                  <w:r w:rsidRPr="00463605">
                    <w:rPr>
                      <w:b/>
                      <w:lang w:val="en-US"/>
                    </w:rPr>
                    <w:t>=</w:t>
                  </w:r>
                  <w:r w:rsidRPr="00340026">
                    <w:rPr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40026" w:rsidRPr="00340026" w:rsidRDefault="00340026" w:rsidP="00340026">
                  <w:pPr>
                    <w:jc w:val="center"/>
                    <w:rPr>
                      <w:b/>
                      <w:i/>
                      <w:lang w:val="en-US"/>
                    </w:rPr>
                  </w:pPr>
                  <w:r w:rsidRPr="008F0D3F">
                    <w:rPr>
                      <w:b/>
                      <w:i/>
                      <w:lang w:val="en-US"/>
                    </w:rPr>
                    <w:t>A</w:t>
                  </w:r>
                  <w:r w:rsidRPr="008F0D3F">
                    <w:rPr>
                      <w:b/>
                      <w:i/>
                      <w:vertAlign w:val="superscript"/>
                      <w:lang w:val="en-US"/>
                    </w:rPr>
                    <w:t>i</w:t>
                  </w:r>
                  <w:r w:rsidRPr="008F0D3F">
                    <w:rPr>
                      <w:b/>
                      <w:i/>
                      <w:lang w:val="en-US"/>
                    </w:rPr>
                    <w:t xml:space="preserve"> -А max</w:t>
                  </w:r>
                </w:p>
              </w:tc>
              <w:tc>
                <w:tcPr>
                  <w:tcW w:w="77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40026" w:rsidRPr="00340026" w:rsidRDefault="00340026" w:rsidP="00340026">
                  <w:pPr>
                    <w:rPr>
                      <w:b/>
                      <w:i/>
                      <w:lang w:val="en-US"/>
                    </w:rPr>
                  </w:pPr>
                  <w:r w:rsidRPr="00463605">
                    <w:rPr>
                      <w:b/>
                      <w:i/>
                      <w:vertAlign w:val="subscript"/>
                      <w:lang w:val="en-US"/>
                    </w:rPr>
                    <w:t>*</w:t>
                  </w:r>
                  <w:r w:rsidRPr="00463605">
                    <w:rPr>
                      <w:b/>
                      <w:i/>
                      <w:lang w:val="en-US"/>
                    </w:rPr>
                    <w:t xml:space="preserve"> </w:t>
                  </w:r>
                  <w:r w:rsidRPr="00340026">
                    <w:rPr>
                      <w:b/>
                      <w:i/>
                      <w:lang w:val="en-US"/>
                    </w:rPr>
                    <w:t>100</w:t>
                  </w:r>
                </w:p>
              </w:tc>
            </w:tr>
            <w:tr w:rsidR="00340026" w:rsidRPr="00340026" w:rsidTr="00D556DE">
              <w:trPr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0026" w:rsidRPr="00463605" w:rsidRDefault="00340026" w:rsidP="00340026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40026" w:rsidRPr="00463605" w:rsidRDefault="00340026" w:rsidP="00340026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bCs/>
                      <w:i/>
                      <w:iCs/>
                      <w:lang w:val="en-US"/>
                    </w:rPr>
                    <w:t>A</w:t>
                  </w:r>
                  <w:r w:rsidRPr="00340026">
                    <w:rPr>
                      <w:b/>
                      <w:bCs/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en-US"/>
                    </w:rPr>
                    <w:t>min – A</w:t>
                  </w:r>
                  <w:r w:rsidRPr="00340026">
                    <w:rPr>
                      <w:b/>
                      <w:bCs/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en-US"/>
                    </w:rPr>
                    <w:t>max</w:t>
                  </w:r>
                </w:p>
              </w:tc>
              <w:tc>
                <w:tcPr>
                  <w:tcW w:w="7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0026" w:rsidRPr="00463605" w:rsidRDefault="00340026" w:rsidP="00340026">
                  <w:pPr>
                    <w:rPr>
                      <w:b/>
                      <w:lang w:val="en-US"/>
                    </w:rPr>
                  </w:pPr>
                </w:p>
              </w:tc>
            </w:tr>
          </w:tbl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val="en-US" w:eastAsia="ar-SA"/>
              </w:rPr>
            </w:pP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val="en-US" w:eastAsia="ar-SA"/>
              </w:rPr>
            </w:pPr>
            <w:r w:rsidRPr="00463605">
              <w:rPr>
                <w:lang w:eastAsia="ar-SA"/>
              </w:rPr>
              <w:t>где</w:t>
            </w:r>
            <w:r w:rsidRPr="00340026">
              <w:rPr>
                <w:lang w:val="en-US" w:eastAsia="ar-SA"/>
              </w:rPr>
              <w:t>:</w:t>
            </w:r>
          </w:p>
          <w:p w:rsidR="00340026" w:rsidRDefault="00340026" w:rsidP="00340026">
            <w:pPr>
              <w:ind w:firstLine="567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i/>
                <w:iCs/>
                <w:color w:val="000000"/>
                <w:lang w:val="en-US" w:eastAsia="ar-SA"/>
              </w:rPr>
              <w:t>Ra</w:t>
            </w:r>
            <w:r>
              <w:rPr>
                <w:i/>
                <w:iCs/>
                <w:color w:val="000000"/>
                <w:vertAlign w:val="subscript"/>
                <w:lang w:val="en-US" w:eastAsia="ar-SA"/>
              </w:rPr>
              <w:t>i</w:t>
            </w:r>
            <w:r w:rsidRPr="008F0D3F">
              <w:rPr>
                <w:i/>
                <w:iCs/>
                <w:color w:val="000000"/>
                <w:vertAlign w:val="subscript"/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рейтинг, присуждаемый i-й Заявке по указанному критерию;</w:t>
            </w:r>
          </w:p>
          <w:p w:rsidR="00340026" w:rsidRDefault="00340026" w:rsidP="00340026">
            <w:pPr>
              <w:ind w:firstLine="567"/>
              <w:jc w:val="both"/>
              <w:rPr>
                <w:color w:val="000000"/>
                <w:lang w:eastAsia="ar-SA"/>
              </w:rPr>
            </w:pPr>
            <w:r>
              <w:rPr>
                <w:i/>
                <w:iCs/>
                <w:color w:val="000000"/>
                <w:lang w:val="en-US"/>
              </w:rPr>
              <w:t>A</w:t>
            </w:r>
            <w:r w:rsidRPr="008F0D3F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min</w:t>
            </w:r>
            <w:r>
              <w:rPr>
                <w:color w:val="000000"/>
                <w:lang w:eastAsia="ar-SA"/>
              </w:rPr>
              <w:t xml:space="preserve"> – минимальный процент аванса по Заявкам участников Запроса;</w:t>
            </w:r>
          </w:p>
          <w:p w:rsidR="00340026" w:rsidRDefault="00340026" w:rsidP="00340026">
            <w:pPr>
              <w:ind w:firstLine="567"/>
              <w:jc w:val="both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val="en-US" w:eastAsia="ar-SA"/>
              </w:rPr>
              <w:t>A max</w:t>
            </w:r>
            <w:r>
              <w:rPr>
                <w:color w:val="000000"/>
                <w:lang w:eastAsia="ar-SA"/>
              </w:rPr>
              <w:t xml:space="preserve"> – максимальный процент аванса по Заявкам участников Запроса;</w:t>
            </w:r>
          </w:p>
          <w:p w:rsidR="00340026" w:rsidRDefault="00340026" w:rsidP="00340026">
            <w:pPr>
              <w:ind w:firstLine="567"/>
              <w:jc w:val="both"/>
              <w:rPr>
                <w:color w:val="000000"/>
                <w:lang w:eastAsia="ar-SA"/>
              </w:rPr>
            </w:pPr>
            <w:r w:rsidRPr="008F0D3F">
              <w:rPr>
                <w:i/>
                <w:color w:val="000000"/>
                <w:lang w:eastAsia="ar-SA"/>
              </w:rPr>
              <w:lastRenderedPageBreak/>
              <w:t>А</w:t>
            </w:r>
            <w:r w:rsidRPr="008F0D3F">
              <w:rPr>
                <w:i/>
                <w:color w:val="000000"/>
                <w:vertAlign w:val="superscript"/>
                <w:lang w:val="en-US" w:eastAsia="ar-SA"/>
              </w:rPr>
              <w:t>i</w:t>
            </w:r>
            <w:r w:rsidRPr="008F0D3F">
              <w:rPr>
                <w:i/>
                <w:color w:val="000000"/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предложение i-го Участника Запроса по проценту аванса.</w:t>
            </w:r>
          </w:p>
          <w:p w:rsidR="00340026" w:rsidRPr="00463605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2.3</w:t>
            </w:r>
            <w:r w:rsidRPr="00463605">
              <w:rPr>
                <w:lang w:eastAsia="ar-SA"/>
              </w:rPr>
              <w:t xml:space="preserve">. Для расчета итогового рейтинга по Заявке рейтинг, присуждаемый этой Заявке по критерию </w:t>
            </w:r>
            <w:r w:rsidRPr="00C317BA">
              <w:rPr>
                <w:b/>
                <w:lang w:eastAsia="ar-SA"/>
              </w:rPr>
              <w:t>«Отказ от авансового платежа»</w:t>
            </w:r>
            <w:r w:rsidRPr="00463605">
              <w:rPr>
                <w:lang w:eastAsia="ar-SA"/>
              </w:rPr>
              <w:t xml:space="preserve"> умножается на соответствующую указанному критерию значимость.</w:t>
            </w:r>
          </w:p>
          <w:p w:rsid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2.4</w:t>
            </w:r>
            <w:r w:rsidRPr="00463605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При оценке Заявок по критерию </w:t>
            </w:r>
            <w:r w:rsidRPr="00C317BA">
              <w:rPr>
                <w:b/>
                <w:lang w:eastAsia="ar-SA"/>
              </w:rPr>
              <w:t>«Отказ от авансового платежа»</w:t>
            </w:r>
            <w:r>
              <w:rPr>
                <w:b/>
                <w:lang w:eastAsia="ar-SA"/>
              </w:rPr>
              <w:t xml:space="preserve"> </w:t>
            </w:r>
            <w:r w:rsidRPr="00463605">
              <w:rPr>
                <w:lang w:eastAsia="ar-SA"/>
              </w:rPr>
              <w:t xml:space="preserve">лучшим условием исполнения Договора по критерию признается предложение Участника Запроса </w:t>
            </w:r>
            <w:r>
              <w:rPr>
                <w:lang w:eastAsia="ar-SA"/>
              </w:rPr>
              <w:t>без авансового платежа</w:t>
            </w:r>
            <w:r w:rsidRPr="00463605">
              <w:rPr>
                <w:lang w:eastAsia="ar-SA"/>
              </w:rPr>
              <w:t>.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340026" w:rsidRDefault="00340026" w:rsidP="00340026">
            <w:pPr>
              <w:numPr>
                <w:ilvl w:val="1"/>
                <w:numId w:val="29"/>
              </w:numPr>
              <w:tabs>
                <w:tab w:val="left" w:pos="851"/>
              </w:tabs>
              <w:suppressAutoHyphens/>
              <w:ind w:left="0" w:firstLine="567"/>
              <w:jc w:val="both"/>
              <w:outlineLvl w:val="1"/>
              <w:rPr>
                <w:b/>
                <w:lang w:eastAsia="ar-SA"/>
              </w:rPr>
            </w:pPr>
            <w:r w:rsidRPr="00340026">
              <w:rPr>
                <w:b/>
                <w:lang w:eastAsia="ar-SA"/>
              </w:rPr>
              <w:lastRenderedPageBreak/>
              <w:t>Отказ от авансового платежа на выполнение работ.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>Значимость критерия: 9 % (что эквивалентно 100 баллам в рамках данного критерия).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b/>
                <w:lang w:eastAsia="ar-SA"/>
              </w:rPr>
            </w:pP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b/>
                <w:lang w:eastAsia="ar-SA"/>
              </w:rPr>
            </w:pPr>
            <w:r w:rsidRPr="00340026">
              <w:rPr>
                <w:b/>
                <w:lang w:eastAsia="ar-SA"/>
              </w:rPr>
              <w:t>Порядок оценки Заявок по критерию: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 xml:space="preserve">2.1. Для определения рейтинга Заявки по критерию </w:t>
            </w:r>
            <w:r w:rsidRPr="00340026">
              <w:rPr>
                <w:b/>
                <w:lang w:eastAsia="ar-SA"/>
              </w:rPr>
              <w:t>«Отказ от авансового платежа на выполнение работ»</w:t>
            </w:r>
            <w:r w:rsidRPr="00340026">
              <w:rPr>
                <w:lang w:eastAsia="ar-SA"/>
              </w:rPr>
              <w:t xml:space="preserve"> применяется минимальный размер аванса по договору по Заявкам участников.</w:t>
            </w:r>
          </w:p>
          <w:p w:rsidR="00340026" w:rsidRPr="00340026" w:rsidRDefault="00340026" w:rsidP="00340026">
            <w:pPr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 xml:space="preserve">2.2. В случае, если Участник Запроса выбирает вариант заключения договора без авансового платежа, то такому Участнику присваивается 100 баллов по критерию </w:t>
            </w:r>
            <w:r w:rsidRPr="00340026">
              <w:rPr>
                <w:b/>
                <w:lang w:eastAsia="ar-SA"/>
              </w:rPr>
              <w:t>«Отказ от авансового платежа на выполнение работ»</w:t>
            </w:r>
            <w:r w:rsidRPr="00340026">
              <w:rPr>
                <w:lang w:eastAsia="ar-SA"/>
              </w:rPr>
              <w:t xml:space="preserve">. В случае, если Участник выбирает вариант заключения договора с наличием авансового платежа, то рейтинг, присуждаемый Заявке по критерию </w:t>
            </w:r>
            <w:r w:rsidRPr="00340026">
              <w:rPr>
                <w:b/>
                <w:lang w:eastAsia="ar-SA"/>
              </w:rPr>
              <w:t>«Отказ от авансового платежа на выполнение работ»</w:t>
            </w:r>
            <w:r w:rsidRPr="00340026">
              <w:rPr>
                <w:lang w:eastAsia="ar-SA"/>
              </w:rPr>
              <w:t>, определяется по формуле:</w:t>
            </w:r>
          </w:p>
          <w:p w:rsidR="00340026" w:rsidRPr="00340026" w:rsidRDefault="00340026" w:rsidP="00340026">
            <w:pPr>
              <w:ind w:firstLine="567"/>
              <w:jc w:val="both"/>
              <w:rPr>
                <w:lang w:eastAsia="ar-S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"/>
              <w:gridCol w:w="2214"/>
              <w:gridCol w:w="771"/>
            </w:tblGrid>
            <w:tr w:rsidR="00340026" w:rsidRPr="00340026" w:rsidTr="00D556DE">
              <w:trPr>
                <w:jc w:val="center"/>
              </w:trPr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40026" w:rsidRPr="00340026" w:rsidRDefault="00340026" w:rsidP="00340026">
                  <w:pPr>
                    <w:jc w:val="right"/>
                    <w:rPr>
                      <w:b/>
                      <w:lang w:val="en-US"/>
                    </w:rPr>
                  </w:pPr>
                  <w:r w:rsidRPr="00340026">
                    <w:rPr>
                      <w:b/>
                      <w:i/>
                      <w:lang w:val="en-US"/>
                    </w:rPr>
                    <w:t>Ra</w:t>
                  </w:r>
                  <w:r w:rsidRPr="00340026">
                    <w:rPr>
                      <w:b/>
                      <w:i/>
                      <w:vertAlign w:val="subscript"/>
                      <w:lang w:val="en-US"/>
                    </w:rPr>
                    <w:t xml:space="preserve">i </w:t>
                  </w:r>
                  <w:r w:rsidRPr="00340026">
                    <w:rPr>
                      <w:b/>
                      <w:lang w:val="en-US"/>
                    </w:rPr>
                    <w:t xml:space="preserve">= 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40026" w:rsidRPr="00340026" w:rsidRDefault="00340026" w:rsidP="00340026">
                  <w:pPr>
                    <w:jc w:val="center"/>
                    <w:rPr>
                      <w:b/>
                      <w:i/>
                      <w:lang w:val="en-US"/>
                    </w:rPr>
                  </w:pPr>
                  <w:r w:rsidRPr="00340026">
                    <w:rPr>
                      <w:b/>
                      <w:i/>
                      <w:lang w:val="en-US"/>
                    </w:rPr>
                    <w:t>A</w:t>
                  </w:r>
                  <w:r w:rsidRPr="00340026">
                    <w:rPr>
                      <w:b/>
                      <w:i/>
                      <w:vertAlign w:val="superscript"/>
                      <w:lang w:val="en-US"/>
                    </w:rPr>
                    <w:t>i</w:t>
                  </w:r>
                  <w:r w:rsidRPr="00340026">
                    <w:rPr>
                      <w:b/>
                      <w:i/>
                      <w:lang w:val="en-US"/>
                    </w:rPr>
                    <w:t xml:space="preserve"> -А max</w:t>
                  </w:r>
                </w:p>
              </w:tc>
              <w:tc>
                <w:tcPr>
                  <w:tcW w:w="77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40026" w:rsidRPr="00340026" w:rsidRDefault="00340026" w:rsidP="00340026">
                  <w:pPr>
                    <w:rPr>
                      <w:b/>
                      <w:i/>
                      <w:lang w:val="en-US"/>
                    </w:rPr>
                  </w:pPr>
                  <w:r w:rsidRPr="00340026">
                    <w:rPr>
                      <w:b/>
                      <w:i/>
                      <w:vertAlign w:val="subscript"/>
                      <w:lang w:val="en-US"/>
                    </w:rPr>
                    <w:t>*</w:t>
                  </w:r>
                  <w:r w:rsidRPr="00340026">
                    <w:rPr>
                      <w:b/>
                      <w:i/>
                      <w:lang w:val="en-US"/>
                    </w:rPr>
                    <w:t xml:space="preserve"> 100</w:t>
                  </w:r>
                </w:p>
              </w:tc>
            </w:tr>
            <w:tr w:rsidR="00340026" w:rsidRPr="00340026" w:rsidTr="00D556DE">
              <w:trPr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0026" w:rsidRPr="00340026" w:rsidRDefault="00340026" w:rsidP="00340026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40026" w:rsidRPr="00340026" w:rsidRDefault="00340026" w:rsidP="00340026">
                  <w:pPr>
                    <w:jc w:val="center"/>
                    <w:rPr>
                      <w:b/>
                      <w:lang w:val="en-US"/>
                    </w:rPr>
                  </w:pPr>
                  <w:r w:rsidRPr="00340026">
                    <w:rPr>
                      <w:b/>
                      <w:bCs/>
                      <w:i/>
                      <w:iCs/>
                      <w:lang w:val="en-US"/>
                    </w:rPr>
                    <w:t>A min – A max</w:t>
                  </w:r>
                </w:p>
              </w:tc>
              <w:tc>
                <w:tcPr>
                  <w:tcW w:w="7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0026" w:rsidRPr="00340026" w:rsidRDefault="00340026" w:rsidP="00340026">
                  <w:pPr>
                    <w:rPr>
                      <w:b/>
                      <w:lang w:val="en-US"/>
                    </w:rPr>
                  </w:pPr>
                </w:p>
              </w:tc>
            </w:tr>
          </w:tbl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val="en-US" w:eastAsia="ar-SA"/>
              </w:rPr>
            </w:pP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val="en-US" w:eastAsia="ar-SA"/>
              </w:rPr>
            </w:pPr>
            <w:r w:rsidRPr="00340026">
              <w:rPr>
                <w:lang w:eastAsia="ar-SA"/>
              </w:rPr>
              <w:t>где</w:t>
            </w:r>
            <w:r w:rsidRPr="00340026">
              <w:rPr>
                <w:lang w:val="en-US" w:eastAsia="ar-SA"/>
              </w:rPr>
              <w:t>:</w:t>
            </w:r>
          </w:p>
          <w:p w:rsidR="00340026" w:rsidRPr="00340026" w:rsidRDefault="00340026" w:rsidP="00340026">
            <w:pPr>
              <w:ind w:firstLine="567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340026">
              <w:rPr>
                <w:i/>
                <w:iCs/>
                <w:color w:val="000000"/>
                <w:lang w:val="en-US" w:eastAsia="ar-SA"/>
              </w:rPr>
              <w:t>Ra</w:t>
            </w:r>
            <w:r w:rsidRPr="00340026">
              <w:rPr>
                <w:i/>
                <w:iCs/>
                <w:color w:val="000000"/>
                <w:vertAlign w:val="subscript"/>
                <w:lang w:val="en-US" w:eastAsia="ar-SA"/>
              </w:rPr>
              <w:t>i</w:t>
            </w:r>
            <w:r w:rsidRPr="00340026">
              <w:rPr>
                <w:i/>
                <w:iCs/>
                <w:color w:val="000000"/>
                <w:vertAlign w:val="subscript"/>
                <w:lang w:eastAsia="ar-SA"/>
              </w:rPr>
              <w:t xml:space="preserve"> </w:t>
            </w:r>
            <w:r w:rsidRPr="00340026">
              <w:rPr>
                <w:color w:val="000000"/>
                <w:lang w:eastAsia="ar-SA"/>
              </w:rPr>
              <w:t>– рейтинг, присуждаемый i-й Заявке по указанному критерию;</w:t>
            </w:r>
          </w:p>
          <w:p w:rsidR="00340026" w:rsidRPr="00340026" w:rsidRDefault="00340026" w:rsidP="00340026">
            <w:pPr>
              <w:ind w:firstLine="567"/>
              <w:jc w:val="both"/>
              <w:rPr>
                <w:color w:val="000000"/>
                <w:lang w:eastAsia="ar-SA"/>
              </w:rPr>
            </w:pPr>
            <w:r w:rsidRPr="00340026">
              <w:rPr>
                <w:i/>
                <w:iCs/>
                <w:color w:val="000000"/>
                <w:lang w:val="en-US"/>
              </w:rPr>
              <w:t>A</w:t>
            </w:r>
            <w:r w:rsidRPr="00340026">
              <w:rPr>
                <w:i/>
                <w:iCs/>
                <w:color w:val="000000"/>
              </w:rPr>
              <w:t xml:space="preserve"> </w:t>
            </w:r>
            <w:r w:rsidRPr="00340026">
              <w:rPr>
                <w:i/>
                <w:iCs/>
                <w:color w:val="000000"/>
                <w:lang w:val="en-US"/>
              </w:rPr>
              <w:t>min</w:t>
            </w:r>
            <w:r w:rsidRPr="00340026">
              <w:rPr>
                <w:color w:val="000000"/>
                <w:lang w:eastAsia="ar-SA"/>
              </w:rPr>
              <w:t xml:space="preserve"> – минимальный процент аванса по Заявкам участников Запроса;</w:t>
            </w:r>
          </w:p>
          <w:p w:rsidR="00340026" w:rsidRPr="00340026" w:rsidRDefault="00340026" w:rsidP="00340026">
            <w:pPr>
              <w:ind w:firstLine="567"/>
              <w:jc w:val="both"/>
              <w:rPr>
                <w:color w:val="000000"/>
                <w:lang w:eastAsia="en-US"/>
              </w:rPr>
            </w:pPr>
            <w:r w:rsidRPr="00340026">
              <w:rPr>
                <w:i/>
                <w:iCs/>
                <w:color w:val="000000"/>
                <w:lang w:val="en-US" w:eastAsia="ar-SA"/>
              </w:rPr>
              <w:lastRenderedPageBreak/>
              <w:t>A max</w:t>
            </w:r>
            <w:r w:rsidRPr="00340026">
              <w:rPr>
                <w:color w:val="000000"/>
                <w:lang w:eastAsia="ar-SA"/>
              </w:rPr>
              <w:t xml:space="preserve"> – максимальный процент аванса по Заявкам участников Запроса;</w:t>
            </w:r>
          </w:p>
          <w:p w:rsidR="00340026" w:rsidRPr="00340026" w:rsidRDefault="00340026" w:rsidP="00340026">
            <w:pPr>
              <w:ind w:firstLine="567"/>
              <w:jc w:val="both"/>
              <w:rPr>
                <w:color w:val="000000"/>
                <w:lang w:eastAsia="ar-SA"/>
              </w:rPr>
            </w:pPr>
            <w:r w:rsidRPr="00340026">
              <w:rPr>
                <w:i/>
                <w:color w:val="000000"/>
                <w:lang w:eastAsia="ar-SA"/>
              </w:rPr>
              <w:t>А</w:t>
            </w:r>
            <w:r w:rsidRPr="00340026">
              <w:rPr>
                <w:i/>
                <w:color w:val="000000"/>
                <w:vertAlign w:val="superscript"/>
                <w:lang w:val="en-US" w:eastAsia="ar-SA"/>
              </w:rPr>
              <w:t>i</w:t>
            </w:r>
            <w:r w:rsidRPr="00340026">
              <w:rPr>
                <w:i/>
                <w:color w:val="000000"/>
                <w:lang w:eastAsia="ar-SA"/>
              </w:rPr>
              <w:t xml:space="preserve"> </w:t>
            </w:r>
            <w:r w:rsidRPr="00340026">
              <w:rPr>
                <w:color w:val="000000"/>
                <w:lang w:eastAsia="ar-SA"/>
              </w:rPr>
              <w:t>– предложение i-го Участника Запроса по проценту аванса.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 xml:space="preserve">2.3. Для расчета итогового рейтинга по Заявке рейтинг, присуждаемый этой Заявке по критерию </w:t>
            </w:r>
            <w:r w:rsidRPr="00340026">
              <w:rPr>
                <w:b/>
                <w:lang w:eastAsia="ar-SA"/>
              </w:rPr>
              <w:t>«Отказ от авансового платежа на выполнение работ»</w:t>
            </w:r>
            <w:r w:rsidRPr="00340026">
              <w:rPr>
                <w:lang w:eastAsia="ar-SA"/>
              </w:rPr>
              <w:t xml:space="preserve"> умножается на соответствующую указанному критерию значимость.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 xml:space="preserve">2.4. При оценке Заявок по критерию </w:t>
            </w:r>
            <w:r w:rsidRPr="00340026">
              <w:rPr>
                <w:b/>
                <w:lang w:eastAsia="ar-SA"/>
              </w:rPr>
              <w:t xml:space="preserve">«Отказ от авансового платежа на выполнение работ» </w:t>
            </w:r>
            <w:r w:rsidRPr="00340026">
              <w:rPr>
                <w:lang w:eastAsia="ar-SA"/>
              </w:rPr>
              <w:t>лучшим условием исполнения Договора по критерию признается предложение Участника Запроса без авансового платежа.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</w:p>
        </w:tc>
      </w:tr>
      <w:tr w:rsidR="00340026" w:rsidRPr="001C168A" w:rsidTr="00340026">
        <w:trPr>
          <w:trHeight w:val="276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340026" w:rsidRDefault="00340026" w:rsidP="00340026">
            <w:pPr>
              <w:widowControl w:val="0"/>
              <w:snapToGrid w:val="0"/>
              <w:jc w:val="center"/>
              <w:rPr>
                <w:lang w:eastAsia="ar-SA"/>
              </w:rPr>
            </w:pPr>
            <w:r w:rsidRPr="00340026">
              <w:rPr>
                <w:lang w:eastAsia="ar-SA"/>
              </w:rPr>
              <w:lastRenderedPageBreak/>
              <w:t>4.4. Кадры 4 - «Наличие функциональных обязанностей у специалистов и руководителей».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Значимость критерия: 1,25 % (что эквивалентно 100 баллам в рамках данного критерия).</w:t>
            </w:r>
          </w:p>
          <w:p w:rsidR="00340026" w:rsidRDefault="00340026" w:rsidP="00340026">
            <w:pPr>
              <w:suppressAutoHyphens/>
              <w:jc w:val="both"/>
              <w:rPr>
                <w:lang w:eastAsia="ar-SA"/>
              </w:rPr>
            </w:pPr>
          </w:p>
          <w:p w:rsidR="00340026" w:rsidRPr="00563D7E" w:rsidRDefault="00340026" w:rsidP="00340026">
            <w:pPr>
              <w:pStyle w:val="a7"/>
              <w:tabs>
                <w:tab w:val="left" w:pos="709"/>
              </w:tabs>
              <w:suppressAutoHyphens/>
              <w:ind w:left="0" w:firstLine="567"/>
              <w:jc w:val="both"/>
              <w:rPr>
                <w:b/>
              </w:rPr>
            </w:pPr>
            <w:r w:rsidRPr="00563D7E">
              <w:rPr>
                <w:b/>
                <w:lang w:eastAsia="ar-SA"/>
              </w:rPr>
              <w:t>Порядок оценки Заявок по критерию</w:t>
            </w:r>
            <w:r>
              <w:rPr>
                <w:b/>
                <w:lang w:eastAsia="ar-SA"/>
              </w:rPr>
              <w:t>:</w:t>
            </w:r>
          </w:p>
          <w:p w:rsid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4.4.1. В рамках данного критерия оценивается наличие у представленного кадрового состава установленных функциональных обязанностей в соответствии с планом мероприятий реализации проекта.</w:t>
            </w:r>
          </w:p>
          <w:p w:rsidR="00340026" w:rsidRPr="00A811F3" w:rsidRDefault="00340026" w:rsidP="00340026">
            <w:pPr>
              <w:tabs>
                <w:tab w:val="left" w:pos="819"/>
              </w:tabs>
              <w:ind w:firstLine="567"/>
              <w:jc w:val="both"/>
              <w:rPr>
                <w:lang w:eastAsia="ar-SA"/>
              </w:rPr>
            </w:pPr>
            <w:r>
              <w:t xml:space="preserve">4.4.2. </w:t>
            </w:r>
            <w:r w:rsidRPr="00563D7E">
              <w:t>Для оценки заявок по данному кр</w:t>
            </w:r>
            <w:r>
              <w:t>итерию, Участники предоставляют</w:t>
            </w:r>
            <w:r w:rsidRPr="00A811F3">
              <w:rPr>
                <w:lang w:eastAsia="ar-SA"/>
              </w:rPr>
              <w:t>:</w:t>
            </w:r>
          </w:p>
          <w:p w:rsidR="00340026" w:rsidRDefault="00340026" w:rsidP="00340026">
            <w:pPr>
              <w:numPr>
                <w:ilvl w:val="0"/>
                <w:numId w:val="28"/>
              </w:numPr>
              <w:suppressAutoHyphens/>
              <w:ind w:left="0" w:firstLine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Заполненную Таблицу 1 в с</w:t>
            </w:r>
            <w:r w:rsidRPr="009608AE">
              <w:rPr>
                <w:lang w:eastAsia="ar-SA"/>
              </w:rPr>
              <w:t>правк</w:t>
            </w:r>
            <w:r>
              <w:rPr>
                <w:lang w:eastAsia="ar-SA"/>
              </w:rPr>
              <w:t>е</w:t>
            </w:r>
            <w:r w:rsidRPr="009608AE">
              <w:rPr>
                <w:lang w:eastAsia="ar-SA"/>
              </w:rPr>
              <w:t xml:space="preserve"> по Форме </w:t>
            </w:r>
            <w:r>
              <w:rPr>
                <w:lang w:eastAsia="ar-SA"/>
              </w:rPr>
              <w:t>5</w:t>
            </w:r>
            <w:r w:rsidRPr="009608AE">
              <w:rPr>
                <w:lang w:eastAsia="ar-SA"/>
              </w:rPr>
              <w:t xml:space="preserve"> «</w:t>
            </w:r>
            <w:r w:rsidRPr="0046000A">
              <w:rPr>
                <w:lang w:eastAsia="ar-SA"/>
              </w:rPr>
              <w:t>Информация о наличии кадровых ресурсов</w:t>
            </w:r>
            <w:r w:rsidRPr="009608AE">
              <w:rPr>
                <w:lang w:eastAsia="ar-SA"/>
              </w:rPr>
              <w:t>», в соответствии с требованиями, установленными Разделом IV «Образцы форм и документов для заполнения</w:t>
            </w:r>
            <w:r>
              <w:rPr>
                <w:lang w:eastAsia="ar-SA"/>
              </w:rPr>
              <w:t xml:space="preserve"> Участниками размещения заказа».</w:t>
            </w:r>
          </w:p>
          <w:p w:rsid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D73536">
              <w:rPr>
                <w:lang w:eastAsia="ar-SA"/>
              </w:rPr>
              <w:t>Рейтинг</w:t>
            </w:r>
            <w:r w:rsidRPr="00C16532">
              <w:rPr>
                <w:lang w:eastAsia="ar-SA"/>
              </w:rPr>
              <w:t>, присуждаемый За</w:t>
            </w:r>
            <w:r>
              <w:rPr>
                <w:lang w:eastAsia="ar-SA"/>
              </w:rPr>
              <w:t xml:space="preserve">явке по критерию </w:t>
            </w:r>
            <w:r w:rsidRPr="00D73536">
              <w:rPr>
                <w:b/>
                <w:lang w:eastAsia="ar-SA"/>
              </w:rPr>
              <w:t>«</w:t>
            </w:r>
            <w:r w:rsidRPr="00773FE1">
              <w:rPr>
                <w:b/>
                <w:lang w:eastAsia="ar-SA"/>
              </w:rPr>
              <w:t>Наличие функциональных обязанностей у специалистов и руководителей</w:t>
            </w:r>
            <w:r w:rsidRPr="00D73536">
              <w:rPr>
                <w:b/>
                <w:lang w:eastAsia="ar-SA"/>
              </w:rPr>
              <w:t>»</w:t>
            </w:r>
            <w:r>
              <w:rPr>
                <w:lang w:eastAsia="ar-SA"/>
              </w:rPr>
              <w:t xml:space="preserve"> за полностью заполненную Форму 5 в отношении каждого представленного специалиста </w:t>
            </w:r>
            <w:r w:rsidRPr="009608AE">
              <w:rPr>
                <w:lang w:eastAsia="ar-SA"/>
              </w:rPr>
              <w:t>в соответствии с требованиями, установленными Разделом IV «Образцы форм и документов для заполнения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lastRenderedPageBreak/>
              <w:t xml:space="preserve">Участниками размещения заказа» </w:t>
            </w:r>
            <w:r w:rsidRPr="004D33EC">
              <w:t xml:space="preserve">– </w:t>
            </w:r>
            <w:r>
              <w:t>10</w:t>
            </w:r>
            <w:r w:rsidRPr="004D33EC">
              <w:t>0 баллов</w:t>
            </w:r>
            <w:r w:rsidRPr="004D33EC">
              <w:rPr>
                <w:lang w:eastAsia="ar-SA"/>
              </w:rPr>
              <w:t>; не предоставление</w:t>
            </w:r>
            <w:r>
              <w:rPr>
                <w:lang w:eastAsia="ar-SA"/>
              </w:rPr>
              <w:t xml:space="preserve"> информации</w:t>
            </w:r>
            <w:r w:rsidRPr="004D33EC">
              <w:rPr>
                <w:lang w:eastAsia="ar-SA"/>
              </w:rPr>
              <w:t xml:space="preserve"> – 0 баллов</w:t>
            </w:r>
            <w:r>
              <w:rPr>
                <w:lang w:eastAsia="ar-SA"/>
              </w:rPr>
              <w:t>.</w:t>
            </w:r>
          </w:p>
          <w:p w:rsidR="00340026" w:rsidRPr="00673033" w:rsidRDefault="00340026" w:rsidP="00340026">
            <w:pPr>
              <w:tabs>
                <w:tab w:val="left" w:pos="0"/>
                <w:tab w:val="left" w:pos="851"/>
              </w:tabs>
              <w:suppressAutoHyphens/>
              <w:ind w:firstLine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4.4</w:t>
            </w:r>
            <w:r w:rsidRPr="00563D7E">
              <w:rPr>
                <w:lang w:eastAsia="ar-SA"/>
              </w:rPr>
              <w:t>.</w:t>
            </w:r>
            <w:r>
              <w:rPr>
                <w:lang w:eastAsia="ar-SA"/>
              </w:rPr>
              <w:t>3</w:t>
            </w:r>
            <w:r w:rsidRPr="00563D7E">
              <w:rPr>
                <w:lang w:eastAsia="ar-SA"/>
              </w:rPr>
              <w:t xml:space="preserve">. </w:t>
            </w:r>
            <w:r w:rsidRPr="00673033">
              <w:rPr>
                <w:lang w:eastAsia="ar-SA"/>
              </w:rPr>
              <w:t xml:space="preserve">Для получения итогового рейтинга по </w:t>
            </w:r>
            <w:r>
              <w:rPr>
                <w:lang w:eastAsia="ar-SA"/>
              </w:rPr>
              <w:t xml:space="preserve">критерию </w:t>
            </w:r>
            <w:r w:rsidRPr="00673033">
              <w:rPr>
                <w:lang w:eastAsia="ar-SA"/>
              </w:rPr>
              <w:t>«</w:t>
            </w:r>
            <w:r w:rsidRPr="00773FE1">
              <w:rPr>
                <w:b/>
                <w:lang w:eastAsia="ar-SA"/>
              </w:rPr>
              <w:t>Наличие функциональных обязанностей у специалистов и руководителей</w:t>
            </w:r>
            <w:r w:rsidRPr="00673033">
              <w:rPr>
                <w:lang w:eastAsia="ar-SA"/>
              </w:rPr>
              <w:t>», рейтинг, присуждаемый этой заявке</w:t>
            </w:r>
            <w:r>
              <w:rPr>
                <w:lang w:eastAsia="ar-SA"/>
              </w:rPr>
              <w:t xml:space="preserve">, </w:t>
            </w:r>
            <w:r w:rsidRPr="00673033">
              <w:rPr>
                <w:lang w:eastAsia="ar-SA"/>
              </w:rPr>
              <w:t>умножается на соответствующую указанному критерию значимость.</w:t>
            </w:r>
          </w:p>
          <w:p w:rsidR="00340026" w:rsidRPr="00EC67F6" w:rsidRDefault="00340026" w:rsidP="00340026">
            <w:pPr>
              <w:suppressAutoHyphens/>
              <w:ind w:firstLine="567"/>
              <w:jc w:val="both"/>
            </w:pPr>
            <w:r w:rsidRPr="00673033">
              <w:rPr>
                <w:lang w:eastAsia="ar-SA"/>
              </w:rPr>
              <w:t>Максимальное количество – 100 баллов</w:t>
            </w:r>
            <w:r>
              <w:rPr>
                <w:lang w:eastAsia="ar-SA"/>
              </w:rPr>
              <w:t xml:space="preserve"> (что эквивалентно 1,25% в рамках указанного критерия)</w:t>
            </w:r>
            <w:r w:rsidRPr="00673033">
              <w:rPr>
                <w:lang w:eastAsia="ar-SA"/>
              </w:rPr>
              <w:t>.</w:t>
            </w:r>
          </w:p>
          <w:p w:rsidR="00340026" w:rsidRPr="001C168A" w:rsidRDefault="00340026" w:rsidP="00D556DE">
            <w:pPr>
              <w:widowControl w:val="0"/>
              <w:snapToGrid w:val="0"/>
              <w:jc w:val="both"/>
              <w:rPr>
                <w:bCs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lastRenderedPageBreak/>
              <w:t>Значимость критерия: 1,25 % (что эквивалентно 100 баллам в рамках данного критерия).</w:t>
            </w:r>
          </w:p>
          <w:p w:rsidR="00340026" w:rsidRPr="00340026" w:rsidRDefault="00340026" w:rsidP="00340026">
            <w:pPr>
              <w:suppressAutoHyphens/>
              <w:jc w:val="both"/>
              <w:rPr>
                <w:lang w:eastAsia="ar-SA"/>
              </w:rPr>
            </w:pPr>
          </w:p>
          <w:p w:rsidR="00340026" w:rsidRPr="00340026" w:rsidRDefault="00340026" w:rsidP="00340026">
            <w:pPr>
              <w:pStyle w:val="a7"/>
              <w:tabs>
                <w:tab w:val="left" w:pos="709"/>
              </w:tabs>
              <w:suppressAutoHyphens/>
              <w:ind w:left="0" w:firstLine="567"/>
              <w:jc w:val="both"/>
              <w:rPr>
                <w:b/>
              </w:rPr>
            </w:pPr>
            <w:r w:rsidRPr="00340026">
              <w:rPr>
                <w:b/>
                <w:lang w:eastAsia="ar-SA"/>
              </w:rPr>
              <w:t>Порядок оценки Заявок по критерию: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>4.4.1. В рамках данного критерия оценивается наличие у представленного кадрового состава документально подтвержденных установленных функциональных обязанностей в соответствии с планом мероприятий реализации проекта.</w:t>
            </w:r>
          </w:p>
          <w:p w:rsidR="00340026" w:rsidRPr="00340026" w:rsidRDefault="00340026" w:rsidP="00340026">
            <w:pPr>
              <w:tabs>
                <w:tab w:val="left" w:pos="819"/>
              </w:tabs>
              <w:ind w:firstLine="567"/>
              <w:jc w:val="both"/>
              <w:rPr>
                <w:lang w:eastAsia="ar-SA"/>
              </w:rPr>
            </w:pPr>
            <w:r w:rsidRPr="00340026">
              <w:t>4.4.2. Для оценки заявок по данному критерию, Участники предоставляют</w:t>
            </w:r>
            <w:r w:rsidRPr="00340026">
              <w:rPr>
                <w:lang w:eastAsia="ar-SA"/>
              </w:rPr>
              <w:t>:</w:t>
            </w:r>
          </w:p>
          <w:p w:rsidR="00340026" w:rsidRPr="00340026" w:rsidRDefault="00340026" w:rsidP="00340026">
            <w:pPr>
              <w:numPr>
                <w:ilvl w:val="0"/>
                <w:numId w:val="28"/>
              </w:numPr>
              <w:suppressAutoHyphens/>
              <w:ind w:left="0"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>Копии функциональных обязанностей для каждой должности/специальности, действующие в организации и утвержденные руководителем организации, или копии типовых должностных инструкций с указанием функциональных обязанностей для каждой должности/специальности, утвержденные руководителем организации;</w:t>
            </w:r>
          </w:p>
          <w:p w:rsidR="00340026" w:rsidRPr="00340026" w:rsidRDefault="00340026" w:rsidP="00340026">
            <w:pPr>
              <w:numPr>
                <w:ilvl w:val="0"/>
                <w:numId w:val="28"/>
              </w:numPr>
              <w:suppressAutoHyphens/>
              <w:ind w:left="0"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 xml:space="preserve">Заполненную Таблицу 1 в справке по Форме 5 «Информация о наличии кадровых ресурсов», в соответствии с требованиями, установленными Разделом IV «Образцы форм и документов для </w:t>
            </w:r>
            <w:r w:rsidRPr="00340026">
              <w:rPr>
                <w:lang w:eastAsia="ar-SA"/>
              </w:rPr>
              <w:lastRenderedPageBreak/>
              <w:t>заполнения Участниками размещения заказа».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 xml:space="preserve">Рейтинг, присуждаемый Заявке по критерию </w:t>
            </w:r>
            <w:r w:rsidRPr="00340026">
              <w:rPr>
                <w:b/>
                <w:lang w:eastAsia="ar-SA"/>
              </w:rPr>
              <w:t>«Наличие функциональных обязанностей у специалистов и руководителей»</w:t>
            </w:r>
            <w:r w:rsidRPr="00340026">
              <w:rPr>
                <w:lang w:eastAsia="ar-SA"/>
              </w:rPr>
              <w:t xml:space="preserve"> за полностью заполненную Форму 5 в отношении каждого представленного специалиста в соответствии с требованиями, установленными Разделом IV «Образцы форм и документов для заполнения Участниками размещения заказа» </w:t>
            </w:r>
            <w:r w:rsidRPr="00340026">
              <w:t>– 100 баллов</w:t>
            </w:r>
            <w:r w:rsidRPr="00340026">
              <w:rPr>
                <w:lang w:eastAsia="ar-SA"/>
              </w:rPr>
              <w:t>; не предоставление информации – 0 баллов.</w:t>
            </w:r>
          </w:p>
          <w:p w:rsidR="00340026" w:rsidRPr="00340026" w:rsidRDefault="00340026" w:rsidP="00340026">
            <w:pPr>
              <w:tabs>
                <w:tab w:val="left" w:pos="0"/>
                <w:tab w:val="left" w:pos="851"/>
              </w:tabs>
              <w:suppressAutoHyphens/>
              <w:ind w:firstLine="567"/>
              <w:jc w:val="both"/>
              <w:rPr>
                <w:lang w:eastAsia="ar-SA"/>
              </w:rPr>
            </w:pPr>
            <w:r w:rsidRPr="00340026">
              <w:rPr>
                <w:lang w:eastAsia="ar-SA"/>
              </w:rPr>
              <w:t>4.4.3. Для получения итогового рейтинга по критерию «</w:t>
            </w:r>
            <w:r w:rsidRPr="00340026">
              <w:rPr>
                <w:b/>
                <w:lang w:eastAsia="ar-SA"/>
              </w:rPr>
              <w:t>Наличие функциональных обязанностей у специалистов и руководителей</w:t>
            </w:r>
            <w:r w:rsidRPr="00340026">
              <w:rPr>
                <w:lang w:eastAsia="ar-SA"/>
              </w:rPr>
              <w:t>», рейтинг, присуждаемый этой заявке, умножается на соответствующую указанному критерию значимость.</w:t>
            </w:r>
          </w:p>
          <w:p w:rsidR="00340026" w:rsidRPr="00340026" w:rsidRDefault="00340026" w:rsidP="00340026">
            <w:pPr>
              <w:suppressAutoHyphens/>
              <w:ind w:firstLine="567"/>
              <w:jc w:val="both"/>
            </w:pPr>
            <w:r w:rsidRPr="00340026">
              <w:rPr>
                <w:lang w:eastAsia="ar-SA"/>
              </w:rPr>
              <w:t>Максимальное количество – 100 баллов (что эквивалентно 1,25% в рамках указанного критерия).</w:t>
            </w:r>
          </w:p>
          <w:p w:rsidR="00340026" w:rsidRPr="00340026" w:rsidRDefault="00340026" w:rsidP="00D556DE">
            <w:pPr>
              <w:widowControl w:val="0"/>
              <w:snapToGrid w:val="0"/>
              <w:jc w:val="both"/>
              <w:rPr>
                <w:bCs/>
              </w:rPr>
            </w:pPr>
          </w:p>
        </w:tc>
      </w:tr>
    </w:tbl>
    <w:p w:rsidR="00340026" w:rsidRDefault="00340026" w:rsidP="00AF02C2">
      <w:pPr>
        <w:ind w:firstLine="567"/>
        <w:jc w:val="both"/>
        <w:rPr>
          <w:b/>
          <w:sz w:val="22"/>
          <w:szCs w:val="22"/>
        </w:rPr>
      </w:pPr>
    </w:p>
    <w:p w:rsidR="00340026" w:rsidRDefault="00340026" w:rsidP="00340026">
      <w:pPr>
        <w:ind w:firstLine="567"/>
        <w:jc w:val="both"/>
        <w:rPr>
          <w:b/>
          <w:sz w:val="22"/>
          <w:szCs w:val="22"/>
        </w:rPr>
      </w:pPr>
      <w:r w:rsidRPr="00340026">
        <w:rPr>
          <w:b/>
          <w:sz w:val="22"/>
          <w:szCs w:val="22"/>
        </w:rPr>
        <w:t>РАЗДЕЛ V. Проект договора</w:t>
      </w:r>
      <w:r>
        <w:rPr>
          <w:b/>
          <w:sz w:val="22"/>
          <w:szCs w:val="22"/>
        </w:rPr>
        <w:t>.</w:t>
      </w: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75"/>
        <w:gridCol w:w="7353"/>
      </w:tblGrid>
      <w:tr w:rsidR="00340026" w:rsidRPr="00407BCF" w:rsidTr="00340026">
        <w:trPr>
          <w:trHeight w:val="276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407BCF" w:rsidRDefault="00340026" w:rsidP="00D556DE">
            <w:pPr>
              <w:widowControl w:val="0"/>
              <w:snapToGrid w:val="0"/>
              <w:jc w:val="center"/>
              <w:rPr>
                <w:b/>
                <w:lang w:eastAsia="ar-SA"/>
              </w:rPr>
            </w:pPr>
            <w:r w:rsidRPr="00407BCF">
              <w:rPr>
                <w:b/>
                <w:lang w:eastAsia="ar-SA"/>
              </w:rPr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407BCF" w:rsidRDefault="00340026" w:rsidP="00D556DE">
            <w:pPr>
              <w:pageBreakBefore/>
              <w:jc w:val="center"/>
              <w:outlineLvl w:val="0"/>
              <w:rPr>
                <w:b/>
              </w:rPr>
            </w:pPr>
            <w:r w:rsidRPr="00407BCF">
              <w:rPr>
                <w:b/>
              </w:rPr>
              <w:t>Старая версия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407BCF" w:rsidRDefault="00340026" w:rsidP="00D556DE">
            <w:pPr>
              <w:widowControl w:val="0"/>
              <w:snapToGrid w:val="0"/>
              <w:jc w:val="center"/>
              <w:rPr>
                <w:b/>
              </w:rPr>
            </w:pPr>
            <w:r w:rsidRPr="00407BCF">
              <w:rPr>
                <w:b/>
              </w:rPr>
              <w:t>Новая версия</w:t>
            </w:r>
          </w:p>
        </w:tc>
      </w:tr>
      <w:tr w:rsidR="00340026" w:rsidRPr="001C168A" w:rsidTr="00340026">
        <w:trPr>
          <w:trHeight w:val="276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Default="00340026" w:rsidP="00D556DE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1C168A" w:rsidRDefault="00340026" w:rsidP="00D556DE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Отсутствовал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26" w:rsidRPr="001C168A" w:rsidRDefault="00340026" w:rsidP="00D556DE">
            <w:pPr>
              <w:widowControl w:val="0"/>
              <w:snapToGrid w:val="0"/>
              <w:jc w:val="both"/>
              <w:rPr>
                <w:bCs/>
              </w:rPr>
            </w:pPr>
            <w:r w:rsidRPr="00340026">
              <w:rPr>
                <w:bCs/>
              </w:rPr>
              <w:t>4.3.</w:t>
            </w:r>
            <w:r w:rsidRPr="00340026">
              <w:rPr>
                <w:bCs/>
              </w:rPr>
              <w:tab/>
              <w:t>Подрядчик имеет право обратиться к Заказчику с перечнем оборудования / материалов, имеющих длительный срок поставки (более 1 месяца), стоимость более 1 млн руб. за одну номенклатурную группу и влияние на критический путь сетевого графика с целью получения дополнительного целевого авансирования или проведения прямой оплаты для размещения заказа у поставщика/</w:t>
            </w:r>
            <w:proofErr w:type="spellStart"/>
            <w:r w:rsidRPr="00340026">
              <w:rPr>
                <w:bCs/>
              </w:rPr>
              <w:t>ов</w:t>
            </w:r>
            <w:proofErr w:type="spellEnd"/>
            <w:r w:rsidRPr="00340026">
              <w:rPr>
                <w:bCs/>
              </w:rPr>
              <w:t>. Размер целевого аванса не может быть более 70% от сметной стоимости оборудования/материала, входящих в указанный перечень. К данному перечню должны быть приложены следующие документы (скан-копия оригиналов): коммерческое предложение с указанием условий поставки (сроки авансирования и поставки на стройплощадку), договор на изготовление и поставку, счет на оплату от поставщика. Каждый платеж должен быть подтвержден платежным поручением от Подрядчика, а также письмом Поставщика, подтверждающего данный платеж. Стоимость каждой позиции должна быть согласована с Заказчиком. По итогам согласования величины целевого аванса на закупку оборудования/материалов, с Подрядчиком будет(</w:t>
            </w:r>
            <w:proofErr w:type="spellStart"/>
            <w:r w:rsidRPr="00340026">
              <w:rPr>
                <w:bCs/>
              </w:rPr>
              <w:t>ут</w:t>
            </w:r>
            <w:proofErr w:type="spellEnd"/>
            <w:r w:rsidRPr="00340026">
              <w:rPr>
                <w:bCs/>
              </w:rPr>
              <w:t>) подписано(ы) дополнительное(</w:t>
            </w:r>
            <w:proofErr w:type="spellStart"/>
            <w:r w:rsidRPr="00340026">
              <w:rPr>
                <w:bCs/>
              </w:rPr>
              <w:t>ые</w:t>
            </w:r>
            <w:proofErr w:type="spellEnd"/>
            <w:r w:rsidRPr="00340026">
              <w:rPr>
                <w:bCs/>
              </w:rPr>
              <w:t>) соглашение(я). Целевое авансирование производится только после предоставления оригинала банковской гарантии обеспечения возврата целевого авансового платежа, соответствующей требованиям раздела 14 Договора.</w:t>
            </w:r>
          </w:p>
        </w:tc>
      </w:tr>
    </w:tbl>
    <w:p w:rsidR="00340026" w:rsidRDefault="00340026" w:rsidP="00AF02C2">
      <w:pPr>
        <w:ind w:firstLine="567"/>
        <w:jc w:val="both"/>
        <w:rPr>
          <w:b/>
          <w:sz w:val="22"/>
          <w:szCs w:val="22"/>
        </w:rPr>
      </w:pPr>
    </w:p>
    <w:sectPr w:rsidR="00340026" w:rsidSect="00AF02C2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2FC"/>
    <w:multiLevelType w:val="hybridMultilevel"/>
    <w:tmpl w:val="661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242"/>
    <w:multiLevelType w:val="hybridMultilevel"/>
    <w:tmpl w:val="3B9C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6391"/>
    <w:multiLevelType w:val="hybridMultilevel"/>
    <w:tmpl w:val="81BE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51BD"/>
    <w:multiLevelType w:val="multilevel"/>
    <w:tmpl w:val="E6DC4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D3E2711"/>
    <w:multiLevelType w:val="multilevel"/>
    <w:tmpl w:val="DD547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837287"/>
    <w:multiLevelType w:val="hybridMultilevel"/>
    <w:tmpl w:val="DA5ECD9A"/>
    <w:lvl w:ilvl="0" w:tplc="7E36790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A63377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83680"/>
    <w:multiLevelType w:val="multilevel"/>
    <w:tmpl w:val="7FCC188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1CE065E6"/>
    <w:multiLevelType w:val="hybridMultilevel"/>
    <w:tmpl w:val="661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6848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4533D"/>
    <w:multiLevelType w:val="multilevel"/>
    <w:tmpl w:val="D270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1" w15:restartNumberingAfterBreak="0">
    <w:nsid w:val="30781986"/>
    <w:multiLevelType w:val="hybridMultilevel"/>
    <w:tmpl w:val="A8DA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564E3"/>
    <w:multiLevelType w:val="hybridMultilevel"/>
    <w:tmpl w:val="81BE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94C9E"/>
    <w:multiLevelType w:val="hybridMultilevel"/>
    <w:tmpl w:val="4DE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2309C"/>
    <w:multiLevelType w:val="hybridMultilevel"/>
    <w:tmpl w:val="A2F651B6"/>
    <w:lvl w:ilvl="0" w:tplc="99CCCA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1745DEA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032A1"/>
    <w:multiLevelType w:val="multilevel"/>
    <w:tmpl w:val="7FCC188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6" w15:restartNumberingAfterBreak="0">
    <w:nsid w:val="42E33175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34F9E"/>
    <w:multiLevelType w:val="hybridMultilevel"/>
    <w:tmpl w:val="4DE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A2E76"/>
    <w:multiLevelType w:val="hybridMultilevel"/>
    <w:tmpl w:val="FE489A0C"/>
    <w:lvl w:ilvl="0" w:tplc="2BBE8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C7679"/>
    <w:multiLevelType w:val="multilevel"/>
    <w:tmpl w:val="FFD8C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11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7E1C04"/>
    <w:multiLevelType w:val="hybridMultilevel"/>
    <w:tmpl w:val="E9D080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334F65"/>
    <w:multiLevelType w:val="hybridMultilevel"/>
    <w:tmpl w:val="20A0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C1B6E"/>
    <w:multiLevelType w:val="hybridMultilevel"/>
    <w:tmpl w:val="F7E827EC"/>
    <w:lvl w:ilvl="0" w:tplc="04190019">
      <w:start w:val="1"/>
      <w:numFmt w:val="lowerLetter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7016B22"/>
    <w:multiLevelType w:val="hybridMultilevel"/>
    <w:tmpl w:val="7772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363C4"/>
    <w:multiLevelType w:val="multilevel"/>
    <w:tmpl w:val="D270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5" w15:restartNumberingAfterBreak="0">
    <w:nsid w:val="703C077B"/>
    <w:multiLevelType w:val="multilevel"/>
    <w:tmpl w:val="7310A3DE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6" w15:restartNumberingAfterBreak="0">
    <w:nsid w:val="70DA2360"/>
    <w:multiLevelType w:val="hybridMultilevel"/>
    <w:tmpl w:val="BD4E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B7B81"/>
    <w:multiLevelType w:val="hybridMultilevel"/>
    <w:tmpl w:val="A6A4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356A3"/>
    <w:multiLevelType w:val="hybridMultilevel"/>
    <w:tmpl w:val="E302843C"/>
    <w:lvl w:ilvl="0" w:tplc="6DF860DC">
      <w:start w:val="1"/>
      <w:numFmt w:val="decimal"/>
      <w:lvlText w:val="2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7"/>
  </w:num>
  <w:num w:numId="5">
    <w:abstractNumId w:val="2"/>
  </w:num>
  <w:num w:numId="6">
    <w:abstractNumId w:val="12"/>
  </w:num>
  <w:num w:numId="7">
    <w:abstractNumId w:val="13"/>
  </w:num>
  <w:num w:numId="8">
    <w:abstractNumId w:val="20"/>
  </w:num>
  <w:num w:numId="9">
    <w:abstractNumId w:val="24"/>
  </w:num>
  <w:num w:numId="10">
    <w:abstractNumId w:val="10"/>
  </w:num>
  <w:num w:numId="11">
    <w:abstractNumId w:val="23"/>
  </w:num>
  <w:num w:numId="12">
    <w:abstractNumId w:val="4"/>
  </w:num>
  <w:num w:numId="13">
    <w:abstractNumId w:val="16"/>
  </w:num>
  <w:num w:numId="14">
    <w:abstractNumId w:val="9"/>
  </w:num>
  <w:num w:numId="15">
    <w:abstractNumId w:val="6"/>
  </w:num>
  <w:num w:numId="16">
    <w:abstractNumId w:val="3"/>
  </w:num>
  <w:num w:numId="17">
    <w:abstractNumId w:val="26"/>
  </w:num>
  <w:num w:numId="18">
    <w:abstractNumId w:val="22"/>
  </w:num>
  <w:num w:numId="19">
    <w:abstractNumId w:val="25"/>
  </w:num>
  <w:num w:numId="20">
    <w:abstractNumId w:val="8"/>
  </w:num>
  <w:num w:numId="21">
    <w:abstractNumId w:val="1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0"/>
  </w:num>
  <w:num w:numId="24">
    <w:abstractNumId w:val="28"/>
  </w:num>
  <w:num w:numId="25">
    <w:abstractNumId w:val="27"/>
  </w:num>
  <w:num w:numId="26">
    <w:abstractNumId w:val="21"/>
  </w:num>
  <w:num w:numId="27">
    <w:abstractNumId w:val="19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54"/>
    <w:rsid w:val="0002268E"/>
    <w:rsid w:val="000271AA"/>
    <w:rsid w:val="0004088C"/>
    <w:rsid w:val="00057A78"/>
    <w:rsid w:val="00082350"/>
    <w:rsid w:val="00096A51"/>
    <w:rsid w:val="000A38FC"/>
    <w:rsid w:val="000D1FC6"/>
    <w:rsid w:val="000D3881"/>
    <w:rsid w:val="00100777"/>
    <w:rsid w:val="00102612"/>
    <w:rsid w:val="00104A1E"/>
    <w:rsid w:val="00107AB5"/>
    <w:rsid w:val="00120724"/>
    <w:rsid w:val="00137AC7"/>
    <w:rsid w:val="00142637"/>
    <w:rsid w:val="001430D8"/>
    <w:rsid w:val="00145310"/>
    <w:rsid w:val="001463FE"/>
    <w:rsid w:val="0015237E"/>
    <w:rsid w:val="00152D21"/>
    <w:rsid w:val="00153FF4"/>
    <w:rsid w:val="00165577"/>
    <w:rsid w:val="001A6F1F"/>
    <w:rsid w:val="001B1EB6"/>
    <w:rsid w:val="001C00F9"/>
    <w:rsid w:val="001C5F70"/>
    <w:rsid w:val="001E2824"/>
    <w:rsid w:val="001E6E46"/>
    <w:rsid w:val="001F7654"/>
    <w:rsid w:val="00220A15"/>
    <w:rsid w:val="0023477B"/>
    <w:rsid w:val="0024512D"/>
    <w:rsid w:val="002559F9"/>
    <w:rsid w:val="00261C84"/>
    <w:rsid w:val="00263A33"/>
    <w:rsid w:val="002653F1"/>
    <w:rsid w:val="00272CAB"/>
    <w:rsid w:val="00277AD8"/>
    <w:rsid w:val="00281AA5"/>
    <w:rsid w:val="002906CF"/>
    <w:rsid w:val="00294670"/>
    <w:rsid w:val="00296BFB"/>
    <w:rsid w:val="00297AFC"/>
    <w:rsid w:val="002A0C63"/>
    <w:rsid w:val="002A17A9"/>
    <w:rsid w:val="002A7851"/>
    <w:rsid w:val="002B2930"/>
    <w:rsid w:val="002B52B8"/>
    <w:rsid w:val="002C0E9F"/>
    <w:rsid w:val="002D07F2"/>
    <w:rsid w:val="002E3786"/>
    <w:rsid w:val="002F0115"/>
    <w:rsid w:val="00302E98"/>
    <w:rsid w:val="003132A9"/>
    <w:rsid w:val="003144EE"/>
    <w:rsid w:val="00330B28"/>
    <w:rsid w:val="00340026"/>
    <w:rsid w:val="00353DD2"/>
    <w:rsid w:val="00393E62"/>
    <w:rsid w:val="00396A99"/>
    <w:rsid w:val="003B2C2B"/>
    <w:rsid w:val="003C3206"/>
    <w:rsid w:val="003D78B1"/>
    <w:rsid w:val="003F0CBF"/>
    <w:rsid w:val="003F1A22"/>
    <w:rsid w:val="00406D68"/>
    <w:rsid w:val="00407BCF"/>
    <w:rsid w:val="004143C8"/>
    <w:rsid w:val="00423680"/>
    <w:rsid w:val="00475879"/>
    <w:rsid w:val="0047627A"/>
    <w:rsid w:val="00496613"/>
    <w:rsid w:val="004A262A"/>
    <w:rsid w:val="004A629E"/>
    <w:rsid w:val="004B0821"/>
    <w:rsid w:val="004D1AC4"/>
    <w:rsid w:val="004F00A1"/>
    <w:rsid w:val="004F328B"/>
    <w:rsid w:val="004F7940"/>
    <w:rsid w:val="005165AC"/>
    <w:rsid w:val="0051701A"/>
    <w:rsid w:val="005308C6"/>
    <w:rsid w:val="0053303C"/>
    <w:rsid w:val="005375E6"/>
    <w:rsid w:val="005579CD"/>
    <w:rsid w:val="005639D8"/>
    <w:rsid w:val="0058038D"/>
    <w:rsid w:val="005813A5"/>
    <w:rsid w:val="00597E35"/>
    <w:rsid w:val="005A70D8"/>
    <w:rsid w:val="005B1A49"/>
    <w:rsid w:val="005C0CAF"/>
    <w:rsid w:val="006023E8"/>
    <w:rsid w:val="006276F0"/>
    <w:rsid w:val="006469A9"/>
    <w:rsid w:val="006522D7"/>
    <w:rsid w:val="006536E5"/>
    <w:rsid w:val="00655855"/>
    <w:rsid w:val="00660348"/>
    <w:rsid w:val="0066498A"/>
    <w:rsid w:val="00671242"/>
    <w:rsid w:val="00683503"/>
    <w:rsid w:val="0068798F"/>
    <w:rsid w:val="00691547"/>
    <w:rsid w:val="006940A8"/>
    <w:rsid w:val="006A0971"/>
    <w:rsid w:val="006A1450"/>
    <w:rsid w:val="006A31D6"/>
    <w:rsid w:val="006A6B3C"/>
    <w:rsid w:val="006B6A02"/>
    <w:rsid w:val="006D1B43"/>
    <w:rsid w:val="006E44B4"/>
    <w:rsid w:val="0070340E"/>
    <w:rsid w:val="007153F8"/>
    <w:rsid w:val="0072385C"/>
    <w:rsid w:val="00726134"/>
    <w:rsid w:val="007413A0"/>
    <w:rsid w:val="007430DF"/>
    <w:rsid w:val="00744477"/>
    <w:rsid w:val="00747A33"/>
    <w:rsid w:val="00762A16"/>
    <w:rsid w:val="00771372"/>
    <w:rsid w:val="00782C0B"/>
    <w:rsid w:val="007878FC"/>
    <w:rsid w:val="00791608"/>
    <w:rsid w:val="00810F6B"/>
    <w:rsid w:val="00814F42"/>
    <w:rsid w:val="00816701"/>
    <w:rsid w:val="00866968"/>
    <w:rsid w:val="008708AB"/>
    <w:rsid w:val="00876C19"/>
    <w:rsid w:val="008955D1"/>
    <w:rsid w:val="008A6E8B"/>
    <w:rsid w:val="008B11F9"/>
    <w:rsid w:val="008D5F69"/>
    <w:rsid w:val="00913CDB"/>
    <w:rsid w:val="00926E91"/>
    <w:rsid w:val="0093343B"/>
    <w:rsid w:val="00933E90"/>
    <w:rsid w:val="009503C8"/>
    <w:rsid w:val="00976C05"/>
    <w:rsid w:val="0098260A"/>
    <w:rsid w:val="0098434A"/>
    <w:rsid w:val="009A50FF"/>
    <w:rsid w:val="009A51F8"/>
    <w:rsid w:val="009A7518"/>
    <w:rsid w:val="009E722E"/>
    <w:rsid w:val="009F6972"/>
    <w:rsid w:val="00A04671"/>
    <w:rsid w:val="00A05393"/>
    <w:rsid w:val="00A07229"/>
    <w:rsid w:val="00A1523A"/>
    <w:rsid w:val="00A50C3B"/>
    <w:rsid w:val="00A55E36"/>
    <w:rsid w:val="00A63F51"/>
    <w:rsid w:val="00A734D5"/>
    <w:rsid w:val="00A86A57"/>
    <w:rsid w:val="00A935D3"/>
    <w:rsid w:val="00A95E2D"/>
    <w:rsid w:val="00A96CCE"/>
    <w:rsid w:val="00AD4CC2"/>
    <w:rsid w:val="00AE2332"/>
    <w:rsid w:val="00AF02C2"/>
    <w:rsid w:val="00B15D7D"/>
    <w:rsid w:val="00B332E8"/>
    <w:rsid w:val="00B37C0F"/>
    <w:rsid w:val="00B70DE2"/>
    <w:rsid w:val="00B97238"/>
    <w:rsid w:val="00BA6784"/>
    <w:rsid w:val="00BC60A6"/>
    <w:rsid w:val="00BD0667"/>
    <w:rsid w:val="00BF4AF6"/>
    <w:rsid w:val="00BF60F0"/>
    <w:rsid w:val="00C2523C"/>
    <w:rsid w:val="00C43E54"/>
    <w:rsid w:val="00C455C8"/>
    <w:rsid w:val="00C45C39"/>
    <w:rsid w:val="00C54FEC"/>
    <w:rsid w:val="00C573B3"/>
    <w:rsid w:val="00C67349"/>
    <w:rsid w:val="00C81547"/>
    <w:rsid w:val="00C8578B"/>
    <w:rsid w:val="00C937B8"/>
    <w:rsid w:val="00CA1438"/>
    <w:rsid w:val="00CA1718"/>
    <w:rsid w:val="00CA4954"/>
    <w:rsid w:val="00CB7C88"/>
    <w:rsid w:val="00CE200C"/>
    <w:rsid w:val="00CE2C19"/>
    <w:rsid w:val="00CF3B86"/>
    <w:rsid w:val="00D0292C"/>
    <w:rsid w:val="00D20393"/>
    <w:rsid w:val="00D21FD7"/>
    <w:rsid w:val="00D451F4"/>
    <w:rsid w:val="00D64EED"/>
    <w:rsid w:val="00D9650E"/>
    <w:rsid w:val="00DA28E9"/>
    <w:rsid w:val="00DC51A5"/>
    <w:rsid w:val="00DD214E"/>
    <w:rsid w:val="00DE79E3"/>
    <w:rsid w:val="00E03BAA"/>
    <w:rsid w:val="00E06FA4"/>
    <w:rsid w:val="00E31E13"/>
    <w:rsid w:val="00E3376A"/>
    <w:rsid w:val="00E47E41"/>
    <w:rsid w:val="00E53D72"/>
    <w:rsid w:val="00E67A94"/>
    <w:rsid w:val="00E75956"/>
    <w:rsid w:val="00E8738A"/>
    <w:rsid w:val="00E90FB7"/>
    <w:rsid w:val="00EA5BE8"/>
    <w:rsid w:val="00EB3608"/>
    <w:rsid w:val="00EB367A"/>
    <w:rsid w:val="00EB75B6"/>
    <w:rsid w:val="00EC5052"/>
    <w:rsid w:val="00EC567B"/>
    <w:rsid w:val="00EE4AB8"/>
    <w:rsid w:val="00EF6263"/>
    <w:rsid w:val="00F22791"/>
    <w:rsid w:val="00F32394"/>
    <w:rsid w:val="00F34BE7"/>
    <w:rsid w:val="00F44F37"/>
    <w:rsid w:val="00F52A92"/>
    <w:rsid w:val="00F56B04"/>
    <w:rsid w:val="00F73F86"/>
    <w:rsid w:val="00F91C8D"/>
    <w:rsid w:val="00FB208D"/>
    <w:rsid w:val="00FD69DD"/>
    <w:rsid w:val="00FF0508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F244"/>
  <w15:docId w15:val="{6B903A54-DCE3-43DF-A944-29D70B5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qFormat/>
    <w:rsid w:val="005813A5"/>
    <w:pPr>
      <w:keepNext/>
      <w:ind w:firstLine="72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3E54"/>
    <w:rPr>
      <w:color w:val="0000FF"/>
      <w:u w:val="single"/>
    </w:rPr>
  </w:style>
  <w:style w:type="paragraph" w:customStyle="1" w:styleId="a4">
    <w:name w:val="Содержимое таблицы"/>
    <w:basedOn w:val="a"/>
    <w:rsid w:val="00DD214E"/>
    <w:rPr>
      <w:rFonts w:eastAsia="Calibri"/>
      <w:lang w:eastAsia="hi-IN"/>
    </w:rPr>
  </w:style>
  <w:style w:type="table" w:styleId="a5">
    <w:name w:val="Table Grid"/>
    <w:basedOn w:val="a1"/>
    <w:uiPriority w:val="59"/>
    <w:rsid w:val="005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3"/>
    <w:rsid w:val="00E31E13"/>
    <w:rPr>
      <w:spacing w:val="7"/>
      <w:shd w:val="clear" w:color="auto" w:fill="FFFFFF"/>
    </w:rPr>
  </w:style>
  <w:style w:type="paragraph" w:customStyle="1" w:styleId="3">
    <w:name w:val="Основной текст3"/>
    <w:basedOn w:val="a"/>
    <w:link w:val="a6"/>
    <w:rsid w:val="00E31E13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paragraph" w:styleId="a7">
    <w:name w:val="List Paragraph"/>
    <w:aliases w:val="Булет 1,Bullet List,numbered,FooterText,Bullet Number,Нумерованый список,List Paragraph1,lp1,lp11,List Paragraph11,Bullet 1,Use Case List Paragraph,Paragraphe de liste1,Абзац списка1,ПАРАГРАФ,Алроса_маркер (Уровень 4),Маркер,Абзац списка2"/>
    <w:basedOn w:val="a"/>
    <w:link w:val="a8"/>
    <w:uiPriority w:val="34"/>
    <w:qFormat/>
    <w:rsid w:val="00926E91"/>
    <w:pPr>
      <w:ind w:left="720"/>
      <w:contextualSpacing/>
    </w:pPr>
  </w:style>
  <w:style w:type="paragraph" w:customStyle="1" w:styleId="ConsPlusNormal">
    <w:name w:val="ConsPlusNormal"/>
    <w:rsid w:val="00CF3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CF3B86"/>
    <w:pPr>
      <w:ind w:firstLine="709"/>
      <w:jc w:val="both"/>
    </w:pPr>
    <w:rPr>
      <w:color w:val="FF0000"/>
      <w:sz w:val="22"/>
      <w:szCs w:val="22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CF3B86"/>
    <w:rPr>
      <w:rFonts w:ascii="Times New Roman" w:eastAsia="Times New Roman" w:hAnsi="Times New Roman" w:cs="Times New Roman"/>
      <w:color w:val="FF0000"/>
      <w:lang w:val="x-none" w:eastAsia="x-none"/>
    </w:rPr>
  </w:style>
  <w:style w:type="paragraph" w:styleId="ab">
    <w:name w:val="Normal (Web)"/>
    <w:basedOn w:val="a"/>
    <w:uiPriority w:val="99"/>
    <w:semiHidden/>
    <w:rsid w:val="00B37C0F"/>
    <w:pPr>
      <w:spacing w:before="100" w:beforeAutospacing="1" w:after="100" w:afterAutospacing="1"/>
    </w:pPr>
  </w:style>
  <w:style w:type="paragraph" w:styleId="ac">
    <w:name w:val="No Spacing"/>
    <w:link w:val="ad"/>
    <w:qFormat/>
    <w:rsid w:val="006A14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99"/>
    <w:rsid w:val="006A1450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30">
    <w:name w:val="Body Text Indent 3"/>
    <w:basedOn w:val="a"/>
    <w:link w:val="31"/>
    <w:rsid w:val="00F34B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rsid w:val="00F34B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5813A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7"/>
    <w:uiPriority w:val="34"/>
    <w:qFormat/>
    <w:rsid w:val="00D20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9A50FF"/>
    <w:rPr>
      <w:b/>
      <w:bCs/>
    </w:rPr>
  </w:style>
  <w:style w:type="paragraph" w:customStyle="1" w:styleId="BodyTextIndent21">
    <w:name w:val="Body Text Indent 21"/>
    <w:basedOn w:val="a"/>
    <w:rsid w:val="00F91C8D"/>
    <w:pPr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74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9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55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66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59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67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1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89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719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66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97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nki.ru/banks/ratin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i.ru/banks/ratings/" TargetMode="External"/><Relationship Id="rId5" Type="http://schemas.openxmlformats.org/officeDocument/2006/relationships/hyperlink" Target="http://banki.ru/banks/rating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Анатольевна Каккоева</dc:creator>
  <cp:lastModifiedBy>Дзябко Ольга Дмитриевна</cp:lastModifiedBy>
  <cp:revision>26</cp:revision>
  <dcterms:created xsi:type="dcterms:W3CDTF">2022-01-20T11:32:00Z</dcterms:created>
  <dcterms:modified xsi:type="dcterms:W3CDTF">2023-02-21T07:30:00Z</dcterms:modified>
</cp:coreProperties>
</file>